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BA098">
      <w:pPr>
        <w:snapToGrid w:val="0"/>
        <w:spacing w:before="165" w:beforeLines="50" w:line="360" w:lineRule="auto"/>
        <w:jc w:val="center"/>
        <w:rPr>
          <w:rFonts w:hint="eastAsia" w:ascii="仿宋" w:hAnsi="仿宋" w:eastAsia="仿宋" w:cs="仿宋"/>
          <w:b/>
          <w:bCs/>
          <w:color w:val="auto"/>
          <w:sz w:val="56"/>
          <w:szCs w:val="56"/>
          <w:highlight w:val="none"/>
          <w:lang w:eastAsia="zh-CN"/>
        </w:rPr>
      </w:pPr>
      <w:r>
        <w:rPr>
          <w:rFonts w:hint="eastAsia" w:ascii="仿宋" w:hAnsi="仿宋" w:eastAsia="仿宋" w:cs="仿宋"/>
          <w:b/>
          <w:bCs/>
          <w:color w:val="auto"/>
          <w:sz w:val="56"/>
          <w:szCs w:val="56"/>
          <w:highlight w:val="none"/>
          <w:lang w:eastAsia="zh-CN"/>
        </w:rPr>
        <w:drawing>
          <wp:inline distT="0" distB="0" distL="114300" distR="114300">
            <wp:extent cx="3594100" cy="1028700"/>
            <wp:effectExtent l="0" t="0" r="6350" b="0"/>
            <wp:docPr id="9" name="图片 9" descr="同盛咨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同盛咨询logo"/>
                    <pic:cNvPicPr>
                      <a:picLocks noChangeAspect="1"/>
                    </pic:cNvPicPr>
                  </pic:nvPicPr>
                  <pic:blipFill>
                    <a:blip r:embed="rId22"/>
                    <a:stretch>
                      <a:fillRect/>
                    </a:stretch>
                  </pic:blipFill>
                  <pic:spPr>
                    <a:xfrm>
                      <a:off x="0" y="0"/>
                      <a:ext cx="3594100" cy="1028700"/>
                    </a:xfrm>
                    <a:prstGeom prst="rect">
                      <a:avLst/>
                    </a:prstGeom>
                  </pic:spPr>
                </pic:pic>
              </a:graphicData>
            </a:graphic>
          </wp:inline>
        </w:drawing>
      </w:r>
    </w:p>
    <w:p w14:paraId="0D44597B">
      <w:pPr>
        <w:snapToGrid w:val="0"/>
        <w:spacing w:before="165" w:beforeLines="50" w:line="360" w:lineRule="auto"/>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rPr>
        <w:t>竞争性磋商文件</w:t>
      </w:r>
    </w:p>
    <w:p w14:paraId="3E4C62A7">
      <w:pPr>
        <w:snapToGrid w:val="0"/>
        <w:spacing w:before="165" w:beforeLines="50"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56"/>
          <w:szCs w:val="56"/>
          <w:highlight w:val="none"/>
        </w:rPr>
        <w:t>(</w:t>
      </w:r>
      <w:r>
        <w:rPr>
          <w:rFonts w:hint="eastAsia" w:ascii="仿宋" w:hAnsi="仿宋" w:eastAsia="仿宋" w:cs="仿宋"/>
          <w:b/>
          <w:bCs/>
          <w:color w:val="auto"/>
          <w:sz w:val="56"/>
          <w:szCs w:val="56"/>
          <w:highlight w:val="none"/>
          <w:lang w:val="en-US" w:eastAsia="zh-CN"/>
        </w:rPr>
        <w:t>工程</w:t>
      </w:r>
      <w:r>
        <w:rPr>
          <w:rFonts w:hint="eastAsia" w:ascii="仿宋" w:hAnsi="仿宋" w:eastAsia="仿宋" w:cs="仿宋"/>
          <w:b/>
          <w:bCs/>
          <w:color w:val="auto"/>
          <w:sz w:val="56"/>
          <w:szCs w:val="56"/>
          <w:highlight w:val="none"/>
        </w:rPr>
        <w:t>类)</w:t>
      </w:r>
    </w:p>
    <w:p w14:paraId="3D416AFE">
      <w:pPr>
        <w:spacing w:before="331" w:beforeLines="100" w:after="165" w:afterLines="50"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24"/>
          <w:highlight w:val="none"/>
        </w:rPr>
        <w:t>（全流程电子化评标）</w:t>
      </w:r>
    </w:p>
    <w:p w14:paraId="113C3923">
      <w:pPr>
        <w:pStyle w:val="17"/>
        <w:snapToGrid w:val="0"/>
        <w:spacing w:line="740" w:lineRule="exact"/>
        <w:ind w:right="-309" w:rightChars="-147" w:firstLine="842" w:firstLineChars="262"/>
        <w:rPr>
          <w:rFonts w:hint="eastAsia" w:ascii="仿宋" w:hAnsi="仿宋" w:eastAsia="仿宋" w:cs="仿宋"/>
          <w:b/>
          <w:bCs/>
          <w:color w:val="auto"/>
          <w:sz w:val="32"/>
          <w:szCs w:val="32"/>
          <w:highlight w:val="none"/>
        </w:rPr>
      </w:pPr>
    </w:p>
    <w:p w14:paraId="1F3A6157">
      <w:pPr>
        <w:pStyle w:val="17"/>
        <w:snapToGrid w:val="0"/>
        <w:spacing w:line="740" w:lineRule="exact"/>
        <w:ind w:firstLine="842" w:firstLineChars="262"/>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项目名称：</w:t>
      </w:r>
      <w:r>
        <w:rPr>
          <w:rFonts w:hint="eastAsia" w:ascii="仿宋" w:hAnsi="仿宋" w:eastAsia="仿宋" w:cs="仿宋"/>
          <w:b/>
          <w:bCs/>
          <w:color w:val="auto"/>
          <w:sz w:val="32"/>
          <w:szCs w:val="32"/>
          <w:highlight w:val="none"/>
          <w:lang w:eastAsia="zh-CN"/>
        </w:rPr>
        <w:t>百龙滩镇南新村弄洪屯进村入户路硬化项目</w:t>
      </w:r>
    </w:p>
    <w:p w14:paraId="386315E5">
      <w:pPr>
        <w:pStyle w:val="17"/>
        <w:snapToGrid w:val="0"/>
        <w:spacing w:line="740" w:lineRule="exact"/>
        <w:ind w:firstLine="842" w:firstLineChars="262"/>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项目编号：NNZC2026-C2-240035-GXTS</w:t>
      </w:r>
    </w:p>
    <w:p w14:paraId="7D115AFC">
      <w:pPr>
        <w:pStyle w:val="17"/>
        <w:snapToGrid w:val="0"/>
        <w:spacing w:line="740" w:lineRule="exact"/>
        <w:ind w:firstLine="842" w:firstLineChars="262"/>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项目所属区划：南宁市马山县</w:t>
      </w:r>
    </w:p>
    <w:p w14:paraId="538BFA7C">
      <w:pPr>
        <w:pStyle w:val="17"/>
        <w:snapToGrid w:val="0"/>
        <w:spacing w:line="740" w:lineRule="exact"/>
        <w:ind w:firstLine="842" w:firstLineChars="262"/>
        <w:rPr>
          <w:rFonts w:hint="eastAsia" w:ascii="仿宋" w:hAnsi="仿宋" w:eastAsia="仿宋" w:cs="仿宋"/>
          <w:b/>
          <w:bCs/>
          <w:color w:val="auto"/>
          <w:sz w:val="32"/>
          <w:szCs w:val="32"/>
          <w:highlight w:val="none"/>
        </w:rPr>
      </w:pPr>
    </w:p>
    <w:p w14:paraId="40AE7A7E">
      <w:pPr>
        <w:pStyle w:val="17"/>
        <w:snapToGrid w:val="0"/>
        <w:spacing w:line="740" w:lineRule="exact"/>
        <w:jc w:val="center"/>
        <w:rPr>
          <w:rFonts w:hint="eastAsia" w:ascii="仿宋" w:hAnsi="仿宋" w:eastAsia="仿宋" w:cs="仿宋"/>
          <w:b/>
          <w:bCs/>
          <w:color w:val="auto"/>
          <w:sz w:val="32"/>
          <w:szCs w:val="32"/>
          <w:highlight w:val="none"/>
          <w:lang w:val="en-US" w:eastAsia="zh-CN"/>
        </w:rPr>
      </w:pPr>
    </w:p>
    <w:p w14:paraId="6C2BC01C">
      <w:pPr>
        <w:pStyle w:val="17"/>
        <w:snapToGrid w:val="0"/>
        <w:spacing w:line="740" w:lineRule="exact"/>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采购人：</w:t>
      </w:r>
      <w:r>
        <w:rPr>
          <w:rFonts w:hint="eastAsia" w:ascii="仿宋" w:hAnsi="仿宋" w:eastAsia="仿宋" w:cs="仿宋"/>
          <w:b/>
          <w:bCs/>
          <w:color w:val="auto"/>
          <w:sz w:val="32"/>
          <w:szCs w:val="32"/>
          <w:highlight w:val="none"/>
          <w:lang w:eastAsia="zh-CN"/>
        </w:rPr>
        <w:t>马山县百龙滩镇人民政府</w:t>
      </w:r>
    </w:p>
    <w:p w14:paraId="4FC358B2">
      <w:pPr>
        <w:pStyle w:val="17"/>
        <w:snapToGrid w:val="0"/>
        <w:spacing w:line="740" w:lineRule="exact"/>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采购代理机构：</w:t>
      </w:r>
      <w:r>
        <w:rPr>
          <w:rFonts w:hint="eastAsia" w:ascii="仿宋" w:hAnsi="仿宋" w:eastAsia="仿宋" w:cs="仿宋"/>
          <w:b/>
          <w:bCs/>
          <w:color w:val="auto"/>
          <w:sz w:val="32"/>
          <w:szCs w:val="32"/>
          <w:highlight w:val="none"/>
          <w:lang w:eastAsia="zh-CN"/>
        </w:rPr>
        <w:t>广西同盛工程咨询有限公司</w:t>
      </w:r>
    </w:p>
    <w:p w14:paraId="74F6DF95">
      <w:pPr>
        <w:pStyle w:val="17"/>
        <w:snapToGrid w:val="0"/>
        <w:spacing w:before="50" w:after="120" w:line="360" w:lineRule="auto"/>
        <w:ind w:firstLine="841" w:firstLineChars="294"/>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 xml:space="preserve">                 </w:t>
      </w:r>
    </w:p>
    <w:p w14:paraId="013E4072">
      <w:pPr>
        <w:pStyle w:val="17"/>
        <w:snapToGrid w:val="0"/>
        <w:spacing w:before="50" w:after="120" w:line="360" w:lineRule="auto"/>
        <w:jc w:val="center"/>
        <w:rPr>
          <w:rFonts w:hint="eastAsia" w:ascii="仿宋" w:hAnsi="仿宋" w:eastAsia="仿宋" w:cs="仿宋"/>
          <w:b/>
          <w:bCs/>
          <w:color w:val="auto"/>
          <w:sz w:val="32"/>
          <w:szCs w:val="32"/>
          <w:highlight w:val="none"/>
        </w:rPr>
        <w:sectPr>
          <w:headerReference r:id="rId3" w:type="default"/>
          <w:footerReference r:id="rId4" w:type="default"/>
          <w:footerReference r:id="rId5" w:type="even"/>
          <w:pgSz w:w="11905" w:h="16838"/>
          <w:pgMar w:top="1440" w:right="1080" w:bottom="1440" w:left="1080" w:header="720" w:footer="720" w:gutter="0"/>
          <w:pgNumType w:start="1"/>
          <w:cols w:space="720" w:num="1"/>
          <w:docGrid w:type="lines" w:linePitch="331" w:charSpace="0"/>
        </w:sectPr>
      </w:pPr>
      <w:r>
        <w:rPr>
          <w:rFonts w:hint="eastAsia" w:ascii="仿宋" w:hAnsi="仿宋" w:eastAsia="仿宋" w:cs="仿宋"/>
          <w:b/>
          <w:bCs/>
          <w:color w:val="auto"/>
          <w:sz w:val="32"/>
          <w:szCs w:val="32"/>
          <w:highlight w:val="none"/>
          <w:lang w:val="en-US" w:eastAsia="zh-CN"/>
        </w:rPr>
        <w:t>2026年06月16日</w:t>
      </w:r>
    </w:p>
    <w:p w14:paraId="481FC93B">
      <w:pPr>
        <w:spacing w:line="360" w:lineRule="auto"/>
        <w:jc w:val="center"/>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目录</w:t>
      </w:r>
    </w:p>
    <w:p w14:paraId="059E5BE3">
      <w:pPr>
        <w:pStyle w:val="22"/>
        <w:tabs>
          <w:tab w:val="right" w:leader="dot" w:pos="9745"/>
        </w:tabs>
        <w:spacing w:line="288" w:lineRule="auto"/>
        <w:rPr>
          <w:rFonts w:hint="eastAsia" w:ascii="方正仿宋_GB2312" w:hAnsi="方正仿宋_GB2312" w:eastAsia="方正仿宋_GB2312" w:cs="方正仿宋_GB2312"/>
          <w:b/>
          <w:bCs/>
          <w:color w:val="auto"/>
          <w:sz w:val="22"/>
          <w:szCs w:val="22"/>
          <w:highlight w:val="none"/>
        </w:rPr>
      </w:pPr>
      <w:r>
        <w:rPr>
          <w:rFonts w:hint="eastAsia" w:ascii="方正仿宋_GB2312" w:hAnsi="方正仿宋_GB2312" w:eastAsia="方正仿宋_GB2312" w:cs="方正仿宋_GB2312"/>
          <w:color w:val="auto"/>
          <w:szCs w:val="21"/>
          <w:highlight w:val="none"/>
        </w:rPr>
        <w:fldChar w:fldCharType="begin"/>
      </w:r>
      <w:r>
        <w:rPr>
          <w:rFonts w:hint="eastAsia" w:ascii="方正仿宋_GB2312" w:hAnsi="方正仿宋_GB2312" w:eastAsia="方正仿宋_GB2312" w:cs="方正仿宋_GB2312"/>
          <w:color w:val="auto"/>
          <w:szCs w:val="21"/>
          <w:highlight w:val="none"/>
        </w:rPr>
        <w:instrText xml:space="preserve">TOC \o "1-6" \h \u </w:instrText>
      </w:r>
      <w:r>
        <w:rPr>
          <w:rFonts w:hint="eastAsia" w:ascii="方正仿宋_GB2312" w:hAnsi="方正仿宋_GB2312" w:eastAsia="方正仿宋_GB2312" w:cs="方正仿宋_GB2312"/>
          <w:color w:val="auto"/>
          <w:szCs w:val="21"/>
          <w:highlight w:val="none"/>
        </w:rPr>
        <w:fldChar w:fldCharType="separate"/>
      </w:r>
      <w:r>
        <w:rPr>
          <w:rFonts w:hint="eastAsia" w:ascii="方正仿宋_GB2312" w:hAnsi="方正仿宋_GB2312" w:eastAsia="方正仿宋_GB2312" w:cs="方正仿宋_GB2312"/>
          <w:b/>
          <w:bCs/>
          <w:color w:val="auto"/>
          <w:sz w:val="22"/>
          <w:szCs w:val="22"/>
          <w:highlight w:val="none"/>
        </w:rPr>
        <w:fldChar w:fldCharType="begin"/>
      </w:r>
      <w:r>
        <w:rPr>
          <w:rFonts w:hint="eastAsia" w:ascii="方正仿宋_GB2312" w:hAnsi="方正仿宋_GB2312" w:eastAsia="方正仿宋_GB2312" w:cs="方正仿宋_GB2312"/>
          <w:b/>
          <w:bCs/>
          <w:color w:val="auto"/>
          <w:sz w:val="22"/>
          <w:szCs w:val="22"/>
          <w:highlight w:val="none"/>
        </w:rPr>
        <w:instrText xml:space="preserve"> HYPERLINK \l _Toc15868 </w:instrText>
      </w:r>
      <w:r>
        <w:rPr>
          <w:rFonts w:hint="eastAsia" w:ascii="方正仿宋_GB2312" w:hAnsi="方正仿宋_GB2312" w:eastAsia="方正仿宋_GB2312" w:cs="方正仿宋_GB2312"/>
          <w:b/>
          <w:bCs/>
          <w:color w:val="auto"/>
          <w:sz w:val="22"/>
          <w:szCs w:val="22"/>
          <w:highlight w:val="none"/>
        </w:rPr>
        <w:fldChar w:fldCharType="separate"/>
      </w:r>
      <w:r>
        <w:rPr>
          <w:rFonts w:hint="eastAsia" w:ascii="方正仿宋_GB2312" w:hAnsi="方正仿宋_GB2312" w:eastAsia="方正仿宋_GB2312" w:cs="方正仿宋_GB2312"/>
          <w:b/>
          <w:bCs/>
          <w:color w:val="auto"/>
          <w:sz w:val="22"/>
          <w:szCs w:val="22"/>
          <w:highlight w:val="none"/>
        </w:rPr>
        <w:t>第一章 竞争性磋商公告</w:t>
      </w:r>
      <w:r>
        <w:rPr>
          <w:rFonts w:hint="eastAsia" w:ascii="方正仿宋_GB2312" w:hAnsi="方正仿宋_GB2312" w:eastAsia="方正仿宋_GB2312" w:cs="方正仿宋_GB2312"/>
          <w:b/>
          <w:bCs/>
          <w:color w:val="auto"/>
          <w:sz w:val="22"/>
          <w:szCs w:val="22"/>
          <w:highlight w:val="none"/>
        </w:rPr>
        <w:tab/>
      </w:r>
      <w:r>
        <w:rPr>
          <w:rFonts w:hint="eastAsia" w:ascii="方正仿宋_GB2312" w:hAnsi="方正仿宋_GB2312" w:eastAsia="方正仿宋_GB2312" w:cs="方正仿宋_GB2312"/>
          <w:b/>
          <w:bCs/>
          <w:color w:val="auto"/>
          <w:sz w:val="22"/>
          <w:szCs w:val="22"/>
          <w:highlight w:val="none"/>
        </w:rPr>
        <w:fldChar w:fldCharType="begin"/>
      </w:r>
      <w:r>
        <w:rPr>
          <w:rFonts w:hint="eastAsia" w:ascii="方正仿宋_GB2312" w:hAnsi="方正仿宋_GB2312" w:eastAsia="方正仿宋_GB2312" w:cs="方正仿宋_GB2312"/>
          <w:b/>
          <w:bCs/>
          <w:color w:val="auto"/>
          <w:sz w:val="22"/>
          <w:szCs w:val="22"/>
          <w:highlight w:val="none"/>
        </w:rPr>
        <w:instrText xml:space="preserve"> PAGEREF _Toc15868 \h </w:instrText>
      </w:r>
      <w:r>
        <w:rPr>
          <w:rFonts w:hint="eastAsia" w:ascii="方正仿宋_GB2312" w:hAnsi="方正仿宋_GB2312" w:eastAsia="方正仿宋_GB2312" w:cs="方正仿宋_GB2312"/>
          <w:b/>
          <w:bCs/>
          <w:color w:val="auto"/>
          <w:sz w:val="22"/>
          <w:szCs w:val="22"/>
          <w:highlight w:val="none"/>
        </w:rPr>
        <w:fldChar w:fldCharType="separate"/>
      </w:r>
      <w:r>
        <w:rPr>
          <w:rFonts w:hint="eastAsia" w:ascii="方正仿宋_GB2312" w:hAnsi="方正仿宋_GB2312" w:eastAsia="方正仿宋_GB2312" w:cs="方正仿宋_GB2312"/>
          <w:b/>
          <w:bCs/>
          <w:color w:val="auto"/>
          <w:sz w:val="22"/>
          <w:szCs w:val="22"/>
          <w:highlight w:val="none"/>
        </w:rPr>
        <w:t>1</w:t>
      </w:r>
      <w:r>
        <w:rPr>
          <w:rFonts w:hint="eastAsia" w:ascii="方正仿宋_GB2312" w:hAnsi="方正仿宋_GB2312" w:eastAsia="方正仿宋_GB2312" w:cs="方正仿宋_GB2312"/>
          <w:b/>
          <w:bCs/>
          <w:color w:val="auto"/>
          <w:sz w:val="22"/>
          <w:szCs w:val="22"/>
          <w:highlight w:val="none"/>
        </w:rPr>
        <w:fldChar w:fldCharType="end"/>
      </w:r>
      <w:r>
        <w:rPr>
          <w:rFonts w:hint="eastAsia" w:ascii="方正仿宋_GB2312" w:hAnsi="方正仿宋_GB2312" w:eastAsia="方正仿宋_GB2312" w:cs="方正仿宋_GB2312"/>
          <w:b/>
          <w:bCs/>
          <w:color w:val="auto"/>
          <w:sz w:val="22"/>
          <w:szCs w:val="22"/>
          <w:highlight w:val="none"/>
        </w:rPr>
        <w:fldChar w:fldCharType="end"/>
      </w:r>
    </w:p>
    <w:p w14:paraId="50304C2D">
      <w:pPr>
        <w:pStyle w:val="22"/>
        <w:tabs>
          <w:tab w:val="right" w:leader="dot" w:pos="9745"/>
        </w:tabs>
        <w:spacing w:line="288" w:lineRule="auto"/>
        <w:rPr>
          <w:rFonts w:hint="eastAsia" w:ascii="方正仿宋_GB2312" w:hAnsi="方正仿宋_GB2312" w:eastAsia="方正仿宋_GB2312" w:cs="方正仿宋_GB2312"/>
          <w:b/>
          <w:bCs/>
          <w:color w:val="auto"/>
          <w:sz w:val="22"/>
          <w:szCs w:val="22"/>
          <w:highlight w:val="none"/>
        </w:rPr>
      </w:pPr>
      <w:r>
        <w:rPr>
          <w:rFonts w:hint="eastAsia" w:ascii="方正仿宋_GB2312" w:hAnsi="方正仿宋_GB2312" w:eastAsia="方正仿宋_GB2312" w:cs="方正仿宋_GB2312"/>
          <w:b/>
          <w:bCs/>
          <w:color w:val="auto"/>
          <w:sz w:val="22"/>
          <w:szCs w:val="22"/>
          <w:highlight w:val="none"/>
        </w:rPr>
        <w:fldChar w:fldCharType="begin"/>
      </w:r>
      <w:r>
        <w:rPr>
          <w:rFonts w:hint="eastAsia" w:ascii="方正仿宋_GB2312" w:hAnsi="方正仿宋_GB2312" w:eastAsia="方正仿宋_GB2312" w:cs="方正仿宋_GB2312"/>
          <w:b/>
          <w:bCs/>
          <w:color w:val="auto"/>
          <w:sz w:val="22"/>
          <w:szCs w:val="22"/>
          <w:highlight w:val="none"/>
        </w:rPr>
        <w:instrText xml:space="preserve"> HYPERLINK \l _Toc18672 </w:instrText>
      </w:r>
      <w:r>
        <w:rPr>
          <w:rFonts w:hint="eastAsia" w:ascii="方正仿宋_GB2312" w:hAnsi="方正仿宋_GB2312" w:eastAsia="方正仿宋_GB2312" w:cs="方正仿宋_GB2312"/>
          <w:b/>
          <w:bCs/>
          <w:color w:val="auto"/>
          <w:sz w:val="22"/>
          <w:szCs w:val="22"/>
          <w:highlight w:val="none"/>
        </w:rPr>
        <w:fldChar w:fldCharType="separate"/>
      </w:r>
      <w:r>
        <w:rPr>
          <w:rFonts w:hint="eastAsia" w:ascii="方正仿宋_GB2312" w:hAnsi="方正仿宋_GB2312" w:eastAsia="方正仿宋_GB2312" w:cs="方正仿宋_GB2312"/>
          <w:b/>
          <w:bCs/>
          <w:color w:val="auto"/>
          <w:sz w:val="22"/>
          <w:szCs w:val="22"/>
          <w:highlight w:val="none"/>
        </w:rPr>
        <w:t>第二章 采购需求</w:t>
      </w:r>
      <w:r>
        <w:rPr>
          <w:rFonts w:hint="eastAsia" w:ascii="方正仿宋_GB2312" w:hAnsi="方正仿宋_GB2312" w:eastAsia="方正仿宋_GB2312" w:cs="方正仿宋_GB2312"/>
          <w:b/>
          <w:bCs/>
          <w:color w:val="auto"/>
          <w:sz w:val="22"/>
          <w:szCs w:val="22"/>
          <w:highlight w:val="none"/>
        </w:rPr>
        <w:tab/>
      </w:r>
      <w:r>
        <w:rPr>
          <w:rFonts w:hint="eastAsia" w:ascii="方正仿宋_GB2312" w:hAnsi="方正仿宋_GB2312" w:eastAsia="方正仿宋_GB2312" w:cs="方正仿宋_GB2312"/>
          <w:b/>
          <w:bCs/>
          <w:color w:val="auto"/>
          <w:sz w:val="22"/>
          <w:szCs w:val="22"/>
          <w:highlight w:val="none"/>
        </w:rPr>
        <w:fldChar w:fldCharType="begin"/>
      </w:r>
      <w:r>
        <w:rPr>
          <w:rFonts w:hint="eastAsia" w:ascii="方正仿宋_GB2312" w:hAnsi="方正仿宋_GB2312" w:eastAsia="方正仿宋_GB2312" w:cs="方正仿宋_GB2312"/>
          <w:b/>
          <w:bCs/>
          <w:color w:val="auto"/>
          <w:sz w:val="22"/>
          <w:szCs w:val="22"/>
          <w:highlight w:val="none"/>
        </w:rPr>
        <w:instrText xml:space="preserve"> PAGEREF _Toc18672 \h </w:instrText>
      </w:r>
      <w:r>
        <w:rPr>
          <w:rFonts w:hint="eastAsia" w:ascii="方正仿宋_GB2312" w:hAnsi="方正仿宋_GB2312" w:eastAsia="方正仿宋_GB2312" w:cs="方正仿宋_GB2312"/>
          <w:b/>
          <w:bCs/>
          <w:color w:val="auto"/>
          <w:sz w:val="22"/>
          <w:szCs w:val="22"/>
          <w:highlight w:val="none"/>
        </w:rPr>
        <w:fldChar w:fldCharType="separate"/>
      </w:r>
      <w:r>
        <w:rPr>
          <w:rFonts w:hint="eastAsia" w:ascii="方正仿宋_GB2312" w:hAnsi="方正仿宋_GB2312" w:eastAsia="方正仿宋_GB2312" w:cs="方正仿宋_GB2312"/>
          <w:b/>
          <w:bCs/>
          <w:color w:val="auto"/>
          <w:sz w:val="22"/>
          <w:szCs w:val="22"/>
          <w:highlight w:val="none"/>
        </w:rPr>
        <w:t>5</w:t>
      </w:r>
      <w:r>
        <w:rPr>
          <w:rFonts w:hint="eastAsia" w:ascii="方正仿宋_GB2312" w:hAnsi="方正仿宋_GB2312" w:eastAsia="方正仿宋_GB2312" w:cs="方正仿宋_GB2312"/>
          <w:b/>
          <w:bCs/>
          <w:color w:val="auto"/>
          <w:sz w:val="22"/>
          <w:szCs w:val="22"/>
          <w:highlight w:val="none"/>
        </w:rPr>
        <w:fldChar w:fldCharType="end"/>
      </w:r>
      <w:r>
        <w:rPr>
          <w:rFonts w:hint="eastAsia" w:ascii="方正仿宋_GB2312" w:hAnsi="方正仿宋_GB2312" w:eastAsia="方正仿宋_GB2312" w:cs="方正仿宋_GB2312"/>
          <w:b/>
          <w:bCs/>
          <w:color w:val="auto"/>
          <w:sz w:val="22"/>
          <w:szCs w:val="22"/>
          <w:highlight w:val="none"/>
        </w:rPr>
        <w:fldChar w:fldCharType="end"/>
      </w:r>
    </w:p>
    <w:p w14:paraId="7C113262">
      <w:pPr>
        <w:pStyle w:val="22"/>
        <w:tabs>
          <w:tab w:val="right" w:leader="dot" w:pos="9745"/>
        </w:tabs>
        <w:spacing w:line="288" w:lineRule="auto"/>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b/>
          <w:bCs/>
          <w:color w:val="auto"/>
          <w:sz w:val="22"/>
          <w:szCs w:val="22"/>
          <w:highlight w:val="none"/>
        </w:rPr>
        <w:fldChar w:fldCharType="begin"/>
      </w:r>
      <w:r>
        <w:rPr>
          <w:rFonts w:hint="eastAsia" w:ascii="方正仿宋_GB2312" w:hAnsi="方正仿宋_GB2312" w:eastAsia="方正仿宋_GB2312" w:cs="方正仿宋_GB2312"/>
          <w:b/>
          <w:bCs/>
          <w:color w:val="auto"/>
          <w:sz w:val="22"/>
          <w:szCs w:val="22"/>
          <w:highlight w:val="none"/>
        </w:rPr>
        <w:instrText xml:space="preserve"> HYPERLINK \l _Toc4524 </w:instrText>
      </w:r>
      <w:r>
        <w:rPr>
          <w:rFonts w:hint="eastAsia" w:ascii="方正仿宋_GB2312" w:hAnsi="方正仿宋_GB2312" w:eastAsia="方正仿宋_GB2312" w:cs="方正仿宋_GB2312"/>
          <w:b/>
          <w:bCs/>
          <w:color w:val="auto"/>
          <w:sz w:val="22"/>
          <w:szCs w:val="22"/>
          <w:highlight w:val="none"/>
        </w:rPr>
        <w:fldChar w:fldCharType="separate"/>
      </w:r>
      <w:r>
        <w:rPr>
          <w:rFonts w:hint="eastAsia" w:ascii="方正仿宋_GB2312" w:hAnsi="方正仿宋_GB2312" w:eastAsia="方正仿宋_GB2312" w:cs="方正仿宋_GB2312"/>
          <w:b/>
          <w:bCs/>
          <w:color w:val="auto"/>
          <w:sz w:val="22"/>
          <w:szCs w:val="22"/>
          <w:highlight w:val="none"/>
        </w:rPr>
        <w:t>第三章 供应商须知</w:t>
      </w:r>
      <w:r>
        <w:rPr>
          <w:rFonts w:hint="eastAsia" w:ascii="方正仿宋_GB2312" w:hAnsi="方正仿宋_GB2312" w:eastAsia="方正仿宋_GB2312" w:cs="方正仿宋_GB2312"/>
          <w:b/>
          <w:bCs/>
          <w:color w:val="auto"/>
          <w:sz w:val="22"/>
          <w:szCs w:val="22"/>
          <w:highlight w:val="none"/>
        </w:rPr>
        <w:tab/>
      </w:r>
      <w:r>
        <w:rPr>
          <w:rFonts w:hint="eastAsia" w:ascii="方正仿宋_GB2312" w:hAnsi="方正仿宋_GB2312" w:eastAsia="方正仿宋_GB2312" w:cs="方正仿宋_GB2312"/>
          <w:b/>
          <w:bCs/>
          <w:color w:val="auto"/>
          <w:sz w:val="22"/>
          <w:szCs w:val="22"/>
          <w:highlight w:val="none"/>
        </w:rPr>
        <w:fldChar w:fldCharType="begin"/>
      </w:r>
      <w:r>
        <w:rPr>
          <w:rFonts w:hint="eastAsia" w:ascii="方正仿宋_GB2312" w:hAnsi="方正仿宋_GB2312" w:eastAsia="方正仿宋_GB2312" w:cs="方正仿宋_GB2312"/>
          <w:b/>
          <w:bCs/>
          <w:color w:val="auto"/>
          <w:sz w:val="22"/>
          <w:szCs w:val="22"/>
          <w:highlight w:val="none"/>
        </w:rPr>
        <w:instrText xml:space="preserve"> PAGEREF _Toc4524 \h </w:instrText>
      </w:r>
      <w:r>
        <w:rPr>
          <w:rFonts w:hint="eastAsia" w:ascii="方正仿宋_GB2312" w:hAnsi="方正仿宋_GB2312" w:eastAsia="方正仿宋_GB2312" w:cs="方正仿宋_GB2312"/>
          <w:b/>
          <w:bCs/>
          <w:color w:val="auto"/>
          <w:sz w:val="22"/>
          <w:szCs w:val="22"/>
          <w:highlight w:val="none"/>
        </w:rPr>
        <w:fldChar w:fldCharType="separate"/>
      </w:r>
      <w:r>
        <w:rPr>
          <w:rFonts w:hint="eastAsia" w:ascii="方正仿宋_GB2312" w:hAnsi="方正仿宋_GB2312" w:eastAsia="方正仿宋_GB2312" w:cs="方正仿宋_GB2312"/>
          <w:b/>
          <w:bCs/>
          <w:color w:val="auto"/>
          <w:sz w:val="22"/>
          <w:szCs w:val="22"/>
          <w:highlight w:val="none"/>
        </w:rPr>
        <w:t>12</w:t>
      </w:r>
      <w:r>
        <w:rPr>
          <w:rFonts w:hint="eastAsia" w:ascii="方正仿宋_GB2312" w:hAnsi="方正仿宋_GB2312" w:eastAsia="方正仿宋_GB2312" w:cs="方正仿宋_GB2312"/>
          <w:b/>
          <w:bCs/>
          <w:color w:val="auto"/>
          <w:sz w:val="22"/>
          <w:szCs w:val="22"/>
          <w:highlight w:val="none"/>
        </w:rPr>
        <w:fldChar w:fldCharType="end"/>
      </w:r>
      <w:r>
        <w:rPr>
          <w:rFonts w:hint="eastAsia" w:ascii="方正仿宋_GB2312" w:hAnsi="方正仿宋_GB2312" w:eastAsia="方正仿宋_GB2312" w:cs="方正仿宋_GB2312"/>
          <w:b/>
          <w:bCs/>
          <w:color w:val="auto"/>
          <w:sz w:val="22"/>
          <w:szCs w:val="22"/>
          <w:highlight w:val="none"/>
        </w:rPr>
        <w:fldChar w:fldCharType="end"/>
      </w:r>
    </w:p>
    <w:p w14:paraId="16CDD044">
      <w:pPr>
        <w:pStyle w:val="25"/>
        <w:tabs>
          <w:tab w:val="right" w:leader="dot" w:pos="9745"/>
          <w:tab w:val="clear" w:pos="8296"/>
        </w:tabs>
        <w:spacing w:line="288" w:lineRule="auto"/>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HYPERLINK \l _Toc3167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第一节 供应商须知前附表</w:t>
      </w:r>
      <w:r>
        <w:rPr>
          <w:rFonts w:hint="eastAsia" w:ascii="方正仿宋_GB2312" w:hAnsi="方正仿宋_GB2312" w:eastAsia="方正仿宋_GB2312" w:cs="方正仿宋_GB2312"/>
          <w:color w:val="auto"/>
          <w:sz w:val="22"/>
          <w:szCs w:val="22"/>
          <w:highlight w:val="none"/>
        </w:rPr>
        <w:tab/>
      </w: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PAGEREF _Toc3167 \h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12</w:t>
      </w:r>
      <w:r>
        <w:rPr>
          <w:rFonts w:hint="eastAsia" w:ascii="方正仿宋_GB2312" w:hAnsi="方正仿宋_GB2312" w:eastAsia="方正仿宋_GB2312" w:cs="方正仿宋_GB2312"/>
          <w:color w:val="auto"/>
          <w:sz w:val="22"/>
          <w:szCs w:val="22"/>
          <w:highlight w:val="none"/>
        </w:rPr>
        <w:fldChar w:fldCharType="end"/>
      </w:r>
      <w:r>
        <w:rPr>
          <w:rFonts w:hint="eastAsia" w:ascii="方正仿宋_GB2312" w:hAnsi="方正仿宋_GB2312" w:eastAsia="方正仿宋_GB2312" w:cs="方正仿宋_GB2312"/>
          <w:color w:val="auto"/>
          <w:sz w:val="22"/>
          <w:szCs w:val="22"/>
          <w:highlight w:val="none"/>
        </w:rPr>
        <w:fldChar w:fldCharType="end"/>
      </w:r>
    </w:p>
    <w:p w14:paraId="2C6BE868">
      <w:pPr>
        <w:pStyle w:val="25"/>
        <w:tabs>
          <w:tab w:val="right" w:leader="dot" w:pos="9745"/>
          <w:tab w:val="clear" w:pos="8296"/>
        </w:tabs>
        <w:spacing w:line="288" w:lineRule="auto"/>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HYPERLINK \l _Toc10372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第二节 供应商须知正文</w:t>
      </w:r>
      <w:r>
        <w:rPr>
          <w:rFonts w:hint="eastAsia" w:ascii="方正仿宋_GB2312" w:hAnsi="方正仿宋_GB2312" w:eastAsia="方正仿宋_GB2312" w:cs="方正仿宋_GB2312"/>
          <w:color w:val="auto"/>
          <w:sz w:val="22"/>
          <w:szCs w:val="22"/>
          <w:highlight w:val="none"/>
        </w:rPr>
        <w:tab/>
      </w: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PAGEREF _Toc10372 \h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18</w:t>
      </w:r>
      <w:r>
        <w:rPr>
          <w:rFonts w:hint="eastAsia" w:ascii="方正仿宋_GB2312" w:hAnsi="方正仿宋_GB2312" w:eastAsia="方正仿宋_GB2312" w:cs="方正仿宋_GB2312"/>
          <w:color w:val="auto"/>
          <w:sz w:val="22"/>
          <w:szCs w:val="22"/>
          <w:highlight w:val="none"/>
        </w:rPr>
        <w:fldChar w:fldCharType="end"/>
      </w:r>
      <w:r>
        <w:rPr>
          <w:rFonts w:hint="eastAsia" w:ascii="方正仿宋_GB2312" w:hAnsi="方正仿宋_GB2312" w:eastAsia="方正仿宋_GB2312" w:cs="方正仿宋_GB2312"/>
          <w:color w:val="auto"/>
          <w:sz w:val="22"/>
          <w:szCs w:val="22"/>
          <w:highlight w:val="none"/>
        </w:rPr>
        <w:fldChar w:fldCharType="end"/>
      </w:r>
    </w:p>
    <w:p w14:paraId="6105A089">
      <w:pPr>
        <w:pStyle w:val="16"/>
        <w:tabs>
          <w:tab w:val="right" w:leader="dot" w:pos="9745"/>
        </w:tabs>
        <w:spacing w:line="288" w:lineRule="auto"/>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HYPERLINK \l _Toc20107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一、总则</w:t>
      </w:r>
      <w:r>
        <w:rPr>
          <w:rFonts w:hint="eastAsia" w:ascii="方正仿宋_GB2312" w:hAnsi="方正仿宋_GB2312" w:eastAsia="方正仿宋_GB2312" w:cs="方正仿宋_GB2312"/>
          <w:color w:val="auto"/>
          <w:sz w:val="22"/>
          <w:szCs w:val="22"/>
          <w:highlight w:val="none"/>
        </w:rPr>
        <w:tab/>
      </w: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PAGEREF _Toc20107 \h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18</w:t>
      </w:r>
      <w:r>
        <w:rPr>
          <w:rFonts w:hint="eastAsia" w:ascii="方正仿宋_GB2312" w:hAnsi="方正仿宋_GB2312" w:eastAsia="方正仿宋_GB2312" w:cs="方正仿宋_GB2312"/>
          <w:color w:val="auto"/>
          <w:sz w:val="22"/>
          <w:szCs w:val="22"/>
          <w:highlight w:val="none"/>
        </w:rPr>
        <w:fldChar w:fldCharType="end"/>
      </w:r>
      <w:r>
        <w:rPr>
          <w:rFonts w:hint="eastAsia" w:ascii="方正仿宋_GB2312" w:hAnsi="方正仿宋_GB2312" w:eastAsia="方正仿宋_GB2312" w:cs="方正仿宋_GB2312"/>
          <w:color w:val="auto"/>
          <w:sz w:val="22"/>
          <w:szCs w:val="22"/>
          <w:highlight w:val="none"/>
        </w:rPr>
        <w:fldChar w:fldCharType="end"/>
      </w:r>
    </w:p>
    <w:p w14:paraId="181C154E">
      <w:pPr>
        <w:pStyle w:val="16"/>
        <w:tabs>
          <w:tab w:val="right" w:leader="dot" w:pos="9745"/>
        </w:tabs>
        <w:spacing w:line="288" w:lineRule="auto"/>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HYPERLINK \l _Toc20357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二、磋商文件</w:t>
      </w:r>
      <w:r>
        <w:rPr>
          <w:rFonts w:hint="eastAsia" w:ascii="方正仿宋_GB2312" w:hAnsi="方正仿宋_GB2312" w:eastAsia="方正仿宋_GB2312" w:cs="方正仿宋_GB2312"/>
          <w:color w:val="auto"/>
          <w:sz w:val="22"/>
          <w:szCs w:val="22"/>
          <w:highlight w:val="none"/>
        </w:rPr>
        <w:tab/>
      </w: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PAGEREF _Toc20357 \h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21</w:t>
      </w:r>
      <w:r>
        <w:rPr>
          <w:rFonts w:hint="eastAsia" w:ascii="方正仿宋_GB2312" w:hAnsi="方正仿宋_GB2312" w:eastAsia="方正仿宋_GB2312" w:cs="方正仿宋_GB2312"/>
          <w:color w:val="auto"/>
          <w:sz w:val="22"/>
          <w:szCs w:val="22"/>
          <w:highlight w:val="none"/>
        </w:rPr>
        <w:fldChar w:fldCharType="end"/>
      </w:r>
      <w:r>
        <w:rPr>
          <w:rFonts w:hint="eastAsia" w:ascii="方正仿宋_GB2312" w:hAnsi="方正仿宋_GB2312" w:eastAsia="方正仿宋_GB2312" w:cs="方正仿宋_GB2312"/>
          <w:color w:val="auto"/>
          <w:sz w:val="22"/>
          <w:szCs w:val="22"/>
          <w:highlight w:val="none"/>
        </w:rPr>
        <w:fldChar w:fldCharType="end"/>
      </w:r>
    </w:p>
    <w:p w14:paraId="3192DCF0">
      <w:pPr>
        <w:pStyle w:val="16"/>
        <w:tabs>
          <w:tab w:val="right" w:leader="dot" w:pos="9745"/>
        </w:tabs>
        <w:spacing w:line="288" w:lineRule="auto"/>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HYPERLINK \l _Toc3099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bCs/>
          <w:color w:val="auto"/>
          <w:sz w:val="22"/>
          <w:szCs w:val="22"/>
          <w:highlight w:val="none"/>
        </w:rPr>
        <w:t>三、响应文件的编制</w:t>
      </w:r>
      <w:r>
        <w:rPr>
          <w:rFonts w:hint="eastAsia" w:ascii="方正仿宋_GB2312" w:hAnsi="方正仿宋_GB2312" w:eastAsia="方正仿宋_GB2312" w:cs="方正仿宋_GB2312"/>
          <w:color w:val="auto"/>
          <w:sz w:val="22"/>
          <w:szCs w:val="22"/>
          <w:highlight w:val="none"/>
        </w:rPr>
        <w:tab/>
      </w: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PAGEREF _Toc3099 \h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22</w:t>
      </w:r>
      <w:r>
        <w:rPr>
          <w:rFonts w:hint="eastAsia" w:ascii="方正仿宋_GB2312" w:hAnsi="方正仿宋_GB2312" w:eastAsia="方正仿宋_GB2312" w:cs="方正仿宋_GB2312"/>
          <w:color w:val="auto"/>
          <w:sz w:val="22"/>
          <w:szCs w:val="22"/>
          <w:highlight w:val="none"/>
        </w:rPr>
        <w:fldChar w:fldCharType="end"/>
      </w:r>
      <w:r>
        <w:rPr>
          <w:rFonts w:hint="eastAsia" w:ascii="方正仿宋_GB2312" w:hAnsi="方正仿宋_GB2312" w:eastAsia="方正仿宋_GB2312" w:cs="方正仿宋_GB2312"/>
          <w:color w:val="auto"/>
          <w:sz w:val="22"/>
          <w:szCs w:val="22"/>
          <w:highlight w:val="none"/>
        </w:rPr>
        <w:fldChar w:fldCharType="end"/>
      </w:r>
    </w:p>
    <w:p w14:paraId="13F6AF68">
      <w:pPr>
        <w:pStyle w:val="16"/>
        <w:tabs>
          <w:tab w:val="right" w:leader="dot" w:pos="9745"/>
        </w:tabs>
        <w:spacing w:line="288" w:lineRule="auto"/>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HYPERLINK \l _Toc3515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四、评审及磋商</w:t>
      </w:r>
      <w:r>
        <w:rPr>
          <w:rFonts w:hint="eastAsia" w:ascii="方正仿宋_GB2312" w:hAnsi="方正仿宋_GB2312" w:eastAsia="方正仿宋_GB2312" w:cs="方正仿宋_GB2312"/>
          <w:color w:val="auto"/>
          <w:sz w:val="22"/>
          <w:szCs w:val="22"/>
          <w:highlight w:val="none"/>
        </w:rPr>
        <w:tab/>
      </w: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PAGEREF _Toc3515 \h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24</w:t>
      </w:r>
      <w:r>
        <w:rPr>
          <w:rFonts w:hint="eastAsia" w:ascii="方正仿宋_GB2312" w:hAnsi="方正仿宋_GB2312" w:eastAsia="方正仿宋_GB2312" w:cs="方正仿宋_GB2312"/>
          <w:color w:val="auto"/>
          <w:sz w:val="22"/>
          <w:szCs w:val="22"/>
          <w:highlight w:val="none"/>
        </w:rPr>
        <w:fldChar w:fldCharType="end"/>
      </w:r>
      <w:r>
        <w:rPr>
          <w:rFonts w:hint="eastAsia" w:ascii="方正仿宋_GB2312" w:hAnsi="方正仿宋_GB2312" w:eastAsia="方正仿宋_GB2312" w:cs="方正仿宋_GB2312"/>
          <w:color w:val="auto"/>
          <w:sz w:val="22"/>
          <w:szCs w:val="22"/>
          <w:highlight w:val="none"/>
        </w:rPr>
        <w:fldChar w:fldCharType="end"/>
      </w:r>
    </w:p>
    <w:p w14:paraId="6E0E93A0">
      <w:pPr>
        <w:pStyle w:val="16"/>
        <w:tabs>
          <w:tab w:val="right" w:leader="dot" w:pos="9745"/>
        </w:tabs>
        <w:spacing w:line="288" w:lineRule="auto"/>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HYPERLINK \l _Toc16614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五、成交及合同</w:t>
      </w:r>
      <w:r>
        <w:rPr>
          <w:rFonts w:hint="eastAsia" w:ascii="方正仿宋_GB2312" w:hAnsi="方正仿宋_GB2312" w:eastAsia="方正仿宋_GB2312" w:cs="方正仿宋_GB2312"/>
          <w:color w:val="auto"/>
          <w:sz w:val="22"/>
          <w:szCs w:val="22"/>
          <w:highlight w:val="none"/>
        </w:rPr>
        <w:tab/>
      </w: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PAGEREF _Toc16614 \h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26</w:t>
      </w:r>
      <w:r>
        <w:rPr>
          <w:rFonts w:hint="eastAsia" w:ascii="方正仿宋_GB2312" w:hAnsi="方正仿宋_GB2312" w:eastAsia="方正仿宋_GB2312" w:cs="方正仿宋_GB2312"/>
          <w:color w:val="auto"/>
          <w:sz w:val="22"/>
          <w:szCs w:val="22"/>
          <w:highlight w:val="none"/>
        </w:rPr>
        <w:fldChar w:fldCharType="end"/>
      </w:r>
      <w:r>
        <w:rPr>
          <w:rFonts w:hint="eastAsia" w:ascii="方正仿宋_GB2312" w:hAnsi="方正仿宋_GB2312" w:eastAsia="方正仿宋_GB2312" w:cs="方正仿宋_GB2312"/>
          <w:color w:val="auto"/>
          <w:sz w:val="22"/>
          <w:szCs w:val="22"/>
          <w:highlight w:val="none"/>
        </w:rPr>
        <w:fldChar w:fldCharType="end"/>
      </w:r>
    </w:p>
    <w:p w14:paraId="2B1E9AFF">
      <w:pPr>
        <w:pStyle w:val="16"/>
        <w:tabs>
          <w:tab w:val="right" w:leader="dot" w:pos="9745"/>
        </w:tabs>
        <w:spacing w:line="288" w:lineRule="auto"/>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HYPERLINK \l _Toc9397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六、验收</w:t>
      </w:r>
      <w:r>
        <w:rPr>
          <w:rFonts w:hint="eastAsia" w:ascii="方正仿宋_GB2312" w:hAnsi="方正仿宋_GB2312" w:eastAsia="方正仿宋_GB2312" w:cs="方正仿宋_GB2312"/>
          <w:color w:val="auto"/>
          <w:sz w:val="22"/>
          <w:szCs w:val="22"/>
          <w:highlight w:val="none"/>
        </w:rPr>
        <w:tab/>
      </w: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PAGEREF _Toc9397 \h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30</w:t>
      </w:r>
      <w:r>
        <w:rPr>
          <w:rFonts w:hint="eastAsia" w:ascii="方正仿宋_GB2312" w:hAnsi="方正仿宋_GB2312" w:eastAsia="方正仿宋_GB2312" w:cs="方正仿宋_GB2312"/>
          <w:color w:val="auto"/>
          <w:sz w:val="22"/>
          <w:szCs w:val="22"/>
          <w:highlight w:val="none"/>
        </w:rPr>
        <w:fldChar w:fldCharType="end"/>
      </w:r>
      <w:r>
        <w:rPr>
          <w:rFonts w:hint="eastAsia" w:ascii="方正仿宋_GB2312" w:hAnsi="方正仿宋_GB2312" w:eastAsia="方正仿宋_GB2312" w:cs="方正仿宋_GB2312"/>
          <w:color w:val="auto"/>
          <w:sz w:val="22"/>
          <w:szCs w:val="22"/>
          <w:highlight w:val="none"/>
        </w:rPr>
        <w:fldChar w:fldCharType="end"/>
      </w:r>
    </w:p>
    <w:p w14:paraId="4077464D">
      <w:pPr>
        <w:pStyle w:val="16"/>
        <w:tabs>
          <w:tab w:val="right" w:leader="dot" w:pos="9745"/>
        </w:tabs>
        <w:spacing w:line="288" w:lineRule="auto"/>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HYPERLINK \l _Toc20742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七、其他事项</w:t>
      </w:r>
      <w:r>
        <w:rPr>
          <w:rFonts w:hint="eastAsia" w:ascii="方正仿宋_GB2312" w:hAnsi="方正仿宋_GB2312" w:eastAsia="方正仿宋_GB2312" w:cs="方正仿宋_GB2312"/>
          <w:color w:val="auto"/>
          <w:sz w:val="22"/>
          <w:szCs w:val="22"/>
          <w:highlight w:val="none"/>
        </w:rPr>
        <w:tab/>
      </w: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PAGEREF _Toc20742 \h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30</w:t>
      </w:r>
      <w:r>
        <w:rPr>
          <w:rFonts w:hint="eastAsia" w:ascii="方正仿宋_GB2312" w:hAnsi="方正仿宋_GB2312" w:eastAsia="方正仿宋_GB2312" w:cs="方正仿宋_GB2312"/>
          <w:color w:val="auto"/>
          <w:sz w:val="22"/>
          <w:szCs w:val="22"/>
          <w:highlight w:val="none"/>
        </w:rPr>
        <w:fldChar w:fldCharType="end"/>
      </w:r>
      <w:r>
        <w:rPr>
          <w:rFonts w:hint="eastAsia" w:ascii="方正仿宋_GB2312" w:hAnsi="方正仿宋_GB2312" w:eastAsia="方正仿宋_GB2312" w:cs="方正仿宋_GB2312"/>
          <w:color w:val="auto"/>
          <w:sz w:val="22"/>
          <w:szCs w:val="22"/>
          <w:highlight w:val="none"/>
        </w:rPr>
        <w:fldChar w:fldCharType="end"/>
      </w:r>
    </w:p>
    <w:p w14:paraId="5E709CCA">
      <w:pPr>
        <w:pStyle w:val="22"/>
        <w:tabs>
          <w:tab w:val="right" w:leader="dot" w:pos="9745"/>
        </w:tabs>
        <w:spacing w:line="288" w:lineRule="auto"/>
        <w:rPr>
          <w:rFonts w:hint="eastAsia" w:ascii="方正仿宋_GB2312" w:hAnsi="方正仿宋_GB2312" w:eastAsia="方正仿宋_GB2312" w:cs="方正仿宋_GB2312"/>
          <w:b/>
          <w:bCs/>
          <w:color w:val="auto"/>
          <w:sz w:val="22"/>
          <w:szCs w:val="22"/>
          <w:highlight w:val="none"/>
        </w:rPr>
      </w:pPr>
      <w:r>
        <w:rPr>
          <w:rFonts w:hint="eastAsia" w:ascii="方正仿宋_GB2312" w:hAnsi="方正仿宋_GB2312" w:eastAsia="方正仿宋_GB2312" w:cs="方正仿宋_GB2312"/>
          <w:b/>
          <w:bCs/>
          <w:color w:val="auto"/>
          <w:sz w:val="22"/>
          <w:szCs w:val="22"/>
          <w:highlight w:val="none"/>
        </w:rPr>
        <w:fldChar w:fldCharType="begin"/>
      </w:r>
      <w:r>
        <w:rPr>
          <w:rFonts w:hint="eastAsia" w:ascii="方正仿宋_GB2312" w:hAnsi="方正仿宋_GB2312" w:eastAsia="方正仿宋_GB2312" w:cs="方正仿宋_GB2312"/>
          <w:b/>
          <w:bCs/>
          <w:color w:val="auto"/>
          <w:sz w:val="22"/>
          <w:szCs w:val="22"/>
          <w:highlight w:val="none"/>
        </w:rPr>
        <w:instrText xml:space="preserve"> HYPERLINK \l _Toc5573 </w:instrText>
      </w:r>
      <w:r>
        <w:rPr>
          <w:rFonts w:hint="eastAsia" w:ascii="方正仿宋_GB2312" w:hAnsi="方正仿宋_GB2312" w:eastAsia="方正仿宋_GB2312" w:cs="方正仿宋_GB2312"/>
          <w:b/>
          <w:bCs/>
          <w:color w:val="auto"/>
          <w:sz w:val="22"/>
          <w:szCs w:val="22"/>
          <w:highlight w:val="none"/>
        </w:rPr>
        <w:fldChar w:fldCharType="separate"/>
      </w:r>
      <w:r>
        <w:rPr>
          <w:rFonts w:hint="eastAsia" w:ascii="方正仿宋_GB2312" w:hAnsi="方正仿宋_GB2312" w:eastAsia="方正仿宋_GB2312" w:cs="方正仿宋_GB2312"/>
          <w:b/>
          <w:bCs/>
          <w:color w:val="auto"/>
          <w:sz w:val="22"/>
          <w:szCs w:val="22"/>
          <w:highlight w:val="none"/>
        </w:rPr>
        <w:t>第四章 评审程序、评审方法和评审标准</w:t>
      </w:r>
      <w:r>
        <w:rPr>
          <w:rFonts w:hint="eastAsia" w:ascii="方正仿宋_GB2312" w:hAnsi="方正仿宋_GB2312" w:eastAsia="方正仿宋_GB2312" w:cs="方正仿宋_GB2312"/>
          <w:b/>
          <w:bCs/>
          <w:color w:val="auto"/>
          <w:sz w:val="22"/>
          <w:szCs w:val="22"/>
          <w:highlight w:val="none"/>
        </w:rPr>
        <w:tab/>
      </w:r>
      <w:r>
        <w:rPr>
          <w:rFonts w:hint="eastAsia" w:ascii="方正仿宋_GB2312" w:hAnsi="方正仿宋_GB2312" w:eastAsia="方正仿宋_GB2312" w:cs="方正仿宋_GB2312"/>
          <w:b/>
          <w:bCs/>
          <w:color w:val="auto"/>
          <w:sz w:val="22"/>
          <w:szCs w:val="22"/>
          <w:highlight w:val="none"/>
        </w:rPr>
        <w:fldChar w:fldCharType="begin"/>
      </w:r>
      <w:r>
        <w:rPr>
          <w:rFonts w:hint="eastAsia" w:ascii="方正仿宋_GB2312" w:hAnsi="方正仿宋_GB2312" w:eastAsia="方正仿宋_GB2312" w:cs="方正仿宋_GB2312"/>
          <w:b/>
          <w:bCs/>
          <w:color w:val="auto"/>
          <w:sz w:val="22"/>
          <w:szCs w:val="22"/>
          <w:highlight w:val="none"/>
        </w:rPr>
        <w:instrText xml:space="preserve"> PAGEREF _Toc5573 \h </w:instrText>
      </w:r>
      <w:r>
        <w:rPr>
          <w:rFonts w:hint="eastAsia" w:ascii="方正仿宋_GB2312" w:hAnsi="方正仿宋_GB2312" w:eastAsia="方正仿宋_GB2312" w:cs="方正仿宋_GB2312"/>
          <w:b/>
          <w:bCs/>
          <w:color w:val="auto"/>
          <w:sz w:val="22"/>
          <w:szCs w:val="22"/>
          <w:highlight w:val="none"/>
        </w:rPr>
        <w:fldChar w:fldCharType="separate"/>
      </w:r>
      <w:r>
        <w:rPr>
          <w:rFonts w:hint="eastAsia" w:ascii="方正仿宋_GB2312" w:hAnsi="方正仿宋_GB2312" w:eastAsia="方正仿宋_GB2312" w:cs="方正仿宋_GB2312"/>
          <w:b/>
          <w:bCs/>
          <w:color w:val="auto"/>
          <w:sz w:val="22"/>
          <w:szCs w:val="22"/>
          <w:highlight w:val="none"/>
        </w:rPr>
        <w:t>30</w:t>
      </w:r>
      <w:r>
        <w:rPr>
          <w:rFonts w:hint="eastAsia" w:ascii="方正仿宋_GB2312" w:hAnsi="方正仿宋_GB2312" w:eastAsia="方正仿宋_GB2312" w:cs="方正仿宋_GB2312"/>
          <w:b/>
          <w:bCs/>
          <w:color w:val="auto"/>
          <w:sz w:val="22"/>
          <w:szCs w:val="22"/>
          <w:highlight w:val="none"/>
        </w:rPr>
        <w:fldChar w:fldCharType="end"/>
      </w:r>
      <w:r>
        <w:rPr>
          <w:rFonts w:hint="eastAsia" w:ascii="方正仿宋_GB2312" w:hAnsi="方正仿宋_GB2312" w:eastAsia="方正仿宋_GB2312" w:cs="方正仿宋_GB2312"/>
          <w:b/>
          <w:bCs/>
          <w:color w:val="auto"/>
          <w:sz w:val="22"/>
          <w:szCs w:val="22"/>
          <w:highlight w:val="none"/>
        </w:rPr>
        <w:fldChar w:fldCharType="end"/>
      </w:r>
    </w:p>
    <w:p w14:paraId="6C103180">
      <w:pPr>
        <w:pStyle w:val="25"/>
        <w:tabs>
          <w:tab w:val="right" w:leader="dot" w:pos="9745"/>
          <w:tab w:val="clear" w:pos="8296"/>
        </w:tabs>
        <w:spacing w:line="288" w:lineRule="auto"/>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HYPERLINK \l _Toc14243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bCs/>
          <w:color w:val="auto"/>
          <w:sz w:val="22"/>
          <w:szCs w:val="22"/>
          <w:highlight w:val="none"/>
        </w:rPr>
        <w:t>第一节 评审程序和评审方法</w:t>
      </w:r>
      <w:r>
        <w:rPr>
          <w:rFonts w:hint="eastAsia" w:ascii="方正仿宋_GB2312" w:hAnsi="方正仿宋_GB2312" w:eastAsia="方正仿宋_GB2312" w:cs="方正仿宋_GB2312"/>
          <w:color w:val="auto"/>
          <w:sz w:val="22"/>
          <w:szCs w:val="22"/>
          <w:highlight w:val="none"/>
        </w:rPr>
        <w:tab/>
      </w: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PAGEREF _Toc14243 \h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32</w:t>
      </w:r>
      <w:r>
        <w:rPr>
          <w:rFonts w:hint="eastAsia" w:ascii="方正仿宋_GB2312" w:hAnsi="方正仿宋_GB2312" w:eastAsia="方正仿宋_GB2312" w:cs="方正仿宋_GB2312"/>
          <w:color w:val="auto"/>
          <w:sz w:val="22"/>
          <w:szCs w:val="22"/>
          <w:highlight w:val="none"/>
        </w:rPr>
        <w:fldChar w:fldCharType="end"/>
      </w:r>
      <w:r>
        <w:rPr>
          <w:rFonts w:hint="eastAsia" w:ascii="方正仿宋_GB2312" w:hAnsi="方正仿宋_GB2312" w:eastAsia="方正仿宋_GB2312" w:cs="方正仿宋_GB2312"/>
          <w:color w:val="auto"/>
          <w:sz w:val="22"/>
          <w:szCs w:val="22"/>
          <w:highlight w:val="none"/>
        </w:rPr>
        <w:fldChar w:fldCharType="end"/>
      </w:r>
    </w:p>
    <w:p w14:paraId="4AC7B062">
      <w:pPr>
        <w:pStyle w:val="25"/>
        <w:tabs>
          <w:tab w:val="right" w:leader="dot" w:pos="9745"/>
          <w:tab w:val="clear" w:pos="8296"/>
        </w:tabs>
        <w:spacing w:line="288" w:lineRule="auto"/>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HYPERLINK \l _Toc23080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bCs/>
          <w:color w:val="auto"/>
          <w:sz w:val="22"/>
          <w:szCs w:val="22"/>
          <w:highlight w:val="none"/>
        </w:rPr>
        <w:t>第二节 评标报告</w:t>
      </w:r>
      <w:r>
        <w:rPr>
          <w:rFonts w:hint="eastAsia" w:ascii="方正仿宋_GB2312" w:hAnsi="方正仿宋_GB2312" w:eastAsia="方正仿宋_GB2312" w:cs="方正仿宋_GB2312"/>
          <w:color w:val="auto"/>
          <w:sz w:val="22"/>
          <w:szCs w:val="22"/>
          <w:highlight w:val="none"/>
        </w:rPr>
        <w:tab/>
      </w: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PAGEREF _Toc23080 \h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43</w:t>
      </w:r>
      <w:r>
        <w:rPr>
          <w:rFonts w:hint="eastAsia" w:ascii="方正仿宋_GB2312" w:hAnsi="方正仿宋_GB2312" w:eastAsia="方正仿宋_GB2312" w:cs="方正仿宋_GB2312"/>
          <w:color w:val="auto"/>
          <w:sz w:val="22"/>
          <w:szCs w:val="22"/>
          <w:highlight w:val="none"/>
        </w:rPr>
        <w:fldChar w:fldCharType="end"/>
      </w:r>
      <w:r>
        <w:rPr>
          <w:rFonts w:hint="eastAsia" w:ascii="方正仿宋_GB2312" w:hAnsi="方正仿宋_GB2312" w:eastAsia="方正仿宋_GB2312" w:cs="方正仿宋_GB2312"/>
          <w:color w:val="auto"/>
          <w:sz w:val="22"/>
          <w:szCs w:val="22"/>
          <w:highlight w:val="none"/>
        </w:rPr>
        <w:fldChar w:fldCharType="end"/>
      </w:r>
    </w:p>
    <w:p w14:paraId="450F4508">
      <w:pPr>
        <w:pStyle w:val="25"/>
        <w:tabs>
          <w:tab w:val="right" w:leader="dot" w:pos="9745"/>
          <w:tab w:val="clear" w:pos="8296"/>
        </w:tabs>
        <w:spacing w:line="288" w:lineRule="auto"/>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HYPERLINK \l _Toc4336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bCs/>
          <w:color w:val="auto"/>
          <w:sz w:val="22"/>
          <w:szCs w:val="22"/>
          <w:highlight w:val="none"/>
        </w:rPr>
        <w:t>第三节 评审过程的保密与录像</w:t>
      </w:r>
      <w:r>
        <w:rPr>
          <w:rFonts w:hint="eastAsia" w:ascii="方正仿宋_GB2312" w:hAnsi="方正仿宋_GB2312" w:eastAsia="方正仿宋_GB2312" w:cs="方正仿宋_GB2312"/>
          <w:color w:val="auto"/>
          <w:sz w:val="22"/>
          <w:szCs w:val="22"/>
          <w:highlight w:val="none"/>
        </w:rPr>
        <w:tab/>
      </w: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PAGEREF _Toc4336 \h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43</w:t>
      </w:r>
      <w:r>
        <w:rPr>
          <w:rFonts w:hint="eastAsia" w:ascii="方正仿宋_GB2312" w:hAnsi="方正仿宋_GB2312" w:eastAsia="方正仿宋_GB2312" w:cs="方正仿宋_GB2312"/>
          <w:color w:val="auto"/>
          <w:sz w:val="22"/>
          <w:szCs w:val="22"/>
          <w:highlight w:val="none"/>
        </w:rPr>
        <w:fldChar w:fldCharType="end"/>
      </w:r>
      <w:r>
        <w:rPr>
          <w:rFonts w:hint="eastAsia" w:ascii="方正仿宋_GB2312" w:hAnsi="方正仿宋_GB2312" w:eastAsia="方正仿宋_GB2312" w:cs="方正仿宋_GB2312"/>
          <w:color w:val="auto"/>
          <w:sz w:val="22"/>
          <w:szCs w:val="22"/>
          <w:highlight w:val="none"/>
        </w:rPr>
        <w:fldChar w:fldCharType="end"/>
      </w:r>
    </w:p>
    <w:p w14:paraId="42076A02">
      <w:pPr>
        <w:pStyle w:val="22"/>
        <w:tabs>
          <w:tab w:val="right" w:leader="dot" w:pos="9745"/>
        </w:tabs>
        <w:spacing w:line="288" w:lineRule="auto"/>
        <w:rPr>
          <w:rFonts w:hint="eastAsia" w:ascii="方正仿宋_GB2312" w:hAnsi="方正仿宋_GB2312" w:eastAsia="方正仿宋_GB2312" w:cs="方正仿宋_GB2312"/>
          <w:b/>
          <w:bCs/>
          <w:color w:val="auto"/>
          <w:sz w:val="22"/>
          <w:szCs w:val="22"/>
          <w:highlight w:val="none"/>
        </w:rPr>
      </w:pPr>
      <w:r>
        <w:rPr>
          <w:rFonts w:hint="eastAsia" w:ascii="方正仿宋_GB2312" w:hAnsi="方正仿宋_GB2312" w:eastAsia="方正仿宋_GB2312" w:cs="方正仿宋_GB2312"/>
          <w:b/>
          <w:bCs/>
          <w:color w:val="auto"/>
          <w:sz w:val="22"/>
          <w:szCs w:val="22"/>
          <w:highlight w:val="none"/>
        </w:rPr>
        <w:fldChar w:fldCharType="begin"/>
      </w:r>
      <w:r>
        <w:rPr>
          <w:rFonts w:hint="eastAsia" w:ascii="方正仿宋_GB2312" w:hAnsi="方正仿宋_GB2312" w:eastAsia="方正仿宋_GB2312" w:cs="方正仿宋_GB2312"/>
          <w:b/>
          <w:bCs/>
          <w:color w:val="auto"/>
          <w:sz w:val="22"/>
          <w:szCs w:val="22"/>
          <w:highlight w:val="none"/>
        </w:rPr>
        <w:instrText xml:space="preserve"> HYPERLINK \l _Toc11653 </w:instrText>
      </w:r>
      <w:r>
        <w:rPr>
          <w:rFonts w:hint="eastAsia" w:ascii="方正仿宋_GB2312" w:hAnsi="方正仿宋_GB2312" w:eastAsia="方正仿宋_GB2312" w:cs="方正仿宋_GB2312"/>
          <w:b/>
          <w:bCs/>
          <w:color w:val="auto"/>
          <w:sz w:val="22"/>
          <w:szCs w:val="22"/>
          <w:highlight w:val="none"/>
        </w:rPr>
        <w:fldChar w:fldCharType="separate"/>
      </w:r>
      <w:r>
        <w:rPr>
          <w:rFonts w:hint="eastAsia" w:ascii="方正仿宋_GB2312" w:hAnsi="方正仿宋_GB2312" w:eastAsia="方正仿宋_GB2312" w:cs="方正仿宋_GB2312"/>
          <w:b/>
          <w:bCs/>
          <w:color w:val="auto"/>
          <w:sz w:val="22"/>
          <w:szCs w:val="22"/>
          <w:highlight w:val="none"/>
        </w:rPr>
        <w:t>第五章 响应文件格式</w:t>
      </w:r>
      <w:r>
        <w:rPr>
          <w:rFonts w:hint="eastAsia" w:ascii="方正仿宋_GB2312" w:hAnsi="方正仿宋_GB2312" w:eastAsia="方正仿宋_GB2312" w:cs="方正仿宋_GB2312"/>
          <w:b/>
          <w:bCs/>
          <w:color w:val="auto"/>
          <w:sz w:val="22"/>
          <w:szCs w:val="22"/>
          <w:highlight w:val="none"/>
        </w:rPr>
        <w:tab/>
      </w:r>
      <w:r>
        <w:rPr>
          <w:rFonts w:hint="eastAsia" w:ascii="方正仿宋_GB2312" w:hAnsi="方正仿宋_GB2312" w:eastAsia="方正仿宋_GB2312" w:cs="方正仿宋_GB2312"/>
          <w:b/>
          <w:bCs/>
          <w:color w:val="auto"/>
          <w:sz w:val="22"/>
          <w:szCs w:val="22"/>
          <w:highlight w:val="none"/>
        </w:rPr>
        <w:fldChar w:fldCharType="begin"/>
      </w:r>
      <w:r>
        <w:rPr>
          <w:rFonts w:hint="eastAsia" w:ascii="方正仿宋_GB2312" w:hAnsi="方正仿宋_GB2312" w:eastAsia="方正仿宋_GB2312" w:cs="方正仿宋_GB2312"/>
          <w:b/>
          <w:bCs/>
          <w:color w:val="auto"/>
          <w:sz w:val="22"/>
          <w:szCs w:val="22"/>
          <w:highlight w:val="none"/>
        </w:rPr>
        <w:instrText xml:space="preserve"> PAGEREF _Toc11653 \h </w:instrText>
      </w:r>
      <w:r>
        <w:rPr>
          <w:rFonts w:hint="eastAsia" w:ascii="方正仿宋_GB2312" w:hAnsi="方正仿宋_GB2312" w:eastAsia="方正仿宋_GB2312" w:cs="方正仿宋_GB2312"/>
          <w:b/>
          <w:bCs/>
          <w:color w:val="auto"/>
          <w:sz w:val="22"/>
          <w:szCs w:val="22"/>
          <w:highlight w:val="none"/>
        </w:rPr>
        <w:fldChar w:fldCharType="separate"/>
      </w:r>
      <w:r>
        <w:rPr>
          <w:rFonts w:hint="eastAsia" w:ascii="方正仿宋_GB2312" w:hAnsi="方正仿宋_GB2312" w:eastAsia="方正仿宋_GB2312" w:cs="方正仿宋_GB2312"/>
          <w:b/>
          <w:bCs/>
          <w:color w:val="auto"/>
          <w:sz w:val="22"/>
          <w:szCs w:val="22"/>
          <w:highlight w:val="none"/>
        </w:rPr>
        <w:t>44</w:t>
      </w:r>
      <w:r>
        <w:rPr>
          <w:rFonts w:hint="eastAsia" w:ascii="方正仿宋_GB2312" w:hAnsi="方正仿宋_GB2312" w:eastAsia="方正仿宋_GB2312" w:cs="方正仿宋_GB2312"/>
          <w:b/>
          <w:bCs/>
          <w:color w:val="auto"/>
          <w:sz w:val="22"/>
          <w:szCs w:val="22"/>
          <w:highlight w:val="none"/>
        </w:rPr>
        <w:fldChar w:fldCharType="end"/>
      </w:r>
      <w:r>
        <w:rPr>
          <w:rFonts w:hint="eastAsia" w:ascii="方正仿宋_GB2312" w:hAnsi="方正仿宋_GB2312" w:eastAsia="方正仿宋_GB2312" w:cs="方正仿宋_GB2312"/>
          <w:b/>
          <w:bCs/>
          <w:color w:val="auto"/>
          <w:sz w:val="22"/>
          <w:szCs w:val="22"/>
          <w:highlight w:val="none"/>
        </w:rPr>
        <w:fldChar w:fldCharType="end"/>
      </w:r>
    </w:p>
    <w:p w14:paraId="25B48587">
      <w:pPr>
        <w:pStyle w:val="25"/>
        <w:tabs>
          <w:tab w:val="right" w:leader="dot" w:pos="9745"/>
          <w:tab w:val="clear" w:pos="8296"/>
        </w:tabs>
        <w:spacing w:line="288" w:lineRule="auto"/>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HYPERLINK \l _Toc300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第一节 封面格式</w:t>
      </w:r>
      <w:r>
        <w:rPr>
          <w:rFonts w:hint="eastAsia" w:ascii="方正仿宋_GB2312" w:hAnsi="方正仿宋_GB2312" w:eastAsia="方正仿宋_GB2312" w:cs="方正仿宋_GB2312"/>
          <w:color w:val="auto"/>
          <w:sz w:val="22"/>
          <w:szCs w:val="22"/>
          <w:highlight w:val="none"/>
        </w:rPr>
        <w:tab/>
      </w: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PAGEREF _Toc300 \h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44</w:t>
      </w:r>
      <w:r>
        <w:rPr>
          <w:rFonts w:hint="eastAsia" w:ascii="方正仿宋_GB2312" w:hAnsi="方正仿宋_GB2312" w:eastAsia="方正仿宋_GB2312" w:cs="方正仿宋_GB2312"/>
          <w:color w:val="auto"/>
          <w:sz w:val="22"/>
          <w:szCs w:val="22"/>
          <w:highlight w:val="none"/>
        </w:rPr>
        <w:fldChar w:fldCharType="end"/>
      </w:r>
      <w:r>
        <w:rPr>
          <w:rFonts w:hint="eastAsia" w:ascii="方正仿宋_GB2312" w:hAnsi="方正仿宋_GB2312" w:eastAsia="方正仿宋_GB2312" w:cs="方正仿宋_GB2312"/>
          <w:color w:val="auto"/>
          <w:sz w:val="22"/>
          <w:szCs w:val="22"/>
          <w:highlight w:val="none"/>
        </w:rPr>
        <w:fldChar w:fldCharType="end"/>
      </w:r>
    </w:p>
    <w:p w14:paraId="7650DA2C">
      <w:pPr>
        <w:pStyle w:val="25"/>
        <w:tabs>
          <w:tab w:val="right" w:leader="dot" w:pos="9745"/>
          <w:tab w:val="clear" w:pos="8296"/>
        </w:tabs>
        <w:spacing w:line="288" w:lineRule="auto"/>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HYPERLINK \l _Toc1390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bCs/>
          <w:color w:val="auto"/>
          <w:sz w:val="22"/>
          <w:szCs w:val="22"/>
          <w:highlight w:val="none"/>
        </w:rPr>
        <w:t>第二节 资格证明文件格式</w:t>
      </w:r>
      <w:r>
        <w:rPr>
          <w:rFonts w:hint="eastAsia" w:ascii="方正仿宋_GB2312" w:hAnsi="方正仿宋_GB2312" w:eastAsia="方正仿宋_GB2312" w:cs="方正仿宋_GB2312"/>
          <w:color w:val="auto"/>
          <w:sz w:val="22"/>
          <w:szCs w:val="22"/>
          <w:highlight w:val="none"/>
        </w:rPr>
        <w:tab/>
      </w: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PAGEREF _Toc1390 \h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45</w:t>
      </w:r>
      <w:r>
        <w:rPr>
          <w:rFonts w:hint="eastAsia" w:ascii="方正仿宋_GB2312" w:hAnsi="方正仿宋_GB2312" w:eastAsia="方正仿宋_GB2312" w:cs="方正仿宋_GB2312"/>
          <w:color w:val="auto"/>
          <w:sz w:val="22"/>
          <w:szCs w:val="22"/>
          <w:highlight w:val="none"/>
        </w:rPr>
        <w:fldChar w:fldCharType="end"/>
      </w:r>
      <w:r>
        <w:rPr>
          <w:rFonts w:hint="eastAsia" w:ascii="方正仿宋_GB2312" w:hAnsi="方正仿宋_GB2312" w:eastAsia="方正仿宋_GB2312" w:cs="方正仿宋_GB2312"/>
          <w:color w:val="auto"/>
          <w:sz w:val="22"/>
          <w:szCs w:val="22"/>
          <w:highlight w:val="none"/>
        </w:rPr>
        <w:fldChar w:fldCharType="end"/>
      </w:r>
    </w:p>
    <w:p w14:paraId="4E0A9BBA">
      <w:pPr>
        <w:pStyle w:val="25"/>
        <w:tabs>
          <w:tab w:val="right" w:leader="dot" w:pos="9745"/>
          <w:tab w:val="clear" w:pos="8296"/>
        </w:tabs>
        <w:spacing w:line="288" w:lineRule="auto"/>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HYPERLINK \l _Toc18609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第三节 商务技术文件格式</w:t>
      </w:r>
      <w:r>
        <w:rPr>
          <w:rFonts w:hint="eastAsia" w:ascii="方正仿宋_GB2312" w:hAnsi="方正仿宋_GB2312" w:eastAsia="方正仿宋_GB2312" w:cs="方正仿宋_GB2312"/>
          <w:color w:val="auto"/>
          <w:sz w:val="22"/>
          <w:szCs w:val="22"/>
          <w:highlight w:val="none"/>
        </w:rPr>
        <w:tab/>
      </w: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PAGEREF _Toc18609 \h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56</w:t>
      </w:r>
      <w:r>
        <w:rPr>
          <w:rFonts w:hint="eastAsia" w:ascii="方正仿宋_GB2312" w:hAnsi="方正仿宋_GB2312" w:eastAsia="方正仿宋_GB2312" w:cs="方正仿宋_GB2312"/>
          <w:color w:val="auto"/>
          <w:sz w:val="22"/>
          <w:szCs w:val="22"/>
          <w:highlight w:val="none"/>
        </w:rPr>
        <w:fldChar w:fldCharType="end"/>
      </w:r>
      <w:r>
        <w:rPr>
          <w:rFonts w:hint="eastAsia" w:ascii="方正仿宋_GB2312" w:hAnsi="方正仿宋_GB2312" w:eastAsia="方正仿宋_GB2312" w:cs="方正仿宋_GB2312"/>
          <w:color w:val="auto"/>
          <w:sz w:val="22"/>
          <w:szCs w:val="22"/>
          <w:highlight w:val="none"/>
        </w:rPr>
        <w:fldChar w:fldCharType="end"/>
      </w:r>
    </w:p>
    <w:p w14:paraId="37D23609">
      <w:pPr>
        <w:pStyle w:val="25"/>
        <w:tabs>
          <w:tab w:val="right" w:leader="dot" w:pos="9745"/>
          <w:tab w:val="clear" w:pos="8296"/>
        </w:tabs>
        <w:spacing w:line="288" w:lineRule="auto"/>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HYPERLINK \l _Toc26046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第四节 报价文件格式</w:t>
      </w:r>
      <w:r>
        <w:rPr>
          <w:rFonts w:hint="eastAsia" w:ascii="方正仿宋_GB2312" w:hAnsi="方正仿宋_GB2312" w:eastAsia="方正仿宋_GB2312" w:cs="方正仿宋_GB2312"/>
          <w:color w:val="auto"/>
          <w:sz w:val="22"/>
          <w:szCs w:val="22"/>
          <w:highlight w:val="none"/>
        </w:rPr>
        <w:tab/>
      </w: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PAGEREF _Toc26046 \h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67</w:t>
      </w:r>
      <w:r>
        <w:rPr>
          <w:rFonts w:hint="eastAsia" w:ascii="方正仿宋_GB2312" w:hAnsi="方正仿宋_GB2312" w:eastAsia="方正仿宋_GB2312" w:cs="方正仿宋_GB2312"/>
          <w:color w:val="auto"/>
          <w:sz w:val="22"/>
          <w:szCs w:val="22"/>
          <w:highlight w:val="none"/>
        </w:rPr>
        <w:fldChar w:fldCharType="end"/>
      </w:r>
      <w:r>
        <w:rPr>
          <w:rFonts w:hint="eastAsia" w:ascii="方正仿宋_GB2312" w:hAnsi="方正仿宋_GB2312" w:eastAsia="方正仿宋_GB2312" w:cs="方正仿宋_GB2312"/>
          <w:color w:val="auto"/>
          <w:sz w:val="22"/>
          <w:szCs w:val="22"/>
          <w:highlight w:val="none"/>
        </w:rPr>
        <w:fldChar w:fldCharType="end"/>
      </w:r>
    </w:p>
    <w:p w14:paraId="25F36426">
      <w:pPr>
        <w:pStyle w:val="25"/>
        <w:tabs>
          <w:tab w:val="right" w:leader="dot" w:pos="9745"/>
          <w:tab w:val="clear" w:pos="8296"/>
        </w:tabs>
        <w:spacing w:line="288" w:lineRule="auto"/>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HYPERLINK \l _Toc5448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第五节 其他文书、文件格式</w:t>
      </w:r>
      <w:r>
        <w:rPr>
          <w:rFonts w:hint="eastAsia" w:ascii="方正仿宋_GB2312" w:hAnsi="方正仿宋_GB2312" w:eastAsia="方正仿宋_GB2312" w:cs="方正仿宋_GB2312"/>
          <w:color w:val="auto"/>
          <w:sz w:val="22"/>
          <w:szCs w:val="22"/>
          <w:highlight w:val="none"/>
        </w:rPr>
        <w:tab/>
      </w:r>
      <w:r>
        <w:rPr>
          <w:rFonts w:hint="eastAsia" w:ascii="方正仿宋_GB2312" w:hAnsi="方正仿宋_GB2312" w:eastAsia="方正仿宋_GB2312" w:cs="方正仿宋_GB2312"/>
          <w:color w:val="auto"/>
          <w:sz w:val="22"/>
          <w:szCs w:val="22"/>
          <w:highlight w:val="none"/>
        </w:rPr>
        <w:fldChar w:fldCharType="begin"/>
      </w:r>
      <w:r>
        <w:rPr>
          <w:rFonts w:hint="eastAsia" w:ascii="方正仿宋_GB2312" w:hAnsi="方正仿宋_GB2312" w:eastAsia="方正仿宋_GB2312" w:cs="方正仿宋_GB2312"/>
          <w:color w:val="auto"/>
          <w:sz w:val="22"/>
          <w:szCs w:val="22"/>
          <w:highlight w:val="none"/>
        </w:rPr>
        <w:instrText xml:space="preserve"> PAGEREF _Toc5448 \h </w:instrText>
      </w:r>
      <w:r>
        <w:rPr>
          <w:rFonts w:hint="eastAsia" w:ascii="方正仿宋_GB2312" w:hAnsi="方正仿宋_GB2312" w:eastAsia="方正仿宋_GB2312" w:cs="方正仿宋_GB2312"/>
          <w:color w:val="auto"/>
          <w:sz w:val="22"/>
          <w:szCs w:val="22"/>
          <w:highlight w:val="none"/>
        </w:rPr>
        <w:fldChar w:fldCharType="separate"/>
      </w:r>
      <w:r>
        <w:rPr>
          <w:rFonts w:hint="eastAsia" w:ascii="方正仿宋_GB2312" w:hAnsi="方正仿宋_GB2312" w:eastAsia="方正仿宋_GB2312" w:cs="方正仿宋_GB2312"/>
          <w:color w:val="auto"/>
          <w:sz w:val="22"/>
          <w:szCs w:val="22"/>
          <w:highlight w:val="none"/>
        </w:rPr>
        <w:t>73</w:t>
      </w:r>
      <w:r>
        <w:rPr>
          <w:rFonts w:hint="eastAsia" w:ascii="方正仿宋_GB2312" w:hAnsi="方正仿宋_GB2312" w:eastAsia="方正仿宋_GB2312" w:cs="方正仿宋_GB2312"/>
          <w:color w:val="auto"/>
          <w:sz w:val="22"/>
          <w:szCs w:val="22"/>
          <w:highlight w:val="none"/>
        </w:rPr>
        <w:fldChar w:fldCharType="end"/>
      </w:r>
      <w:r>
        <w:rPr>
          <w:rFonts w:hint="eastAsia" w:ascii="方正仿宋_GB2312" w:hAnsi="方正仿宋_GB2312" w:eastAsia="方正仿宋_GB2312" w:cs="方正仿宋_GB2312"/>
          <w:color w:val="auto"/>
          <w:sz w:val="22"/>
          <w:szCs w:val="22"/>
          <w:highlight w:val="none"/>
        </w:rPr>
        <w:fldChar w:fldCharType="end"/>
      </w:r>
    </w:p>
    <w:p w14:paraId="4C84403E">
      <w:pPr>
        <w:pStyle w:val="22"/>
        <w:tabs>
          <w:tab w:val="right" w:leader="dot" w:pos="9745"/>
        </w:tabs>
        <w:spacing w:line="288" w:lineRule="auto"/>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b/>
          <w:bCs/>
          <w:color w:val="auto"/>
          <w:sz w:val="22"/>
          <w:szCs w:val="22"/>
          <w:highlight w:val="none"/>
        </w:rPr>
        <w:fldChar w:fldCharType="begin"/>
      </w:r>
      <w:r>
        <w:rPr>
          <w:rFonts w:hint="eastAsia" w:ascii="方正仿宋_GB2312" w:hAnsi="方正仿宋_GB2312" w:eastAsia="方正仿宋_GB2312" w:cs="方正仿宋_GB2312"/>
          <w:b/>
          <w:bCs/>
          <w:color w:val="auto"/>
          <w:sz w:val="22"/>
          <w:szCs w:val="22"/>
          <w:highlight w:val="none"/>
        </w:rPr>
        <w:instrText xml:space="preserve"> HYPERLINK \l _Toc263 </w:instrText>
      </w:r>
      <w:r>
        <w:rPr>
          <w:rFonts w:hint="eastAsia" w:ascii="方正仿宋_GB2312" w:hAnsi="方正仿宋_GB2312" w:eastAsia="方正仿宋_GB2312" w:cs="方正仿宋_GB2312"/>
          <w:b/>
          <w:bCs/>
          <w:color w:val="auto"/>
          <w:sz w:val="22"/>
          <w:szCs w:val="22"/>
          <w:highlight w:val="none"/>
        </w:rPr>
        <w:fldChar w:fldCharType="separate"/>
      </w:r>
      <w:r>
        <w:rPr>
          <w:rFonts w:hint="eastAsia" w:ascii="方正仿宋_GB2312" w:hAnsi="方正仿宋_GB2312" w:eastAsia="方正仿宋_GB2312" w:cs="方正仿宋_GB2312"/>
          <w:b/>
          <w:bCs/>
          <w:color w:val="auto"/>
          <w:kern w:val="44"/>
          <w:sz w:val="22"/>
          <w:szCs w:val="22"/>
          <w:highlight w:val="none"/>
        </w:rPr>
        <w:t>第六章 合同文本</w:t>
      </w:r>
      <w:r>
        <w:rPr>
          <w:rFonts w:hint="eastAsia" w:ascii="方正仿宋_GB2312" w:hAnsi="方正仿宋_GB2312" w:eastAsia="方正仿宋_GB2312" w:cs="方正仿宋_GB2312"/>
          <w:b/>
          <w:bCs/>
          <w:color w:val="auto"/>
          <w:sz w:val="22"/>
          <w:szCs w:val="22"/>
          <w:highlight w:val="none"/>
        </w:rPr>
        <w:tab/>
      </w:r>
      <w:r>
        <w:rPr>
          <w:rFonts w:hint="eastAsia" w:ascii="方正仿宋_GB2312" w:hAnsi="方正仿宋_GB2312" w:eastAsia="方正仿宋_GB2312" w:cs="方正仿宋_GB2312"/>
          <w:b/>
          <w:bCs/>
          <w:color w:val="auto"/>
          <w:sz w:val="22"/>
          <w:szCs w:val="22"/>
          <w:highlight w:val="none"/>
        </w:rPr>
        <w:fldChar w:fldCharType="begin"/>
      </w:r>
      <w:r>
        <w:rPr>
          <w:rFonts w:hint="eastAsia" w:ascii="方正仿宋_GB2312" w:hAnsi="方正仿宋_GB2312" w:eastAsia="方正仿宋_GB2312" w:cs="方正仿宋_GB2312"/>
          <w:b/>
          <w:bCs/>
          <w:color w:val="auto"/>
          <w:sz w:val="22"/>
          <w:szCs w:val="22"/>
          <w:highlight w:val="none"/>
        </w:rPr>
        <w:instrText xml:space="preserve"> PAGEREF _Toc263 \h </w:instrText>
      </w:r>
      <w:r>
        <w:rPr>
          <w:rFonts w:hint="eastAsia" w:ascii="方正仿宋_GB2312" w:hAnsi="方正仿宋_GB2312" w:eastAsia="方正仿宋_GB2312" w:cs="方正仿宋_GB2312"/>
          <w:b/>
          <w:bCs/>
          <w:color w:val="auto"/>
          <w:sz w:val="22"/>
          <w:szCs w:val="22"/>
          <w:highlight w:val="none"/>
        </w:rPr>
        <w:fldChar w:fldCharType="separate"/>
      </w:r>
      <w:r>
        <w:rPr>
          <w:rFonts w:hint="eastAsia" w:ascii="方正仿宋_GB2312" w:hAnsi="方正仿宋_GB2312" w:eastAsia="方正仿宋_GB2312" w:cs="方正仿宋_GB2312"/>
          <w:b/>
          <w:bCs/>
          <w:color w:val="auto"/>
          <w:sz w:val="22"/>
          <w:szCs w:val="22"/>
          <w:highlight w:val="none"/>
        </w:rPr>
        <w:t>74</w:t>
      </w:r>
      <w:r>
        <w:rPr>
          <w:rFonts w:hint="eastAsia" w:ascii="方正仿宋_GB2312" w:hAnsi="方正仿宋_GB2312" w:eastAsia="方正仿宋_GB2312" w:cs="方正仿宋_GB2312"/>
          <w:b/>
          <w:bCs/>
          <w:color w:val="auto"/>
          <w:sz w:val="22"/>
          <w:szCs w:val="22"/>
          <w:highlight w:val="none"/>
        </w:rPr>
        <w:fldChar w:fldCharType="end"/>
      </w:r>
      <w:r>
        <w:rPr>
          <w:rFonts w:hint="eastAsia" w:ascii="方正仿宋_GB2312" w:hAnsi="方正仿宋_GB2312" w:eastAsia="方正仿宋_GB2312" w:cs="方正仿宋_GB2312"/>
          <w:b/>
          <w:bCs/>
          <w:color w:val="auto"/>
          <w:sz w:val="22"/>
          <w:szCs w:val="22"/>
          <w:highlight w:val="none"/>
        </w:rPr>
        <w:fldChar w:fldCharType="end"/>
      </w:r>
    </w:p>
    <w:p w14:paraId="34501D0C">
      <w:pPr>
        <w:pStyle w:val="22"/>
        <w:tabs>
          <w:tab w:val="right" w:leader="dot" w:pos="9745"/>
        </w:tabs>
        <w:spacing w:line="288" w:lineRule="auto"/>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 w:val="22"/>
          <w:szCs w:val="22"/>
          <w:highlight w:val="none"/>
        </w:rPr>
        <w:fldChar w:fldCharType="begin"/>
      </w:r>
      <w:r>
        <w:rPr>
          <w:rFonts w:hint="eastAsia" w:ascii="方正仿宋_GB2312" w:hAnsi="方正仿宋_GB2312" w:eastAsia="方正仿宋_GB2312" w:cs="方正仿宋_GB2312"/>
          <w:b/>
          <w:bCs/>
          <w:color w:val="auto"/>
          <w:sz w:val="22"/>
          <w:szCs w:val="22"/>
          <w:highlight w:val="none"/>
        </w:rPr>
        <w:instrText xml:space="preserve"> HYPERLINK \l _Toc25038 </w:instrText>
      </w:r>
      <w:r>
        <w:rPr>
          <w:rFonts w:hint="eastAsia" w:ascii="方正仿宋_GB2312" w:hAnsi="方正仿宋_GB2312" w:eastAsia="方正仿宋_GB2312" w:cs="方正仿宋_GB2312"/>
          <w:b/>
          <w:bCs/>
          <w:color w:val="auto"/>
          <w:sz w:val="22"/>
          <w:szCs w:val="22"/>
          <w:highlight w:val="none"/>
        </w:rPr>
        <w:fldChar w:fldCharType="separate"/>
      </w:r>
      <w:r>
        <w:rPr>
          <w:rFonts w:hint="eastAsia" w:ascii="方正仿宋_GB2312" w:hAnsi="方正仿宋_GB2312" w:eastAsia="方正仿宋_GB2312" w:cs="方正仿宋_GB2312"/>
          <w:b/>
          <w:bCs/>
          <w:color w:val="auto"/>
          <w:kern w:val="44"/>
          <w:sz w:val="22"/>
          <w:szCs w:val="22"/>
          <w:highlight w:val="none"/>
        </w:rPr>
        <w:t xml:space="preserve">第七章 </w:t>
      </w:r>
      <w:r>
        <w:rPr>
          <w:rFonts w:hint="eastAsia" w:ascii="方正仿宋_GB2312" w:hAnsi="方正仿宋_GB2312" w:eastAsia="方正仿宋_GB2312" w:cs="方正仿宋_GB2312"/>
          <w:b/>
          <w:bCs/>
          <w:color w:val="auto"/>
          <w:sz w:val="22"/>
          <w:szCs w:val="22"/>
          <w:highlight w:val="none"/>
        </w:rPr>
        <w:t>质疑、投诉材料格式</w:t>
      </w:r>
      <w:r>
        <w:rPr>
          <w:rFonts w:hint="eastAsia" w:ascii="方正仿宋_GB2312" w:hAnsi="方正仿宋_GB2312" w:eastAsia="方正仿宋_GB2312" w:cs="方正仿宋_GB2312"/>
          <w:b/>
          <w:bCs/>
          <w:color w:val="auto"/>
          <w:sz w:val="22"/>
          <w:szCs w:val="22"/>
          <w:highlight w:val="none"/>
        </w:rPr>
        <w:tab/>
      </w:r>
      <w:r>
        <w:rPr>
          <w:rFonts w:hint="eastAsia" w:ascii="方正仿宋_GB2312" w:hAnsi="方正仿宋_GB2312" w:eastAsia="方正仿宋_GB2312" w:cs="方正仿宋_GB2312"/>
          <w:b/>
          <w:bCs/>
          <w:color w:val="auto"/>
          <w:sz w:val="22"/>
          <w:szCs w:val="22"/>
          <w:highlight w:val="none"/>
        </w:rPr>
        <w:fldChar w:fldCharType="begin"/>
      </w:r>
      <w:r>
        <w:rPr>
          <w:rFonts w:hint="eastAsia" w:ascii="方正仿宋_GB2312" w:hAnsi="方正仿宋_GB2312" w:eastAsia="方正仿宋_GB2312" w:cs="方正仿宋_GB2312"/>
          <w:b/>
          <w:bCs/>
          <w:color w:val="auto"/>
          <w:sz w:val="22"/>
          <w:szCs w:val="22"/>
          <w:highlight w:val="none"/>
        </w:rPr>
        <w:instrText xml:space="preserve"> PAGEREF _Toc25038 \h </w:instrText>
      </w:r>
      <w:r>
        <w:rPr>
          <w:rFonts w:hint="eastAsia" w:ascii="方正仿宋_GB2312" w:hAnsi="方正仿宋_GB2312" w:eastAsia="方正仿宋_GB2312" w:cs="方正仿宋_GB2312"/>
          <w:b/>
          <w:bCs/>
          <w:color w:val="auto"/>
          <w:sz w:val="22"/>
          <w:szCs w:val="22"/>
          <w:highlight w:val="none"/>
        </w:rPr>
        <w:fldChar w:fldCharType="separate"/>
      </w:r>
      <w:r>
        <w:rPr>
          <w:rFonts w:hint="eastAsia" w:ascii="方正仿宋_GB2312" w:hAnsi="方正仿宋_GB2312" w:eastAsia="方正仿宋_GB2312" w:cs="方正仿宋_GB2312"/>
          <w:b/>
          <w:bCs/>
          <w:color w:val="auto"/>
          <w:sz w:val="22"/>
          <w:szCs w:val="22"/>
          <w:highlight w:val="none"/>
        </w:rPr>
        <w:t>102</w:t>
      </w:r>
      <w:r>
        <w:rPr>
          <w:rFonts w:hint="eastAsia" w:ascii="方正仿宋_GB2312" w:hAnsi="方正仿宋_GB2312" w:eastAsia="方正仿宋_GB2312" w:cs="方正仿宋_GB2312"/>
          <w:b/>
          <w:bCs/>
          <w:color w:val="auto"/>
          <w:sz w:val="22"/>
          <w:szCs w:val="22"/>
          <w:highlight w:val="none"/>
        </w:rPr>
        <w:fldChar w:fldCharType="end"/>
      </w:r>
      <w:r>
        <w:rPr>
          <w:rFonts w:hint="eastAsia" w:ascii="方正仿宋_GB2312" w:hAnsi="方正仿宋_GB2312" w:eastAsia="方正仿宋_GB2312" w:cs="方正仿宋_GB2312"/>
          <w:b/>
          <w:bCs/>
          <w:color w:val="auto"/>
          <w:sz w:val="22"/>
          <w:szCs w:val="22"/>
          <w:highlight w:val="none"/>
        </w:rPr>
        <w:fldChar w:fldCharType="end"/>
      </w:r>
    </w:p>
    <w:p w14:paraId="50338597">
      <w:pPr>
        <w:pStyle w:val="25"/>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Cs w:val="21"/>
          <w:highlight w:val="none"/>
        </w:rPr>
        <w:fldChar w:fldCharType="end"/>
      </w:r>
    </w:p>
    <w:p w14:paraId="43CED0C3">
      <w:pPr>
        <w:tabs>
          <w:tab w:val="left" w:pos="7470"/>
        </w:tabs>
        <w:spacing w:line="400" w:lineRule="exact"/>
        <w:jc w:val="left"/>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ab/>
      </w:r>
    </w:p>
    <w:p w14:paraId="072FB622">
      <w:pPr>
        <w:spacing w:line="400" w:lineRule="exact"/>
        <w:jc w:val="center"/>
        <w:rPr>
          <w:rFonts w:hint="eastAsia" w:ascii="方正仿宋_GB2312" w:hAnsi="方正仿宋_GB2312" w:eastAsia="方正仿宋_GB2312" w:cs="方正仿宋_GB2312"/>
          <w:b/>
          <w:color w:val="auto"/>
          <w:sz w:val="32"/>
          <w:szCs w:val="32"/>
          <w:highlight w:val="none"/>
        </w:rPr>
      </w:pPr>
    </w:p>
    <w:p w14:paraId="1774ADD4">
      <w:pPr>
        <w:spacing w:line="400" w:lineRule="exact"/>
        <w:jc w:val="center"/>
        <w:rPr>
          <w:rFonts w:hint="eastAsia" w:ascii="方正仿宋_GB2312" w:hAnsi="方正仿宋_GB2312" w:eastAsia="方正仿宋_GB2312" w:cs="方正仿宋_GB2312"/>
          <w:b/>
          <w:color w:val="auto"/>
          <w:sz w:val="32"/>
          <w:szCs w:val="32"/>
          <w:highlight w:val="none"/>
        </w:rPr>
      </w:pPr>
    </w:p>
    <w:p w14:paraId="46DBE099">
      <w:pPr>
        <w:pStyle w:val="2"/>
        <w:spacing w:line="400" w:lineRule="exact"/>
        <w:jc w:val="center"/>
        <w:rPr>
          <w:rFonts w:hint="eastAsia" w:ascii="方正仿宋_GB2312" w:hAnsi="方正仿宋_GB2312" w:eastAsia="方正仿宋_GB2312" w:cs="方正仿宋_GB2312"/>
          <w:bCs w:val="0"/>
          <w:color w:val="auto"/>
          <w:highlight w:val="none"/>
        </w:rPr>
        <w:sectPr>
          <w:headerReference r:id="rId6" w:type="default"/>
          <w:footerReference r:id="rId7" w:type="default"/>
          <w:pgSz w:w="11905" w:h="16838"/>
          <w:pgMar w:top="1440" w:right="1080" w:bottom="1440" w:left="1080" w:header="720" w:footer="720" w:gutter="0"/>
          <w:pgNumType w:start="1"/>
          <w:cols w:space="720" w:num="1"/>
          <w:docGrid w:type="lines" w:linePitch="331" w:charSpace="0"/>
        </w:sectPr>
      </w:pPr>
      <w:bookmarkStart w:id="0" w:name="_Toc15868"/>
      <w:bookmarkStart w:id="1" w:name="_Toc19630"/>
      <w:bookmarkStart w:id="2" w:name="_Toc3875"/>
    </w:p>
    <w:p w14:paraId="4BDEC507">
      <w:pPr>
        <w:pStyle w:val="2"/>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第一章 竞争性磋商公告</w:t>
      </w:r>
      <w:bookmarkEnd w:id="0"/>
      <w:bookmarkEnd w:id="1"/>
      <w:bookmarkEnd w:id="2"/>
      <w:bookmarkStart w:id="3" w:name="_Toc35393629"/>
      <w:bookmarkStart w:id="4" w:name="_Toc35393792"/>
      <w:bookmarkStart w:id="5" w:name="_Toc35393623"/>
      <w:bookmarkStart w:id="6" w:name="_Toc28359089"/>
      <w:bookmarkStart w:id="7" w:name="_Toc28359012"/>
      <w:bookmarkStart w:id="8" w:name="_Toc44229878"/>
      <w:bookmarkStart w:id="9" w:name="_Toc35393798"/>
      <w:bookmarkStart w:id="10" w:name="_Toc28359081"/>
      <w:bookmarkStart w:id="11" w:name="_Toc28359004"/>
    </w:p>
    <w:p w14:paraId="2770AF9D">
      <w:pPr>
        <w:pStyle w:val="85"/>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广西同盛工程咨询有限公司关于</w:t>
      </w:r>
      <w:r>
        <w:rPr>
          <w:rFonts w:hint="eastAsia" w:ascii="方正仿宋_GB2312" w:hAnsi="方正仿宋_GB2312" w:eastAsia="方正仿宋_GB2312" w:cs="方正仿宋_GB2312"/>
          <w:b/>
          <w:bCs/>
          <w:color w:val="auto"/>
          <w:sz w:val="28"/>
          <w:szCs w:val="28"/>
          <w:highlight w:val="none"/>
          <w:lang w:eastAsia="zh-CN"/>
        </w:rPr>
        <w:t>百龙滩镇南新村弄洪屯进村入户路硬化项目</w:t>
      </w:r>
      <w:r>
        <w:rPr>
          <w:rFonts w:hint="eastAsia" w:ascii="方正仿宋_GB2312" w:hAnsi="方正仿宋_GB2312" w:eastAsia="方正仿宋_GB2312" w:cs="方正仿宋_GB2312"/>
          <w:b/>
          <w:bCs/>
          <w:color w:val="auto"/>
          <w:sz w:val="28"/>
          <w:szCs w:val="28"/>
          <w:highlight w:val="none"/>
        </w:rPr>
        <w:t>的竞争性磋商公告</w:t>
      </w:r>
    </w:p>
    <w:bookmarkEnd w:id="3"/>
    <w:bookmarkEnd w:id="4"/>
    <w:bookmarkEnd w:id="5"/>
    <w:bookmarkEnd w:id="6"/>
    <w:bookmarkEnd w:id="7"/>
    <w:bookmarkEnd w:id="8"/>
    <w:bookmarkEnd w:id="9"/>
    <w:bookmarkEnd w:id="10"/>
    <w:bookmarkEnd w:id="11"/>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1"/>
      </w:tblGrid>
      <w:tr w14:paraId="551F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1" w:type="dxa"/>
          </w:tcPr>
          <w:p w14:paraId="60ED7EC3">
            <w:pPr>
              <w:spacing w:line="42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项目概况</w:t>
            </w:r>
          </w:p>
          <w:p w14:paraId="3C786094">
            <w:pPr>
              <w:spacing w:line="420" w:lineRule="exact"/>
              <w:ind w:firstLine="480" w:firstLineChars="200"/>
              <w:rPr>
                <w:rFonts w:hint="eastAsia" w:ascii="方正仿宋_GB2312" w:hAnsi="方正仿宋_GB2312" w:eastAsia="方正仿宋_GB2312" w:cs="方正仿宋_GB2312"/>
                <w:b/>
                <w:color w:val="auto"/>
                <w:sz w:val="24"/>
                <w:highlight w:val="none"/>
                <w:vertAlign w:val="baseline"/>
              </w:rPr>
            </w:pPr>
            <w:r>
              <w:rPr>
                <w:rFonts w:hint="eastAsia" w:ascii="方正仿宋_GB2312" w:hAnsi="方正仿宋_GB2312" w:eastAsia="方正仿宋_GB2312" w:cs="方正仿宋_GB2312"/>
                <w:color w:val="auto"/>
                <w:sz w:val="24"/>
                <w:highlight w:val="none"/>
                <w:lang w:eastAsia="zh-CN"/>
              </w:rPr>
              <w:t>百龙滩镇南新村弄洪屯进村入户路硬化项目</w:t>
            </w:r>
            <w:r>
              <w:rPr>
                <w:rFonts w:hint="eastAsia" w:ascii="方正仿宋_GB2312" w:hAnsi="方正仿宋_GB2312" w:eastAsia="方正仿宋_GB2312" w:cs="方正仿宋_GB2312"/>
                <w:color w:val="auto"/>
                <w:sz w:val="24"/>
                <w:highlight w:val="none"/>
              </w:rPr>
              <w:t>的潜在供应商应在广西政府采购云平台（https://www.gcy.zfcg.gxzf.gov.cn/）获取采购文件，并于</w:t>
            </w:r>
            <w:r>
              <w:rPr>
                <w:rFonts w:hint="eastAsia" w:ascii="方正仿宋_GB2312" w:hAnsi="方正仿宋_GB2312" w:eastAsia="方正仿宋_GB2312" w:cs="方正仿宋_GB2312"/>
                <w:color w:val="auto"/>
                <w:sz w:val="24"/>
                <w:highlight w:val="none"/>
                <w:lang w:eastAsia="zh-CN"/>
              </w:rPr>
              <w:t>2026年06月</w:t>
            </w:r>
            <w:r>
              <w:rPr>
                <w:rFonts w:hint="eastAsia" w:ascii="方正仿宋_GB2312" w:hAnsi="方正仿宋_GB2312" w:eastAsia="方正仿宋_GB2312" w:cs="方正仿宋_GB2312"/>
                <w:color w:val="auto"/>
                <w:sz w:val="24"/>
                <w:highlight w:val="none"/>
                <w:lang w:val="en-US" w:eastAsia="zh-CN"/>
              </w:rPr>
              <w:t>29</w:t>
            </w:r>
            <w:r>
              <w:rPr>
                <w:rFonts w:hint="eastAsia" w:ascii="方正仿宋_GB2312" w:hAnsi="方正仿宋_GB2312" w:eastAsia="方正仿宋_GB2312" w:cs="方正仿宋_GB2312"/>
                <w:color w:val="auto"/>
                <w:sz w:val="24"/>
                <w:highlight w:val="none"/>
                <w:lang w:eastAsia="zh-CN"/>
              </w:rPr>
              <w:t>日</w:t>
            </w:r>
            <w:r>
              <w:rPr>
                <w:rFonts w:hint="eastAsia" w:ascii="方正仿宋_GB2312" w:hAnsi="方正仿宋_GB2312" w:eastAsia="方正仿宋_GB2312" w:cs="方正仿宋_GB2312"/>
                <w:color w:val="auto"/>
                <w:sz w:val="24"/>
                <w:highlight w:val="none"/>
                <w:lang w:val="en-US" w:eastAsia="zh-CN"/>
              </w:rPr>
              <w:t>13:30</w:t>
            </w:r>
            <w:r>
              <w:rPr>
                <w:rFonts w:hint="eastAsia" w:ascii="方正仿宋_GB2312" w:hAnsi="方正仿宋_GB2312" w:eastAsia="方正仿宋_GB2312" w:cs="方正仿宋_GB2312"/>
                <w:color w:val="auto"/>
                <w:sz w:val="24"/>
                <w:highlight w:val="none"/>
              </w:rPr>
              <w:t>（北京时间）前提交响应文件。</w:t>
            </w:r>
          </w:p>
        </w:tc>
      </w:tr>
    </w:tbl>
    <w:p w14:paraId="5D80B568">
      <w:pPr>
        <w:spacing w:line="420" w:lineRule="exact"/>
        <w:ind w:firstLine="482" w:firstLineChars="200"/>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一、项目基本情况</w:t>
      </w:r>
    </w:p>
    <w:p w14:paraId="788C904F">
      <w:pPr>
        <w:spacing w:line="420" w:lineRule="exact"/>
        <w:ind w:firstLine="482" w:firstLineChars="200"/>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b/>
          <w:bCs/>
          <w:color w:val="auto"/>
          <w:sz w:val="24"/>
          <w:highlight w:val="none"/>
        </w:rPr>
        <w:t>项目编号：</w:t>
      </w:r>
      <w:r>
        <w:rPr>
          <w:rFonts w:hint="eastAsia" w:ascii="方正仿宋_GB2312" w:hAnsi="方正仿宋_GB2312" w:eastAsia="方正仿宋_GB2312" w:cs="方正仿宋_GB2312"/>
          <w:color w:val="auto"/>
          <w:sz w:val="24"/>
          <w:highlight w:val="none"/>
          <w:lang w:eastAsia="zh-CN"/>
        </w:rPr>
        <w:t xml:space="preserve">NNZC2026-C2-240035-GXTS </w:t>
      </w:r>
    </w:p>
    <w:p w14:paraId="6EA2158F">
      <w:pPr>
        <w:spacing w:line="420" w:lineRule="exact"/>
        <w:ind w:firstLine="482" w:firstLineChars="200"/>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b/>
          <w:bCs/>
          <w:color w:val="auto"/>
          <w:sz w:val="24"/>
          <w:highlight w:val="none"/>
        </w:rPr>
        <w:t>项目名称：</w:t>
      </w:r>
      <w:r>
        <w:rPr>
          <w:rFonts w:hint="eastAsia" w:ascii="方正仿宋_GB2312" w:hAnsi="方正仿宋_GB2312" w:eastAsia="方正仿宋_GB2312" w:cs="方正仿宋_GB2312"/>
          <w:color w:val="auto"/>
          <w:sz w:val="24"/>
          <w:highlight w:val="none"/>
          <w:lang w:eastAsia="zh-CN"/>
        </w:rPr>
        <w:t>百龙滩镇南新村弄洪屯进村入户路硬化项目</w:t>
      </w:r>
    </w:p>
    <w:p w14:paraId="5AA16411">
      <w:pPr>
        <w:spacing w:line="420" w:lineRule="exact"/>
        <w:ind w:firstLine="482" w:firstLineChars="200"/>
        <w:rPr>
          <w:rFonts w:hint="default" w:ascii="方正仿宋_GB2312" w:hAnsi="方正仿宋_GB2312" w:eastAsia="方正仿宋_GB2312" w:cs="方正仿宋_GB2312"/>
          <w:color w:val="auto"/>
          <w:sz w:val="24"/>
          <w:highlight w:val="none"/>
          <w:lang w:val="en-US" w:eastAsia="zh-CN"/>
        </w:rPr>
      </w:pPr>
      <w:r>
        <w:rPr>
          <w:rFonts w:hint="eastAsia" w:ascii="方正仿宋_GB2312" w:hAnsi="方正仿宋_GB2312" w:eastAsia="方正仿宋_GB2312" w:cs="方正仿宋_GB2312"/>
          <w:b/>
          <w:bCs/>
          <w:color w:val="auto"/>
          <w:sz w:val="24"/>
          <w:highlight w:val="none"/>
        </w:rPr>
        <w:t>预算总金额（元）：</w:t>
      </w:r>
      <w:r>
        <w:rPr>
          <w:rFonts w:hint="eastAsia" w:ascii="方正仿宋_GB2312" w:hAnsi="方正仿宋_GB2312" w:eastAsia="方正仿宋_GB2312" w:cs="方正仿宋_GB2312"/>
          <w:color w:val="auto"/>
          <w:sz w:val="24"/>
          <w:highlight w:val="none"/>
          <w:lang w:val="en-US" w:eastAsia="zh-CN"/>
        </w:rPr>
        <w:t>612500.00</w:t>
      </w:r>
    </w:p>
    <w:p w14:paraId="4605CE00">
      <w:pPr>
        <w:spacing w:line="420" w:lineRule="exact"/>
        <w:ind w:firstLine="482"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b/>
          <w:bCs/>
          <w:color w:val="auto"/>
          <w:sz w:val="24"/>
          <w:highlight w:val="none"/>
        </w:rPr>
        <w:t>采购需求：</w:t>
      </w:r>
    </w:p>
    <w:p w14:paraId="0C6246C2">
      <w:pPr>
        <w:pStyle w:val="26"/>
        <w:widowControl/>
        <w:ind w:left="479" w:leftChars="228"/>
        <w:rPr>
          <w:rFonts w:hint="eastAsia" w:ascii="方正仿宋_GB2312" w:hAnsi="方正仿宋_GB2312" w:eastAsia="方正仿宋_GB2312" w:cs="方正仿宋_GB2312"/>
          <w:color w:val="auto"/>
          <w:kern w:val="2"/>
          <w:highlight w:val="none"/>
          <w:lang w:eastAsia="zh-CN"/>
        </w:rPr>
      </w:pPr>
      <w:r>
        <w:rPr>
          <w:rFonts w:hint="eastAsia" w:ascii="方正仿宋_GB2312" w:hAnsi="方正仿宋_GB2312" w:eastAsia="方正仿宋_GB2312" w:cs="方正仿宋_GB2312"/>
          <w:color w:val="auto"/>
          <w:kern w:val="2"/>
          <w:highlight w:val="none"/>
        </w:rPr>
        <w:t>标项名称:</w:t>
      </w:r>
      <w:r>
        <w:rPr>
          <w:rFonts w:hint="eastAsia" w:ascii="方正仿宋_GB2312" w:hAnsi="方正仿宋_GB2312" w:eastAsia="方正仿宋_GB2312" w:cs="方正仿宋_GB2312"/>
          <w:color w:val="auto"/>
          <w:kern w:val="2"/>
          <w:highlight w:val="none"/>
          <w:lang w:eastAsia="zh-CN"/>
        </w:rPr>
        <w:t>百龙滩镇南新村弄洪屯进村入户路硬化项目</w:t>
      </w:r>
    </w:p>
    <w:p w14:paraId="29C99D88">
      <w:pPr>
        <w:pStyle w:val="26"/>
        <w:widowControl/>
        <w:ind w:left="479" w:leftChars="228"/>
        <w:rPr>
          <w:rFonts w:hint="eastAsia" w:ascii="方正仿宋_GB2312" w:hAnsi="方正仿宋_GB2312" w:eastAsia="方正仿宋_GB2312" w:cs="方正仿宋_GB2312"/>
          <w:color w:val="auto"/>
          <w:kern w:val="2"/>
          <w:highlight w:val="none"/>
          <w:lang w:eastAsia="zh-CN"/>
        </w:rPr>
      </w:pPr>
      <w:r>
        <w:rPr>
          <w:rFonts w:hint="eastAsia" w:ascii="方正仿宋_GB2312" w:hAnsi="方正仿宋_GB2312" w:eastAsia="方正仿宋_GB2312" w:cs="方正仿宋_GB2312"/>
          <w:color w:val="auto"/>
          <w:kern w:val="2"/>
          <w:highlight w:val="none"/>
        </w:rPr>
        <w:t>数量:1</w:t>
      </w:r>
    </w:p>
    <w:p w14:paraId="56B18AE2">
      <w:pPr>
        <w:pStyle w:val="26"/>
        <w:widowControl/>
        <w:ind w:left="479" w:leftChars="228"/>
        <w:rPr>
          <w:rFonts w:hint="eastAsia" w:ascii="方正仿宋_GB2312" w:hAnsi="方正仿宋_GB2312" w:eastAsia="方正仿宋_GB2312" w:cs="方正仿宋_GB2312"/>
          <w:color w:val="auto"/>
          <w:kern w:val="2"/>
          <w:highlight w:val="none"/>
          <w:lang w:eastAsia="zh-CN"/>
        </w:rPr>
      </w:pPr>
      <w:r>
        <w:rPr>
          <w:rFonts w:hint="eastAsia" w:ascii="方正仿宋_GB2312" w:hAnsi="方正仿宋_GB2312" w:eastAsia="方正仿宋_GB2312" w:cs="方正仿宋_GB2312"/>
          <w:color w:val="auto"/>
          <w:kern w:val="2"/>
          <w:highlight w:val="none"/>
        </w:rPr>
        <w:t>预算金额（元）:</w:t>
      </w:r>
      <w:r>
        <w:rPr>
          <w:rFonts w:hint="eastAsia" w:ascii="方正仿宋_GB2312" w:hAnsi="方正仿宋_GB2312" w:eastAsia="方正仿宋_GB2312" w:cs="方正仿宋_GB2312"/>
          <w:color w:val="auto"/>
          <w:sz w:val="24"/>
          <w:highlight w:val="none"/>
          <w:lang w:val="en-US" w:eastAsia="zh-CN"/>
        </w:rPr>
        <w:t>612500.00</w:t>
      </w:r>
    </w:p>
    <w:p w14:paraId="4EC5775D">
      <w:pPr>
        <w:pStyle w:val="26"/>
        <w:widowControl/>
        <w:ind w:firstLine="480" w:firstLineChars="200"/>
        <w:rPr>
          <w:rFonts w:hint="eastAsia" w:ascii="方正仿宋_GB2312" w:hAnsi="方正仿宋_GB2312" w:eastAsia="方正仿宋_GB2312" w:cs="方正仿宋_GB2312"/>
          <w:color w:val="auto"/>
          <w:kern w:val="2"/>
          <w:highlight w:val="none"/>
        </w:rPr>
      </w:pPr>
      <w:r>
        <w:rPr>
          <w:rFonts w:hint="eastAsia" w:ascii="方正仿宋_GB2312" w:hAnsi="方正仿宋_GB2312" w:eastAsia="方正仿宋_GB2312" w:cs="方正仿宋_GB2312"/>
          <w:color w:val="auto"/>
          <w:kern w:val="2"/>
          <w:highlight w:val="none"/>
        </w:rPr>
        <w:t>简要规格描述或项目基本概况介绍、用途：</w:t>
      </w:r>
      <w:r>
        <w:rPr>
          <w:rFonts w:hint="eastAsia" w:ascii="方正仿宋_GB2312" w:hAnsi="方正仿宋_GB2312" w:eastAsia="方正仿宋_GB2312" w:cs="方正仿宋_GB2312"/>
          <w:color w:val="auto"/>
          <w:kern w:val="2"/>
          <w:highlight w:val="none"/>
          <w:lang w:eastAsia="zh-CN"/>
        </w:rPr>
        <w:t xml:space="preserve">路长1000米，混凝土路面宽3.5m，厚18cm。 </w:t>
      </w:r>
      <w:r>
        <w:rPr>
          <w:rFonts w:hint="eastAsia" w:ascii="方正仿宋_GB2312" w:hAnsi="方正仿宋_GB2312" w:eastAsia="方正仿宋_GB2312" w:cs="方正仿宋_GB2312"/>
          <w:color w:val="auto"/>
          <w:kern w:val="2"/>
          <w:highlight w:val="none"/>
        </w:rPr>
        <w:t>具体内容详见施工图纸及工程量清单。</w:t>
      </w:r>
    </w:p>
    <w:p w14:paraId="3704C142">
      <w:pPr>
        <w:pStyle w:val="26"/>
        <w:widowControl/>
        <w:ind w:firstLine="480" w:firstLineChars="200"/>
        <w:rPr>
          <w:rFonts w:hint="eastAsia" w:ascii="方正仿宋_GB2312" w:hAnsi="方正仿宋_GB2312" w:eastAsia="方正仿宋_GB2312" w:cs="方正仿宋_GB2312"/>
          <w:color w:val="auto"/>
          <w:kern w:val="2"/>
          <w:highlight w:val="none"/>
        </w:rPr>
      </w:pPr>
      <w:r>
        <w:rPr>
          <w:rFonts w:hint="eastAsia" w:ascii="方正仿宋_GB2312" w:hAnsi="方正仿宋_GB2312" w:eastAsia="方正仿宋_GB2312" w:cs="方正仿宋_GB2312"/>
          <w:color w:val="auto"/>
          <w:kern w:val="2"/>
          <w:highlight w:val="none"/>
        </w:rPr>
        <w:t>最高限价（</w:t>
      </w:r>
      <w:r>
        <w:rPr>
          <w:rFonts w:hint="eastAsia" w:ascii="方正仿宋_GB2312" w:hAnsi="方正仿宋_GB2312" w:eastAsia="方正仿宋_GB2312" w:cs="方正仿宋_GB2312"/>
          <w:color w:val="auto"/>
          <w:highlight w:val="none"/>
        </w:rPr>
        <w:t>元</w:t>
      </w:r>
      <w:r>
        <w:rPr>
          <w:rFonts w:hint="eastAsia" w:ascii="方正仿宋_GB2312" w:hAnsi="方正仿宋_GB2312" w:eastAsia="方正仿宋_GB2312" w:cs="方正仿宋_GB2312"/>
          <w:color w:val="auto"/>
          <w:kern w:val="2"/>
          <w:highlight w:val="none"/>
        </w:rPr>
        <w:t>）：</w:t>
      </w:r>
      <w:r>
        <w:rPr>
          <w:rFonts w:hint="eastAsia" w:ascii="方正仿宋_GB2312" w:hAnsi="方正仿宋_GB2312" w:eastAsia="方正仿宋_GB2312" w:cs="方正仿宋_GB2312"/>
          <w:color w:val="auto"/>
          <w:sz w:val="24"/>
          <w:highlight w:val="none"/>
          <w:lang w:eastAsia="zh-CN"/>
        </w:rPr>
        <w:t>612500.00</w:t>
      </w:r>
    </w:p>
    <w:p w14:paraId="5905FD50">
      <w:pPr>
        <w:pStyle w:val="26"/>
        <w:widowControl/>
        <w:ind w:firstLine="480" w:firstLineChars="200"/>
        <w:rPr>
          <w:rFonts w:hint="eastAsia" w:ascii="方正仿宋_GB2312" w:hAnsi="方正仿宋_GB2312" w:eastAsia="方正仿宋_GB2312" w:cs="方正仿宋_GB2312"/>
          <w:color w:val="auto"/>
          <w:kern w:val="2"/>
          <w:highlight w:val="none"/>
        </w:rPr>
      </w:pPr>
      <w:r>
        <w:rPr>
          <w:rFonts w:hint="eastAsia" w:ascii="方正仿宋_GB2312" w:hAnsi="方正仿宋_GB2312" w:eastAsia="方正仿宋_GB2312" w:cs="方正仿宋_GB2312"/>
          <w:color w:val="auto"/>
          <w:kern w:val="2"/>
          <w:highlight w:val="none"/>
        </w:rPr>
        <w:t>合同履约期限：</w:t>
      </w:r>
      <w:r>
        <w:rPr>
          <w:rFonts w:hint="eastAsia" w:ascii="方正仿宋_GB2312" w:hAnsi="方正仿宋_GB2312" w:eastAsia="方正仿宋_GB2312" w:cs="方正仿宋_GB2312"/>
          <w:color w:val="auto"/>
          <w:kern w:val="2"/>
          <w:highlight w:val="none"/>
          <w:lang w:eastAsia="zh-CN"/>
        </w:rPr>
        <w:t>施工工期90日历天</w:t>
      </w:r>
      <w:r>
        <w:rPr>
          <w:rFonts w:hint="eastAsia" w:ascii="方正仿宋_GB2312" w:hAnsi="方正仿宋_GB2312" w:eastAsia="方正仿宋_GB2312" w:cs="方正仿宋_GB2312"/>
          <w:color w:val="auto"/>
          <w:kern w:val="2"/>
          <w:highlight w:val="none"/>
        </w:rPr>
        <w:t>。</w:t>
      </w:r>
    </w:p>
    <w:p w14:paraId="73E6B987">
      <w:pPr>
        <w:pStyle w:val="26"/>
        <w:widowControl/>
        <w:ind w:left="479" w:leftChars="228"/>
        <w:rPr>
          <w:rFonts w:hint="eastAsia" w:ascii="方正仿宋_GB2312" w:hAnsi="方正仿宋_GB2312" w:eastAsia="方正仿宋_GB2312" w:cs="方正仿宋_GB2312"/>
          <w:color w:val="auto"/>
          <w:kern w:val="2"/>
          <w:highlight w:val="none"/>
          <w:lang w:eastAsia="zh-CN"/>
        </w:rPr>
      </w:pPr>
      <w:r>
        <w:rPr>
          <w:rFonts w:hint="eastAsia" w:ascii="方正仿宋_GB2312" w:hAnsi="方正仿宋_GB2312" w:eastAsia="方正仿宋_GB2312" w:cs="方正仿宋_GB2312"/>
          <w:color w:val="auto"/>
          <w:kern w:val="2"/>
          <w:highlight w:val="none"/>
        </w:rPr>
        <w:t>本标项（否）接受联合体投标</w:t>
      </w:r>
    </w:p>
    <w:p w14:paraId="0C159BB5">
      <w:pPr>
        <w:pStyle w:val="26"/>
        <w:widowControl/>
        <w:ind w:left="479" w:leftChars="228"/>
        <w:rPr>
          <w:rFonts w:hint="eastAsia" w:ascii="方正仿宋_GB2312" w:hAnsi="方正仿宋_GB2312" w:eastAsia="方正仿宋_GB2312" w:cs="方正仿宋_GB2312"/>
          <w:color w:val="auto"/>
          <w:kern w:val="2"/>
          <w:highlight w:val="none"/>
        </w:rPr>
      </w:pPr>
      <w:r>
        <w:rPr>
          <w:rFonts w:hint="eastAsia" w:ascii="方正仿宋_GB2312" w:hAnsi="方正仿宋_GB2312" w:eastAsia="方正仿宋_GB2312" w:cs="方正仿宋_GB2312"/>
          <w:color w:val="auto"/>
          <w:kern w:val="2"/>
          <w:highlight w:val="none"/>
        </w:rPr>
        <w:t>备注：/</w:t>
      </w:r>
    </w:p>
    <w:p w14:paraId="5ACA672E">
      <w:pPr>
        <w:spacing w:line="420" w:lineRule="exact"/>
        <w:ind w:firstLine="482" w:firstLineChars="200"/>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
          <w:color w:val="auto"/>
          <w:kern w:val="44"/>
          <w:sz w:val="24"/>
          <w:highlight w:val="none"/>
        </w:rPr>
        <w:t>二、申请人的资格要求：</w:t>
      </w:r>
    </w:p>
    <w:p w14:paraId="54D9FAF8">
      <w:pPr>
        <w:spacing w:line="42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1.满足《中华人民共和国政府采购法》第二十二条规定；</w:t>
      </w:r>
    </w:p>
    <w:p w14:paraId="164F18E5">
      <w:pPr>
        <w:spacing w:line="42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2.落实政府采购政策需满足的资格要求：本项目</w:t>
      </w:r>
      <w:r>
        <w:rPr>
          <w:rFonts w:hint="eastAsia" w:ascii="方正仿宋_GB2312" w:hAnsi="方正仿宋_GB2312" w:eastAsia="方正仿宋_GB2312" w:cs="方正仿宋_GB2312"/>
          <w:color w:val="auto"/>
          <w:sz w:val="24"/>
          <w:highlight w:val="none"/>
          <w:lang w:val="en-US" w:eastAsia="zh-CN"/>
        </w:rPr>
        <w:t>为</w:t>
      </w:r>
      <w:r>
        <w:rPr>
          <w:rFonts w:hint="eastAsia" w:ascii="方正仿宋_GB2312" w:hAnsi="方正仿宋_GB2312" w:eastAsia="方正仿宋_GB2312" w:cs="方正仿宋_GB2312"/>
          <w:color w:val="auto"/>
          <w:sz w:val="24"/>
          <w:highlight w:val="none"/>
        </w:rPr>
        <w:t>专门面向</w:t>
      </w:r>
      <w:r>
        <w:rPr>
          <w:rFonts w:hint="eastAsia" w:ascii="方正仿宋_GB2312" w:hAnsi="方正仿宋_GB2312" w:eastAsia="方正仿宋_GB2312" w:cs="方正仿宋_GB2312"/>
          <w:color w:val="auto"/>
          <w:sz w:val="24"/>
          <w:highlight w:val="none"/>
          <w:lang w:eastAsia="zh-CN"/>
        </w:rPr>
        <w:t>小微</w:t>
      </w:r>
      <w:r>
        <w:rPr>
          <w:rFonts w:hint="eastAsia" w:ascii="方正仿宋_GB2312" w:hAnsi="方正仿宋_GB2312" w:eastAsia="方正仿宋_GB2312" w:cs="方正仿宋_GB2312"/>
          <w:color w:val="auto"/>
          <w:sz w:val="24"/>
          <w:highlight w:val="none"/>
        </w:rPr>
        <w:t>企业采购的项目（供应商应为小微企业、监狱企业、残疾人福利性单位</w:t>
      </w: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rPr>
        <w:t>。</w:t>
      </w:r>
      <w:bookmarkStart w:id="163" w:name="_GoBack"/>
      <w:bookmarkEnd w:id="163"/>
    </w:p>
    <w:p w14:paraId="4EC210BB">
      <w:pPr>
        <w:spacing w:line="42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3.本项目的特定资格要求：分标1</w:t>
      </w:r>
    </w:p>
    <w:p w14:paraId="30D86F20">
      <w:pPr>
        <w:spacing w:line="42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①国内注册（指按国家有关规定要求注册的）具备法人资格，具有</w:t>
      </w:r>
      <w:r>
        <w:rPr>
          <w:rFonts w:hint="eastAsia" w:ascii="方正仿宋_GB2312" w:hAnsi="方正仿宋_GB2312" w:eastAsia="方正仿宋_GB2312" w:cs="方正仿宋_GB2312"/>
          <w:color w:val="auto"/>
          <w:sz w:val="24"/>
          <w:highlight w:val="none"/>
          <w:lang w:eastAsia="zh-CN"/>
        </w:rPr>
        <w:t>公路工程施工总承包</w:t>
      </w:r>
      <w:r>
        <w:rPr>
          <w:rFonts w:hint="eastAsia" w:ascii="方正仿宋_GB2312" w:hAnsi="方正仿宋_GB2312" w:eastAsia="方正仿宋_GB2312" w:cs="方正仿宋_GB2312"/>
          <w:color w:val="auto"/>
          <w:sz w:val="24"/>
          <w:highlight w:val="none"/>
          <w:lang w:eastAsia="zh-CN"/>
        </w:rPr>
        <w:t>贰级(含贰级)</w:t>
      </w:r>
      <w:r>
        <w:rPr>
          <w:rFonts w:hint="eastAsia" w:ascii="方正仿宋_GB2312" w:hAnsi="方正仿宋_GB2312" w:eastAsia="方正仿宋_GB2312" w:cs="方正仿宋_GB2312"/>
          <w:color w:val="auto"/>
          <w:sz w:val="24"/>
          <w:highlight w:val="none"/>
        </w:rPr>
        <w:t xml:space="preserve">以上资质，并在人员、设备、资金等方面具有相应能力的施工企业；  </w:t>
      </w:r>
    </w:p>
    <w:p w14:paraId="1E4F5A1F">
      <w:pPr>
        <w:spacing w:line="42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②拟投入本工程的项目经理必须具有</w:t>
      </w:r>
      <w:r>
        <w:rPr>
          <w:rFonts w:hint="eastAsia" w:ascii="方正仿宋_GB2312" w:hAnsi="方正仿宋_GB2312" w:eastAsia="方正仿宋_GB2312" w:cs="方正仿宋_GB2312"/>
          <w:color w:val="auto"/>
          <w:sz w:val="24"/>
          <w:highlight w:val="none"/>
          <w:lang w:eastAsia="zh-CN"/>
        </w:rPr>
        <w:t>公路工程专业</w:t>
      </w:r>
      <w:r>
        <w:rPr>
          <w:rFonts w:hint="eastAsia" w:ascii="方正仿宋_GB2312" w:hAnsi="方正仿宋_GB2312" w:eastAsia="方正仿宋_GB2312" w:cs="方正仿宋_GB2312"/>
          <w:color w:val="auto"/>
          <w:sz w:val="24"/>
          <w:highlight w:val="none"/>
          <w:lang w:eastAsia="zh-CN"/>
        </w:rPr>
        <w:t>贰级</w:t>
      </w:r>
      <w:r>
        <w:rPr>
          <w:rFonts w:hint="eastAsia" w:ascii="方正仿宋_GB2312" w:hAnsi="方正仿宋_GB2312" w:eastAsia="方正仿宋_GB2312" w:cs="方正仿宋_GB2312"/>
          <w:color w:val="auto"/>
          <w:sz w:val="24"/>
          <w:highlight w:val="none"/>
        </w:rPr>
        <w:t>（含贰级）以上注册建造师执业资格，并具备有效的安全生产考核合格证书（B类）。</w:t>
      </w:r>
    </w:p>
    <w:p w14:paraId="350DBB68">
      <w:pPr>
        <w:spacing w:line="420" w:lineRule="exact"/>
        <w:ind w:firstLine="482" w:firstLineChars="200"/>
        <w:rPr>
          <w:rFonts w:hint="eastAsia" w:ascii="方正仿宋_GB2312" w:hAnsi="方正仿宋_GB2312" w:eastAsia="方正仿宋_GB2312" w:cs="方正仿宋_GB2312"/>
          <w:b/>
          <w:bCs/>
          <w:color w:val="auto"/>
          <w:sz w:val="24"/>
          <w:highlight w:val="none"/>
        </w:rPr>
      </w:pPr>
      <w:bookmarkStart w:id="12" w:name="_Toc35393624"/>
      <w:bookmarkStart w:id="13" w:name="_Toc28359082"/>
      <w:bookmarkStart w:id="14" w:name="_Toc35393793"/>
      <w:bookmarkStart w:id="15" w:name="_Toc28359005"/>
      <w:r>
        <w:rPr>
          <w:rFonts w:hint="eastAsia" w:ascii="方正仿宋_GB2312" w:hAnsi="方正仿宋_GB2312" w:eastAsia="方正仿宋_GB2312" w:cs="方正仿宋_GB2312"/>
          <w:b/>
          <w:bCs/>
          <w:color w:val="auto"/>
          <w:sz w:val="24"/>
          <w:highlight w:val="none"/>
        </w:rPr>
        <w:t>三、获取采购文件</w:t>
      </w:r>
    </w:p>
    <w:p w14:paraId="4EDCB0BE">
      <w:pPr>
        <w:spacing w:line="42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时间：</w:t>
      </w:r>
      <w:r>
        <w:rPr>
          <w:rFonts w:hint="eastAsia" w:ascii="方正仿宋_GB2312" w:hAnsi="方正仿宋_GB2312" w:eastAsia="方正仿宋_GB2312" w:cs="方正仿宋_GB2312"/>
          <w:bCs/>
          <w:color w:val="auto"/>
          <w:sz w:val="24"/>
          <w:highlight w:val="none"/>
          <w:lang w:val="en-US" w:eastAsia="zh-CN"/>
        </w:rPr>
        <w:t>2026年06月16日</w:t>
      </w:r>
      <w:r>
        <w:rPr>
          <w:rFonts w:hint="eastAsia" w:ascii="方正仿宋_GB2312" w:hAnsi="方正仿宋_GB2312" w:eastAsia="方正仿宋_GB2312" w:cs="方正仿宋_GB2312"/>
          <w:color w:val="auto"/>
          <w:sz w:val="24"/>
          <w:highlight w:val="none"/>
        </w:rPr>
        <w:t>至</w:t>
      </w:r>
      <w:r>
        <w:rPr>
          <w:rFonts w:hint="eastAsia" w:ascii="方正仿宋_GB2312" w:hAnsi="方正仿宋_GB2312" w:eastAsia="方正仿宋_GB2312" w:cs="方正仿宋_GB2312"/>
          <w:color w:val="auto"/>
          <w:sz w:val="24"/>
          <w:highlight w:val="none"/>
          <w:lang w:eastAsia="zh-CN"/>
        </w:rPr>
        <w:t>2026年06月</w:t>
      </w:r>
      <w:r>
        <w:rPr>
          <w:rFonts w:hint="eastAsia" w:ascii="方正仿宋_GB2312" w:hAnsi="方正仿宋_GB2312" w:eastAsia="方正仿宋_GB2312" w:cs="方正仿宋_GB2312"/>
          <w:color w:val="auto"/>
          <w:sz w:val="24"/>
          <w:highlight w:val="none"/>
          <w:lang w:val="en-US" w:eastAsia="zh-CN"/>
        </w:rPr>
        <w:t>29</w:t>
      </w:r>
      <w:r>
        <w:rPr>
          <w:rFonts w:hint="eastAsia" w:ascii="方正仿宋_GB2312" w:hAnsi="方正仿宋_GB2312" w:eastAsia="方正仿宋_GB2312" w:cs="方正仿宋_GB2312"/>
          <w:color w:val="auto"/>
          <w:sz w:val="24"/>
          <w:highlight w:val="none"/>
          <w:lang w:eastAsia="zh-CN"/>
        </w:rPr>
        <w:t>日</w:t>
      </w:r>
      <w:r>
        <w:rPr>
          <w:rFonts w:hint="eastAsia" w:ascii="方正仿宋_GB2312" w:hAnsi="方正仿宋_GB2312" w:eastAsia="方正仿宋_GB2312" w:cs="方正仿宋_GB2312"/>
          <w:color w:val="auto"/>
          <w:sz w:val="24"/>
          <w:highlight w:val="none"/>
        </w:rPr>
        <w:t>，每天上午00:00:00至12:00:00，下午12:00:00至23:59:59（北京时间，法定节假日除外）</w:t>
      </w:r>
    </w:p>
    <w:p w14:paraId="5533DE86">
      <w:pPr>
        <w:spacing w:line="42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地点：“广西政府采购云”平台（https://www.gcy.zfcg.gxzf.gov.cn/）</w:t>
      </w:r>
    </w:p>
    <w:p w14:paraId="1A9342C5">
      <w:pPr>
        <w:spacing w:line="42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方式：供应商登录广西政府采购云平台https://www.gcy.zfcg.gxzf.gov.cn/在线申请获取采购文件（进入“项目采购”应用，在获取采购文件菜单中选择项目，申请获取采购文件）。   </w:t>
      </w:r>
    </w:p>
    <w:p w14:paraId="3FF20BD0">
      <w:pPr>
        <w:spacing w:line="42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售价：0元。</w:t>
      </w:r>
    </w:p>
    <w:p w14:paraId="59C348AB">
      <w:pPr>
        <w:spacing w:line="420" w:lineRule="exact"/>
        <w:ind w:firstLine="482" w:firstLineChars="200"/>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四、</w:t>
      </w:r>
      <w:bookmarkEnd w:id="12"/>
      <w:bookmarkEnd w:id="13"/>
      <w:bookmarkEnd w:id="14"/>
      <w:bookmarkEnd w:id="15"/>
      <w:r>
        <w:rPr>
          <w:rFonts w:hint="eastAsia" w:ascii="方正仿宋_GB2312" w:hAnsi="方正仿宋_GB2312" w:eastAsia="方正仿宋_GB2312" w:cs="方正仿宋_GB2312"/>
          <w:b/>
          <w:bCs/>
          <w:color w:val="auto"/>
          <w:sz w:val="24"/>
          <w:highlight w:val="none"/>
        </w:rPr>
        <w:t>响应文件提交</w:t>
      </w:r>
    </w:p>
    <w:p w14:paraId="5CAEF62D">
      <w:pPr>
        <w:spacing w:line="42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截止时间：</w:t>
      </w:r>
      <w:r>
        <w:rPr>
          <w:rFonts w:hint="eastAsia" w:ascii="方正仿宋_GB2312" w:hAnsi="方正仿宋_GB2312" w:eastAsia="方正仿宋_GB2312" w:cs="方正仿宋_GB2312"/>
          <w:color w:val="auto"/>
          <w:sz w:val="24"/>
          <w:highlight w:val="none"/>
          <w:lang w:eastAsia="zh-CN"/>
        </w:rPr>
        <w:t>2026年06月</w:t>
      </w:r>
      <w:r>
        <w:rPr>
          <w:rFonts w:hint="eastAsia" w:ascii="方正仿宋_GB2312" w:hAnsi="方正仿宋_GB2312" w:eastAsia="方正仿宋_GB2312" w:cs="方正仿宋_GB2312"/>
          <w:color w:val="auto"/>
          <w:sz w:val="24"/>
          <w:highlight w:val="none"/>
          <w:lang w:val="en-US" w:eastAsia="zh-CN"/>
        </w:rPr>
        <w:t>29</w:t>
      </w:r>
      <w:r>
        <w:rPr>
          <w:rFonts w:hint="eastAsia" w:ascii="方正仿宋_GB2312" w:hAnsi="方正仿宋_GB2312" w:eastAsia="方正仿宋_GB2312" w:cs="方正仿宋_GB2312"/>
          <w:color w:val="auto"/>
          <w:sz w:val="24"/>
          <w:highlight w:val="none"/>
          <w:lang w:eastAsia="zh-CN"/>
        </w:rPr>
        <w:t>日</w:t>
      </w:r>
      <w:r>
        <w:rPr>
          <w:rFonts w:hint="eastAsia" w:ascii="方正仿宋_GB2312" w:hAnsi="方正仿宋_GB2312" w:eastAsia="方正仿宋_GB2312" w:cs="方正仿宋_GB2312"/>
          <w:color w:val="auto"/>
          <w:sz w:val="24"/>
          <w:highlight w:val="none"/>
          <w:lang w:val="en-US" w:eastAsia="zh-CN"/>
        </w:rPr>
        <w:t>13:30</w:t>
      </w:r>
      <w:r>
        <w:rPr>
          <w:rFonts w:hint="eastAsia" w:ascii="方正仿宋_GB2312" w:hAnsi="方正仿宋_GB2312" w:eastAsia="方正仿宋_GB2312" w:cs="方正仿宋_GB2312"/>
          <w:color w:val="auto"/>
          <w:sz w:val="24"/>
          <w:highlight w:val="none"/>
        </w:rPr>
        <w:t>（北京时间）</w:t>
      </w:r>
    </w:p>
    <w:p w14:paraId="443A287A">
      <w:pPr>
        <w:spacing w:line="42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地点（网址）：请登录广西政府采购云平台投标客户端投标 </w:t>
      </w:r>
    </w:p>
    <w:p w14:paraId="5380BBA2">
      <w:pPr>
        <w:spacing w:line="420" w:lineRule="exact"/>
        <w:ind w:firstLine="482" w:firstLineChars="200"/>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五、响应文件开启</w:t>
      </w:r>
    </w:p>
    <w:p w14:paraId="706EBF63">
      <w:pPr>
        <w:spacing w:line="420" w:lineRule="exact"/>
        <w:ind w:firstLine="480" w:firstLineChars="200"/>
        <w:rPr>
          <w:rFonts w:hint="eastAsia" w:ascii="方正仿宋_GB2312" w:hAnsi="方正仿宋_GB2312" w:eastAsia="方正仿宋_GB2312" w:cs="方正仿宋_GB2312"/>
          <w:color w:val="auto"/>
          <w:sz w:val="24"/>
          <w:highlight w:val="none"/>
        </w:rPr>
      </w:pPr>
      <w:bookmarkStart w:id="16" w:name="_Toc28359007"/>
      <w:bookmarkStart w:id="17" w:name="_Toc35393625"/>
      <w:bookmarkStart w:id="18" w:name="_Toc28359084"/>
      <w:bookmarkStart w:id="19" w:name="_Toc35393794"/>
      <w:r>
        <w:rPr>
          <w:rFonts w:hint="eastAsia" w:ascii="方正仿宋_GB2312" w:hAnsi="方正仿宋_GB2312" w:eastAsia="方正仿宋_GB2312" w:cs="方正仿宋_GB2312"/>
          <w:color w:val="auto"/>
          <w:sz w:val="24"/>
          <w:highlight w:val="none"/>
        </w:rPr>
        <w:t>开启时间：</w:t>
      </w:r>
      <w:r>
        <w:rPr>
          <w:rFonts w:hint="eastAsia" w:ascii="方正仿宋_GB2312" w:hAnsi="方正仿宋_GB2312" w:eastAsia="方正仿宋_GB2312" w:cs="方正仿宋_GB2312"/>
          <w:color w:val="auto"/>
          <w:sz w:val="24"/>
          <w:highlight w:val="none"/>
          <w:lang w:eastAsia="zh-CN"/>
        </w:rPr>
        <w:t>2026年06月</w:t>
      </w:r>
      <w:r>
        <w:rPr>
          <w:rFonts w:hint="eastAsia" w:ascii="方正仿宋_GB2312" w:hAnsi="方正仿宋_GB2312" w:eastAsia="方正仿宋_GB2312" w:cs="方正仿宋_GB2312"/>
          <w:color w:val="auto"/>
          <w:sz w:val="24"/>
          <w:highlight w:val="none"/>
          <w:lang w:val="en-US" w:eastAsia="zh-CN"/>
        </w:rPr>
        <w:t>29</w:t>
      </w:r>
      <w:r>
        <w:rPr>
          <w:rFonts w:hint="eastAsia" w:ascii="方正仿宋_GB2312" w:hAnsi="方正仿宋_GB2312" w:eastAsia="方正仿宋_GB2312" w:cs="方正仿宋_GB2312"/>
          <w:color w:val="auto"/>
          <w:sz w:val="24"/>
          <w:highlight w:val="none"/>
          <w:lang w:eastAsia="zh-CN"/>
        </w:rPr>
        <w:t>日</w:t>
      </w:r>
      <w:r>
        <w:rPr>
          <w:rFonts w:hint="eastAsia" w:ascii="方正仿宋_GB2312" w:hAnsi="方正仿宋_GB2312" w:eastAsia="方正仿宋_GB2312" w:cs="方正仿宋_GB2312"/>
          <w:color w:val="auto"/>
          <w:sz w:val="24"/>
          <w:highlight w:val="none"/>
          <w:lang w:val="en-US" w:eastAsia="zh-CN"/>
        </w:rPr>
        <w:t>13:30</w:t>
      </w:r>
      <w:r>
        <w:rPr>
          <w:rFonts w:hint="eastAsia" w:ascii="方正仿宋_GB2312" w:hAnsi="方正仿宋_GB2312" w:eastAsia="方正仿宋_GB2312" w:cs="方正仿宋_GB2312"/>
          <w:color w:val="auto"/>
          <w:sz w:val="24"/>
          <w:highlight w:val="none"/>
        </w:rPr>
        <w:t>（北京时间）</w:t>
      </w:r>
    </w:p>
    <w:p w14:paraId="2BBB3574">
      <w:pPr>
        <w:spacing w:line="42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地点：</w:t>
      </w:r>
      <w:r>
        <w:rPr>
          <w:rFonts w:hint="eastAsia" w:ascii="方正仿宋_GB2312" w:hAnsi="方正仿宋_GB2312" w:eastAsia="方正仿宋_GB2312" w:cs="方正仿宋_GB2312"/>
          <w:color w:val="auto"/>
          <w:sz w:val="24"/>
          <w:highlight w:val="none"/>
          <w:lang w:eastAsia="zh-CN"/>
        </w:rPr>
        <w:t>在“</w:t>
      </w:r>
      <w:r>
        <w:rPr>
          <w:rFonts w:hint="eastAsia" w:ascii="方正仿宋_GB2312" w:hAnsi="方正仿宋_GB2312" w:eastAsia="方正仿宋_GB2312" w:cs="方正仿宋_GB2312"/>
          <w:color w:val="auto"/>
          <w:sz w:val="24"/>
          <w:highlight w:val="none"/>
        </w:rPr>
        <w:t>广西政府采购云</w:t>
      </w: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rPr>
        <w:t>平台（https://www.gcy.zfcg.gxzf.gov.cn/） 电子开标大厅在线解密开启</w:t>
      </w:r>
    </w:p>
    <w:p w14:paraId="1F1A0A71">
      <w:pPr>
        <w:spacing w:line="420" w:lineRule="exact"/>
        <w:ind w:firstLine="482" w:firstLineChars="200"/>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六、公告期限</w:t>
      </w:r>
      <w:bookmarkEnd w:id="16"/>
      <w:bookmarkEnd w:id="17"/>
      <w:bookmarkEnd w:id="18"/>
      <w:bookmarkEnd w:id="19"/>
    </w:p>
    <w:p w14:paraId="28BFA119">
      <w:pPr>
        <w:spacing w:line="420" w:lineRule="exact"/>
        <w:ind w:firstLine="480" w:firstLineChars="200"/>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自本公告发布之日起5个工作日。</w:t>
      </w:r>
    </w:p>
    <w:p w14:paraId="6518E6BF">
      <w:pPr>
        <w:spacing w:line="420" w:lineRule="exact"/>
        <w:ind w:firstLine="482" w:firstLineChars="200"/>
        <w:rPr>
          <w:rFonts w:hint="eastAsia" w:ascii="方正仿宋_GB2312" w:hAnsi="方正仿宋_GB2312" w:eastAsia="方正仿宋_GB2312" w:cs="方正仿宋_GB2312"/>
          <w:b/>
          <w:bCs/>
          <w:color w:val="auto"/>
          <w:sz w:val="24"/>
          <w:highlight w:val="none"/>
        </w:rPr>
      </w:pPr>
      <w:bookmarkStart w:id="20" w:name="_Toc35393626"/>
      <w:bookmarkStart w:id="21" w:name="_Toc35393795"/>
      <w:r>
        <w:rPr>
          <w:rFonts w:hint="eastAsia" w:ascii="方正仿宋_GB2312" w:hAnsi="方正仿宋_GB2312" w:eastAsia="方正仿宋_GB2312" w:cs="方正仿宋_GB2312"/>
          <w:b/>
          <w:bCs/>
          <w:color w:val="auto"/>
          <w:sz w:val="24"/>
          <w:highlight w:val="none"/>
        </w:rPr>
        <w:t>七、其他补充事宜</w:t>
      </w:r>
      <w:bookmarkEnd w:id="20"/>
      <w:bookmarkEnd w:id="21"/>
    </w:p>
    <w:p w14:paraId="242B6C42">
      <w:pPr>
        <w:spacing w:line="420" w:lineRule="exact"/>
        <w:ind w:firstLine="480" w:firstLineChars="200"/>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1.磋商保证金：本项目不收取磋商保证金。</w:t>
      </w:r>
    </w:p>
    <w:p w14:paraId="47EE258A">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2.采购意向公开链接：</w:t>
      </w:r>
    </w:p>
    <w:p w14:paraId="7B150150">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highlight w:val="none"/>
        </w:rPr>
      </w:pPr>
      <w:bookmarkStart w:id="22" w:name="_Hlk37429585"/>
      <w:r>
        <w:rPr>
          <w:rFonts w:hint="eastAsia" w:ascii="仿宋" w:hAnsi="仿宋" w:eastAsia="仿宋" w:cs="仿宋"/>
          <w:color w:val="auto"/>
          <w:sz w:val="24"/>
          <w:highlight w:val="none"/>
        </w:rPr>
        <w:t>http://www.ccgp-guangxi.gov.cn/site/detail?categoryCode=ZcyAnnouncement&amp;parentId=66485&amp;articleId=LZ6jWlz7yyfSH/DP1ndbgA==</w:t>
      </w:r>
    </w:p>
    <w:p w14:paraId="39F9CBD9">
      <w:pPr>
        <w:keepNext w:val="0"/>
        <w:keepLines w:val="0"/>
        <w:pageBreakBefore w:val="0"/>
        <w:kinsoku/>
        <w:wordWrap/>
        <w:overflowPunct/>
        <w:topLinePunct w:val="0"/>
        <w:autoSpaceDE/>
        <w:autoSpaceDN/>
        <w:bidi w:val="0"/>
        <w:adjustRightInd/>
        <w:snapToGrid/>
        <w:spacing w:line="336" w:lineRule="auto"/>
        <w:ind w:left="420" w:left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bookmarkStart w:id="23" w:name="_Hlk37429595"/>
      <w:r>
        <w:rPr>
          <w:rFonts w:hint="eastAsia" w:ascii="仿宋" w:hAnsi="仿宋" w:eastAsia="仿宋" w:cs="仿宋"/>
          <w:color w:val="auto"/>
          <w:kern w:val="0"/>
          <w:sz w:val="24"/>
          <w:highlight w:val="none"/>
        </w:rPr>
        <w:t>网上查询地址</w:t>
      </w:r>
    </w:p>
    <w:bookmarkEnd w:id="22"/>
    <w:bookmarkEnd w:id="23"/>
    <w:p w14:paraId="5F6F99E8">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lang w:eastAsia="zh-CN"/>
        </w:rPr>
      </w:pPr>
      <w:bookmarkStart w:id="24" w:name="_Hlk37429674"/>
      <w:r>
        <w:rPr>
          <w:rFonts w:hint="eastAsia" w:ascii="仿宋" w:hAnsi="仿宋" w:eastAsia="仿宋" w:cs="仿宋"/>
          <w:color w:val="auto"/>
          <w:kern w:val="0"/>
          <w:sz w:val="24"/>
          <w:highlight w:val="none"/>
        </w:rPr>
        <w:t>中国政府采购网（http://www.ccgp.gov.cn）、广西壮族自治区政府采购网（http://www.ccgp-guangxi.gov.cn/）</w:t>
      </w:r>
      <w:r>
        <w:rPr>
          <w:rFonts w:hint="eastAsia" w:ascii="仿宋" w:hAnsi="仿宋" w:eastAsia="仿宋" w:cs="仿宋"/>
          <w:color w:val="auto"/>
          <w:kern w:val="0"/>
          <w:sz w:val="24"/>
          <w:highlight w:val="none"/>
          <w:lang w:eastAsia="zh-CN"/>
        </w:rPr>
        <w:t>、。</w:t>
      </w:r>
    </w:p>
    <w:p w14:paraId="13614498">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本项目需要落实的政府采购政策</w:t>
      </w:r>
    </w:p>
    <w:p w14:paraId="2C9051B3">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（1）政府采购促进</w:t>
      </w:r>
      <w:r>
        <w:rPr>
          <w:rFonts w:hint="eastAsia" w:ascii="仿宋" w:hAnsi="仿宋" w:eastAsia="仿宋" w:cs="仿宋"/>
          <w:color w:val="auto"/>
          <w:kern w:val="0"/>
          <w:sz w:val="24"/>
          <w:highlight w:val="none"/>
          <w:lang w:eastAsia="zh-CN"/>
        </w:rPr>
        <w:t>中小</w:t>
      </w:r>
      <w:r>
        <w:rPr>
          <w:rFonts w:hint="eastAsia" w:ascii="仿宋" w:hAnsi="仿宋" w:eastAsia="仿宋" w:cs="仿宋"/>
          <w:color w:val="auto"/>
          <w:kern w:val="0"/>
          <w:sz w:val="24"/>
          <w:highlight w:val="none"/>
        </w:rPr>
        <w:t>企业发展。</w:t>
      </w:r>
    </w:p>
    <w:p w14:paraId="2C96E9D4">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（2）政府采购支持采用本国产品的政策。</w:t>
      </w:r>
    </w:p>
    <w:p w14:paraId="6677B14B">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（3）强制采购节能产品；优先采购节能产品、环境标志产品。</w:t>
      </w:r>
    </w:p>
    <w:p w14:paraId="37B4A304">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（4）政府采购促进残疾人就业政策。</w:t>
      </w:r>
    </w:p>
    <w:p w14:paraId="56081281">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（5）政府采购支持监狱企业发展。</w:t>
      </w:r>
      <w:bookmarkEnd w:id="24"/>
    </w:p>
    <w:p w14:paraId="2D3EBA84">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A6704B2">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F11E47B">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20D27F66">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本项目为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投标截止时间前通过网络上传至“广西政府采购云平台”，供应商在“广西政府采购云平台”提交电子版响应文件时，请填写参加远程采购活动经办人联系方式，电子响应文件具体操作流程详见本公告附件。</w:t>
      </w:r>
    </w:p>
    <w:p w14:paraId="3E957824">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77E10C77">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为确保网上操作合法、有效和安全，请供应商确保在电子响应过程中能够对相关数据电文进行加密和使用电子签章，妥善保管CA数字证书并使用有效的CA数字证书参与整个采购活动。</w:t>
      </w:r>
    </w:p>
    <w:p w14:paraId="355F7B7C">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2A6CBD6A">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CA证书在线解密：首次响应文件开启时，须要供应商携带制作响应文件时用来加密的有效数字证书（CA认证）登录“广西政府采购云平台”电子开标大厅现场按规定时间对加密的响应文件进行解密，否则后果自负，未能按要求进行解密的，由此产生的后果由供应商自行承担。</w:t>
      </w:r>
    </w:p>
    <w:p w14:paraId="6FD53A34">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1CC26E5C">
      <w:pPr>
        <w:spacing w:line="420" w:lineRule="exact"/>
        <w:ind w:firstLine="482" w:firstLineChars="200"/>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
          <w:color w:val="auto"/>
          <w:kern w:val="44"/>
          <w:sz w:val="24"/>
          <w:highlight w:val="none"/>
        </w:rPr>
        <w:t>八、凡对本次采购提出询问，请按以下方式联系</w:t>
      </w:r>
    </w:p>
    <w:p w14:paraId="0F6DD70B">
      <w:pPr>
        <w:spacing w:line="420" w:lineRule="exact"/>
        <w:ind w:firstLine="960" w:firstLineChars="400"/>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1.采购人信息</w:t>
      </w:r>
    </w:p>
    <w:p w14:paraId="279A6593">
      <w:pPr>
        <w:spacing w:line="420" w:lineRule="exact"/>
        <w:ind w:firstLine="960" w:firstLineChars="400"/>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名    称：</w:t>
      </w:r>
      <w:r>
        <w:rPr>
          <w:rFonts w:hint="eastAsia" w:ascii="方正仿宋_GB2312" w:hAnsi="方正仿宋_GB2312" w:eastAsia="方正仿宋_GB2312" w:cs="方正仿宋_GB2312"/>
          <w:color w:val="auto"/>
          <w:kern w:val="0"/>
          <w:sz w:val="24"/>
          <w:highlight w:val="none"/>
          <w:lang w:eastAsia="zh-CN"/>
        </w:rPr>
        <w:t>马山县百龙滩镇人民政府</w:t>
      </w:r>
      <w:r>
        <w:rPr>
          <w:rFonts w:hint="eastAsia" w:ascii="方正仿宋_GB2312" w:hAnsi="方正仿宋_GB2312" w:eastAsia="方正仿宋_GB2312" w:cs="方正仿宋_GB2312"/>
          <w:color w:val="auto"/>
          <w:kern w:val="0"/>
          <w:sz w:val="24"/>
          <w:highlight w:val="none"/>
        </w:rPr>
        <w:t> </w:t>
      </w:r>
    </w:p>
    <w:p w14:paraId="73B01B68">
      <w:pPr>
        <w:spacing w:line="420" w:lineRule="exact"/>
        <w:ind w:firstLine="960" w:firstLineChars="400"/>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地    址：</w:t>
      </w:r>
      <w:r>
        <w:rPr>
          <w:rFonts w:hint="eastAsia" w:ascii="方正仿宋_GB2312" w:hAnsi="方正仿宋_GB2312" w:eastAsia="方正仿宋_GB2312" w:cs="方正仿宋_GB2312"/>
          <w:color w:val="auto"/>
          <w:kern w:val="0"/>
          <w:sz w:val="24"/>
          <w:highlight w:val="none"/>
          <w:lang w:eastAsia="zh-CN"/>
        </w:rPr>
        <w:t>马山县百龙滩镇百龙大道509号</w:t>
      </w:r>
    </w:p>
    <w:p w14:paraId="2A88C369">
      <w:pPr>
        <w:spacing w:line="420" w:lineRule="exact"/>
        <w:ind w:firstLine="960" w:firstLineChars="400"/>
        <w:rPr>
          <w:rFonts w:hint="default" w:ascii="方正仿宋_GB2312" w:hAnsi="方正仿宋_GB2312" w:eastAsia="方正仿宋_GB2312" w:cs="方正仿宋_GB2312"/>
          <w:color w:val="auto"/>
          <w:kern w:val="0"/>
          <w:sz w:val="24"/>
          <w:highlight w:val="none"/>
          <w:lang w:val="en-US" w:eastAsia="zh-CN"/>
        </w:rPr>
      </w:pPr>
      <w:r>
        <w:rPr>
          <w:rFonts w:hint="eastAsia" w:ascii="方正仿宋_GB2312" w:hAnsi="方正仿宋_GB2312" w:eastAsia="方正仿宋_GB2312" w:cs="方正仿宋_GB2312"/>
          <w:color w:val="auto"/>
          <w:kern w:val="0"/>
          <w:sz w:val="24"/>
          <w:highlight w:val="none"/>
        </w:rPr>
        <w:t>项目联系人：</w:t>
      </w:r>
      <w:r>
        <w:rPr>
          <w:rFonts w:hint="eastAsia" w:ascii="方正仿宋_GB2312" w:hAnsi="方正仿宋_GB2312" w:eastAsia="方正仿宋_GB2312" w:cs="方正仿宋_GB2312"/>
          <w:color w:val="auto"/>
          <w:kern w:val="0"/>
          <w:sz w:val="24"/>
          <w:highlight w:val="none"/>
          <w:lang w:val="en-US" w:eastAsia="zh-CN"/>
        </w:rPr>
        <w:t>蓝艳菊</w:t>
      </w:r>
    </w:p>
    <w:p w14:paraId="5C6CA1EF">
      <w:pPr>
        <w:spacing w:line="420" w:lineRule="exact"/>
        <w:ind w:firstLine="960" w:firstLineChars="400"/>
        <w:rPr>
          <w:rFonts w:hint="eastAsia" w:ascii="方正仿宋_GB2312" w:hAnsi="方正仿宋_GB2312" w:eastAsia="方正仿宋_GB2312" w:cs="方正仿宋_GB2312"/>
          <w:color w:val="auto"/>
          <w:kern w:val="0"/>
          <w:sz w:val="24"/>
          <w:highlight w:val="none"/>
          <w:lang w:eastAsia="zh-CN"/>
        </w:rPr>
      </w:pPr>
      <w:r>
        <w:rPr>
          <w:rFonts w:hint="eastAsia" w:ascii="方正仿宋_GB2312" w:hAnsi="方正仿宋_GB2312" w:eastAsia="方正仿宋_GB2312" w:cs="方正仿宋_GB2312"/>
          <w:color w:val="auto"/>
          <w:kern w:val="0"/>
          <w:sz w:val="24"/>
          <w:highlight w:val="none"/>
        </w:rPr>
        <w:t>项目联系方式：</w:t>
      </w:r>
      <w:r>
        <w:rPr>
          <w:rFonts w:hint="eastAsia" w:ascii="方正仿宋_GB2312" w:hAnsi="方正仿宋_GB2312" w:eastAsia="方正仿宋_GB2312" w:cs="方正仿宋_GB2312"/>
          <w:color w:val="auto"/>
          <w:kern w:val="0"/>
          <w:sz w:val="24"/>
          <w:highlight w:val="none"/>
          <w:lang w:eastAsia="zh-CN"/>
        </w:rPr>
        <w:t>0771-6802018</w:t>
      </w:r>
    </w:p>
    <w:p w14:paraId="2E202CD3">
      <w:pPr>
        <w:spacing w:line="420" w:lineRule="exact"/>
        <w:ind w:firstLine="960" w:firstLineChars="400"/>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2.采购代理机构信息</w:t>
      </w:r>
    </w:p>
    <w:p w14:paraId="2AAE023C">
      <w:pPr>
        <w:spacing w:line="420" w:lineRule="exact"/>
        <w:ind w:firstLine="960" w:firstLineChars="400"/>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名    称：广西同盛工程咨询有限公司 </w:t>
      </w:r>
    </w:p>
    <w:p w14:paraId="7CF61EF3">
      <w:pPr>
        <w:spacing w:line="420" w:lineRule="exact"/>
        <w:ind w:firstLine="960" w:firstLineChars="400"/>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地    址：南宁市金凯路26号7楼 </w:t>
      </w:r>
    </w:p>
    <w:p w14:paraId="576CD084">
      <w:pPr>
        <w:spacing w:line="420" w:lineRule="exact"/>
        <w:ind w:firstLine="960" w:firstLineChars="400"/>
        <w:rPr>
          <w:rFonts w:hint="eastAsia" w:ascii="方正仿宋_GB2312" w:hAnsi="方正仿宋_GB2312" w:eastAsia="方正仿宋_GB2312" w:cs="方正仿宋_GB2312"/>
          <w:color w:val="auto"/>
          <w:kern w:val="0"/>
          <w:sz w:val="24"/>
          <w:highlight w:val="none"/>
          <w:lang w:eastAsia="zh-CN"/>
        </w:rPr>
      </w:pPr>
      <w:r>
        <w:rPr>
          <w:rFonts w:hint="eastAsia" w:ascii="方正仿宋_GB2312" w:hAnsi="方正仿宋_GB2312" w:eastAsia="方正仿宋_GB2312" w:cs="方正仿宋_GB2312"/>
          <w:color w:val="auto"/>
          <w:kern w:val="0"/>
          <w:sz w:val="24"/>
          <w:highlight w:val="none"/>
        </w:rPr>
        <w:t>项目联系人：</w:t>
      </w:r>
      <w:r>
        <w:rPr>
          <w:rFonts w:hint="eastAsia" w:ascii="方正仿宋_GB2312" w:hAnsi="方正仿宋_GB2312" w:eastAsia="方正仿宋_GB2312" w:cs="方正仿宋_GB2312"/>
          <w:color w:val="auto"/>
          <w:kern w:val="0"/>
          <w:sz w:val="24"/>
          <w:highlight w:val="none"/>
          <w:lang w:eastAsia="zh-CN"/>
        </w:rPr>
        <w:t>张健、廖洋</w:t>
      </w:r>
    </w:p>
    <w:p w14:paraId="6E12E942">
      <w:pPr>
        <w:spacing w:line="420" w:lineRule="exact"/>
        <w:ind w:firstLine="960" w:firstLineChars="400"/>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项目联系方式：0771-3948200</w:t>
      </w:r>
    </w:p>
    <w:p w14:paraId="7C687AB9">
      <w:pPr>
        <w:pStyle w:val="11"/>
        <w:spacing w:line="420" w:lineRule="exact"/>
        <w:rPr>
          <w:rFonts w:hint="eastAsia" w:ascii="方正仿宋_GB2312" w:hAnsi="方正仿宋_GB2312" w:eastAsia="方正仿宋_GB2312" w:cs="方正仿宋_GB2312"/>
          <w:color w:val="auto"/>
          <w:sz w:val="24"/>
          <w:highlight w:val="none"/>
        </w:rPr>
      </w:pPr>
    </w:p>
    <w:p w14:paraId="0DFDEF24">
      <w:pPr>
        <w:pStyle w:val="11"/>
        <w:spacing w:line="420" w:lineRule="exact"/>
        <w:ind w:firstLine="480" w:firstLineChars="200"/>
        <w:rPr>
          <w:rFonts w:hint="eastAsia" w:ascii="方正仿宋_GB2312" w:hAnsi="方正仿宋_GB2312" w:eastAsia="方正仿宋_GB2312" w:cs="方正仿宋_GB2312"/>
          <w:color w:val="auto"/>
          <w:sz w:val="24"/>
          <w:highlight w:val="none"/>
        </w:rPr>
      </w:pPr>
    </w:p>
    <w:p w14:paraId="6F356E6B">
      <w:pPr>
        <w:spacing w:line="420" w:lineRule="exact"/>
        <w:ind w:firstLine="480" w:firstLineChars="200"/>
        <w:jc w:val="righ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广西同盛工程咨询有限公司 </w:t>
      </w:r>
    </w:p>
    <w:p w14:paraId="127E4701">
      <w:pPr>
        <w:spacing w:line="420" w:lineRule="exact"/>
        <w:ind w:firstLine="480" w:firstLineChars="200"/>
        <w:jc w:val="center"/>
        <w:rPr>
          <w:rFonts w:hint="eastAsia" w:ascii="方正仿宋_GB2312" w:hAnsi="方正仿宋_GB2312" w:eastAsia="方正仿宋_GB2312" w:cs="方正仿宋_GB2312"/>
          <w:bCs/>
          <w:color w:val="auto"/>
          <w:szCs w:val="21"/>
          <w:highlight w:val="none"/>
          <w:lang w:eastAsia="zh-CN"/>
        </w:rPr>
      </w:pPr>
      <w:r>
        <w:rPr>
          <w:rFonts w:hint="eastAsia" w:ascii="方正仿宋_GB2312" w:hAnsi="方正仿宋_GB2312" w:eastAsia="方正仿宋_GB2312" w:cs="方正仿宋_GB2312"/>
          <w:bCs/>
          <w:color w:val="auto"/>
          <w:sz w:val="24"/>
          <w:highlight w:val="none"/>
        </w:rPr>
        <w:t xml:space="preserve">                                                      </w:t>
      </w:r>
      <w:r>
        <w:rPr>
          <w:rFonts w:hint="eastAsia" w:ascii="方正仿宋_GB2312" w:hAnsi="方正仿宋_GB2312" w:eastAsia="方正仿宋_GB2312" w:cs="方正仿宋_GB2312"/>
          <w:bCs/>
          <w:color w:val="auto"/>
          <w:sz w:val="24"/>
          <w:highlight w:val="none"/>
          <w:lang w:eastAsia="zh-CN"/>
        </w:rPr>
        <w:t>2026年06月</w:t>
      </w:r>
      <w:r>
        <w:rPr>
          <w:rFonts w:hint="eastAsia" w:ascii="方正仿宋_GB2312" w:hAnsi="方正仿宋_GB2312" w:eastAsia="方正仿宋_GB2312" w:cs="方正仿宋_GB2312"/>
          <w:bCs/>
          <w:color w:val="auto"/>
          <w:sz w:val="24"/>
          <w:highlight w:val="none"/>
          <w:lang w:val="en-US" w:eastAsia="zh-CN"/>
        </w:rPr>
        <w:t>16</w:t>
      </w:r>
      <w:r>
        <w:rPr>
          <w:rFonts w:hint="eastAsia" w:ascii="方正仿宋_GB2312" w:hAnsi="方正仿宋_GB2312" w:eastAsia="方正仿宋_GB2312" w:cs="方正仿宋_GB2312"/>
          <w:bCs/>
          <w:color w:val="auto"/>
          <w:sz w:val="24"/>
          <w:highlight w:val="none"/>
          <w:lang w:eastAsia="zh-CN"/>
        </w:rPr>
        <w:t>日</w:t>
      </w:r>
    </w:p>
    <w:p w14:paraId="1564C0B4">
      <w:pPr>
        <w:pStyle w:val="2"/>
        <w:spacing w:before="0" w:after="0" w:line="360"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 w:val="32"/>
          <w:szCs w:val="32"/>
          <w:highlight w:val="none"/>
        </w:rPr>
        <w:br w:type="page"/>
      </w:r>
      <w:bookmarkStart w:id="25" w:name="_Toc18672"/>
      <w:bookmarkStart w:id="26" w:name="_Toc19911"/>
      <w:bookmarkStart w:id="27" w:name="_Toc32397"/>
      <w:r>
        <w:rPr>
          <w:rFonts w:hint="eastAsia" w:ascii="方正仿宋_GB2312" w:hAnsi="方正仿宋_GB2312" w:eastAsia="方正仿宋_GB2312" w:cs="方正仿宋_GB2312"/>
          <w:bCs w:val="0"/>
          <w:color w:val="auto"/>
          <w:highlight w:val="none"/>
        </w:rPr>
        <w:t>第二章 采购需求</w:t>
      </w:r>
      <w:bookmarkEnd w:id="25"/>
      <w:bookmarkEnd w:id="26"/>
      <w:bookmarkEnd w:id="27"/>
    </w:p>
    <w:p w14:paraId="345B118B">
      <w:pPr>
        <w:spacing w:line="360" w:lineRule="auto"/>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说明：</w:t>
      </w:r>
    </w:p>
    <w:p w14:paraId="6FBEBF78">
      <w:pPr>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1.为落实政府采购政策需满足的要求</w:t>
      </w:r>
    </w:p>
    <w:p w14:paraId="206505F2">
      <w:pPr>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（1）本竞争性磋商文件所称</w:t>
      </w:r>
      <w:r>
        <w:rPr>
          <w:rFonts w:hint="eastAsia" w:ascii="方正仿宋_GB2312" w:hAnsi="方正仿宋_GB2312" w:eastAsia="方正仿宋_GB2312" w:cs="方正仿宋_GB2312"/>
          <w:color w:val="auto"/>
          <w:szCs w:val="21"/>
          <w:highlight w:val="none"/>
          <w:lang w:eastAsia="zh-CN"/>
        </w:rPr>
        <w:t>小微</w:t>
      </w:r>
      <w:r>
        <w:rPr>
          <w:rFonts w:hint="eastAsia" w:ascii="方正仿宋_GB2312" w:hAnsi="方正仿宋_GB2312" w:eastAsia="方正仿宋_GB2312" w:cs="方正仿宋_GB2312"/>
          <w:color w:val="auto"/>
          <w:szCs w:val="21"/>
          <w:highlight w:val="none"/>
        </w:rPr>
        <w:t>企业必须符合《政府采购促进中小企业发展管理办法》（财库〔2020〕46号）的规定。</w:t>
      </w:r>
    </w:p>
    <w:p w14:paraId="6E203808">
      <w:pPr>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供应商的竞标货物必须使用政府强制采购的节能产品，供应商必须在响应文件中提供所竞标产品的节能产品认证证书复印件（加盖供应商公章），否则响应文件作无效处理。如本项目包含的货物属于品目清单内非标注“★”的产品时，应优先采购，具体详见“第四章 评标方法及评标标准”。</w:t>
      </w:r>
    </w:p>
    <w:p w14:paraId="639D2A46">
      <w:pPr>
        <w:spacing w:line="360" w:lineRule="auto"/>
        <w:ind w:firstLine="411" w:firstLineChars="196"/>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2.“实质性要求”是指采购需求中带“▲”的条款或者不能负偏离的条款或者已经指明不满足按响应文件作无效处理的条款。</w:t>
      </w:r>
    </w:p>
    <w:p w14:paraId="0D8A4408">
      <w:pPr>
        <w:spacing w:line="360" w:lineRule="auto"/>
        <w:ind w:firstLine="411" w:firstLineChars="196"/>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3.不需要供应商对采购需求响应为具体数值的，此采购需求的数值后将以◆号标注。</w:t>
      </w:r>
    </w:p>
    <w:p w14:paraId="25441A90">
      <w:pPr>
        <w:pStyle w:val="11"/>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w:t>
      </w:r>
      <w:r>
        <w:rPr>
          <w:rFonts w:hint="eastAsia" w:ascii="方正仿宋_GB2312" w:hAnsi="方正仿宋_GB2312" w:eastAsia="方正仿宋_GB2312" w:cs="方正仿宋_GB2312"/>
          <w:color w:val="auto"/>
          <w:highlight w:val="none"/>
        </w:rPr>
        <w:t>供应商必须自行为其磋商产品侵犯他人的知识产权或者专利成果的行为承担相应法律责任。</w:t>
      </w:r>
    </w:p>
    <w:p w14:paraId="70A9F3CD">
      <w:pPr>
        <w:pStyle w:val="11"/>
        <w:spacing w:line="360" w:lineRule="auto"/>
        <w:ind w:firstLine="420" w:firstLineChars="200"/>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color w:val="auto"/>
          <w:szCs w:val="21"/>
          <w:highlight w:val="none"/>
        </w:rPr>
        <w:t>5.本项目</w:t>
      </w:r>
      <w:r>
        <w:rPr>
          <w:rFonts w:hint="eastAsia" w:ascii="方正仿宋_GB2312" w:hAnsi="方正仿宋_GB2312" w:eastAsia="方正仿宋_GB2312" w:cs="方正仿宋_GB2312"/>
          <w:color w:val="auto"/>
          <w:szCs w:val="21"/>
          <w:highlight w:val="none"/>
          <w:lang w:eastAsia="zh-CN"/>
        </w:rPr>
        <w:t>小微</w:t>
      </w:r>
      <w:r>
        <w:rPr>
          <w:rFonts w:hint="eastAsia" w:ascii="方正仿宋_GB2312" w:hAnsi="方正仿宋_GB2312" w:eastAsia="方正仿宋_GB2312" w:cs="方正仿宋_GB2312"/>
          <w:color w:val="auto"/>
          <w:szCs w:val="21"/>
          <w:highlight w:val="none"/>
        </w:rPr>
        <w:t>企业划分标准所属行业名称（行业名称及划分见本章附件2）：建筑业。</w:t>
      </w:r>
    </w:p>
    <w:tbl>
      <w:tblPr>
        <w:tblStyle w:val="28"/>
        <w:tblW w:w="98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2"/>
        <w:gridCol w:w="1547"/>
        <w:gridCol w:w="597"/>
        <w:gridCol w:w="666"/>
        <w:gridCol w:w="3840"/>
        <w:gridCol w:w="1397"/>
        <w:gridCol w:w="1062"/>
      </w:tblGrid>
      <w:tr w14:paraId="2C893D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821" w:type="dxa"/>
            <w:gridSpan w:val="7"/>
            <w:tcBorders>
              <w:top w:val="single" w:color="auto" w:sz="4" w:space="0"/>
              <w:left w:val="single" w:color="auto" w:sz="4" w:space="0"/>
              <w:right w:val="single" w:color="auto" w:sz="4" w:space="0"/>
            </w:tcBorders>
            <w:noWrap w:val="0"/>
            <w:vAlign w:val="center"/>
          </w:tcPr>
          <w:p w14:paraId="0ED8464D">
            <w:pPr>
              <w:spacing w:line="360" w:lineRule="auto"/>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采购需求一览表</w:t>
            </w:r>
          </w:p>
        </w:tc>
      </w:tr>
      <w:tr w14:paraId="2369F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59" w:type="dxa"/>
            <w:gridSpan w:val="2"/>
            <w:tcBorders>
              <w:top w:val="single" w:color="auto" w:sz="4" w:space="0"/>
              <w:left w:val="single" w:color="auto" w:sz="4" w:space="0"/>
              <w:right w:val="single" w:color="auto" w:sz="4" w:space="0"/>
            </w:tcBorders>
            <w:noWrap w:val="0"/>
            <w:vAlign w:val="center"/>
          </w:tcPr>
          <w:p w14:paraId="06F7430B">
            <w:pPr>
              <w:spacing w:line="360" w:lineRule="auto"/>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分标</w:t>
            </w:r>
          </w:p>
        </w:tc>
        <w:tc>
          <w:tcPr>
            <w:tcW w:w="7562" w:type="dxa"/>
            <w:gridSpan w:val="5"/>
            <w:tcBorders>
              <w:top w:val="single" w:color="auto" w:sz="4" w:space="0"/>
              <w:left w:val="single" w:color="auto" w:sz="4" w:space="0"/>
              <w:right w:val="single" w:color="auto" w:sz="4" w:space="0"/>
            </w:tcBorders>
            <w:noWrap w:val="0"/>
            <w:vAlign w:val="center"/>
          </w:tcPr>
          <w:p w14:paraId="6833DC46">
            <w:pPr>
              <w:spacing w:line="360" w:lineRule="auto"/>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w:t>
            </w:r>
          </w:p>
        </w:tc>
      </w:tr>
      <w:tr w14:paraId="44324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1623D19C">
            <w:pPr>
              <w:spacing w:line="360" w:lineRule="auto"/>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序号</w:t>
            </w:r>
          </w:p>
        </w:tc>
        <w:tc>
          <w:tcPr>
            <w:tcW w:w="154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5B4BA32">
            <w:pPr>
              <w:spacing w:line="360" w:lineRule="auto"/>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标的名称</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11DDAB7A">
            <w:pPr>
              <w:spacing w:line="360" w:lineRule="auto"/>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数量</w:t>
            </w:r>
          </w:p>
        </w:tc>
        <w:tc>
          <w:tcPr>
            <w:tcW w:w="666" w:type="dxa"/>
            <w:tcBorders>
              <w:top w:val="single" w:color="auto" w:sz="4" w:space="0"/>
              <w:left w:val="single" w:color="auto" w:sz="4" w:space="0"/>
              <w:bottom w:val="single" w:color="auto" w:sz="4" w:space="0"/>
              <w:right w:val="single" w:color="auto" w:sz="4" w:space="0"/>
            </w:tcBorders>
            <w:noWrap w:val="0"/>
            <w:vAlign w:val="center"/>
          </w:tcPr>
          <w:p w14:paraId="21FA7D43">
            <w:pPr>
              <w:spacing w:line="360" w:lineRule="auto"/>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单位</w:t>
            </w:r>
          </w:p>
        </w:tc>
        <w:tc>
          <w:tcPr>
            <w:tcW w:w="3840" w:type="dxa"/>
            <w:tcBorders>
              <w:top w:val="single" w:color="auto" w:sz="4" w:space="0"/>
              <w:left w:val="single" w:color="auto" w:sz="4" w:space="0"/>
              <w:bottom w:val="single" w:color="auto" w:sz="4" w:space="0"/>
              <w:right w:val="single" w:color="auto" w:sz="4" w:space="0"/>
            </w:tcBorders>
            <w:noWrap w:val="0"/>
            <w:vAlign w:val="center"/>
          </w:tcPr>
          <w:p w14:paraId="111718E0">
            <w:pPr>
              <w:spacing w:line="360" w:lineRule="auto"/>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项目要求</w:t>
            </w:r>
          </w:p>
        </w:tc>
        <w:tc>
          <w:tcPr>
            <w:tcW w:w="1397" w:type="dxa"/>
            <w:tcBorders>
              <w:top w:val="single" w:color="auto" w:sz="4" w:space="0"/>
              <w:left w:val="single" w:color="auto" w:sz="4" w:space="0"/>
              <w:bottom w:val="single" w:color="auto" w:sz="4" w:space="0"/>
              <w:right w:val="single" w:color="auto" w:sz="4" w:space="0"/>
            </w:tcBorders>
            <w:noWrap w:val="0"/>
            <w:vAlign w:val="center"/>
          </w:tcPr>
          <w:p w14:paraId="5262E830">
            <w:pPr>
              <w:spacing w:line="360" w:lineRule="auto"/>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最高限价（元）</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6FE7C1E5">
            <w:pPr>
              <w:spacing w:line="360" w:lineRule="auto"/>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lang w:eastAsia="zh-CN"/>
              </w:rPr>
              <w:t>小微</w:t>
            </w:r>
            <w:r>
              <w:rPr>
                <w:rFonts w:hint="eastAsia" w:ascii="方正仿宋_GB2312" w:hAnsi="方正仿宋_GB2312" w:eastAsia="方正仿宋_GB2312" w:cs="方正仿宋_GB2312"/>
                <w:bCs/>
                <w:color w:val="auto"/>
                <w:szCs w:val="21"/>
                <w:highlight w:val="none"/>
              </w:rPr>
              <w:t>企业划分标准所属行业名称</w:t>
            </w:r>
          </w:p>
        </w:tc>
      </w:tr>
      <w:tr w14:paraId="7EAFC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590B5301">
            <w:pPr>
              <w:spacing w:line="360" w:lineRule="auto"/>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w:t>
            </w:r>
          </w:p>
        </w:tc>
        <w:tc>
          <w:tcPr>
            <w:tcW w:w="1547" w:type="dxa"/>
            <w:tcBorders>
              <w:top w:val="single" w:color="auto" w:sz="4" w:space="0"/>
              <w:left w:val="single" w:color="auto" w:sz="4" w:space="0"/>
              <w:right w:val="single" w:color="auto" w:sz="4" w:space="0"/>
            </w:tcBorders>
            <w:noWrap w:val="0"/>
            <w:vAlign w:val="center"/>
          </w:tcPr>
          <w:p w14:paraId="6437C4CD">
            <w:pPr>
              <w:spacing w:line="360" w:lineRule="auto"/>
              <w:jc w:val="center"/>
              <w:rPr>
                <w:rFonts w:hint="eastAsia" w:ascii="方正仿宋_GB2312" w:hAnsi="方正仿宋_GB2312" w:eastAsia="方正仿宋_GB2312" w:cs="方正仿宋_GB2312"/>
                <w:bCs/>
                <w:color w:val="auto"/>
                <w:szCs w:val="21"/>
                <w:highlight w:val="none"/>
                <w:lang w:eastAsia="zh-CN"/>
              </w:rPr>
            </w:pPr>
            <w:r>
              <w:rPr>
                <w:rFonts w:hint="eastAsia" w:ascii="方正仿宋_GB2312" w:hAnsi="方正仿宋_GB2312" w:eastAsia="方正仿宋_GB2312" w:cs="方正仿宋_GB2312"/>
                <w:bCs/>
                <w:color w:val="auto"/>
                <w:szCs w:val="21"/>
                <w:highlight w:val="none"/>
                <w:lang w:eastAsia="zh-CN"/>
              </w:rPr>
              <w:t>百龙滩镇南新村弄洪屯进村入户路硬化项目</w:t>
            </w:r>
          </w:p>
        </w:tc>
        <w:tc>
          <w:tcPr>
            <w:tcW w:w="597" w:type="dxa"/>
            <w:tcBorders>
              <w:top w:val="single" w:color="auto" w:sz="4" w:space="0"/>
              <w:left w:val="single" w:color="auto" w:sz="4" w:space="0"/>
              <w:right w:val="single" w:color="auto" w:sz="4" w:space="0"/>
            </w:tcBorders>
            <w:noWrap w:val="0"/>
            <w:vAlign w:val="center"/>
          </w:tcPr>
          <w:p w14:paraId="7D4AD927">
            <w:pPr>
              <w:spacing w:line="360" w:lineRule="auto"/>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w:t>
            </w:r>
          </w:p>
        </w:tc>
        <w:tc>
          <w:tcPr>
            <w:tcW w:w="666" w:type="dxa"/>
            <w:tcBorders>
              <w:top w:val="single" w:color="auto" w:sz="4" w:space="0"/>
              <w:left w:val="single" w:color="auto" w:sz="4" w:space="0"/>
              <w:right w:val="single" w:color="auto" w:sz="4" w:space="0"/>
            </w:tcBorders>
            <w:noWrap w:val="0"/>
            <w:vAlign w:val="center"/>
          </w:tcPr>
          <w:p w14:paraId="462B37A8">
            <w:pPr>
              <w:spacing w:line="360" w:lineRule="auto"/>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项</w:t>
            </w:r>
          </w:p>
        </w:tc>
        <w:tc>
          <w:tcPr>
            <w:tcW w:w="3840" w:type="dxa"/>
            <w:tcBorders>
              <w:top w:val="single" w:color="auto" w:sz="4" w:space="0"/>
              <w:left w:val="single" w:color="auto" w:sz="4" w:space="0"/>
              <w:right w:val="single" w:color="auto" w:sz="4" w:space="0"/>
            </w:tcBorders>
            <w:noWrap w:val="0"/>
            <w:vAlign w:val="top"/>
          </w:tcPr>
          <w:p w14:paraId="0540E0DD">
            <w:pPr>
              <w:spacing w:line="360" w:lineRule="auto"/>
              <w:jc w:val="both"/>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lang w:val="en-US" w:eastAsia="zh-CN"/>
              </w:rPr>
              <w:t>1</w:t>
            </w:r>
            <w:r>
              <w:rPr>
                <w:rFonts w:hint="eastAsia" w:ascii="方正仿宋_GB2312" w:hAnsi="方正仿宋_GB2312" w:eastAsia="方正仿宋_GB2312" w:cs="方正仿宋_GB2312"/>
                <w:bCs/>
                <w:color w:val="auto"/>
                <w:szCs w:val="21"/>
                <w:highlight w:val="none"/>
              </w:rPr>
              <w:t>、项目建设规模：</w:t>
            </w:r>
            <w:r>
              <w:rPr>
                <w:rFonts w:hint="eastAsia" w:ascii="方正仿宋_GB2312" w:hAnsi="方正仿宋_GB2312" w:eastAsia="方正仿宋_GB2312" w:cs="方正仿宋_GB2312"/>
                <w:bCs/>
                <w:color w:val="auto"/>
                <w:szCs w:val="21"/>
                <w:highlight w:val="none"/>
                <w:lang w:eastAsia="zh-CN"/>
              </w:rPr>
              <w:t>路长1000米，混凝土路面宽3.5m，厚18cm。</w:t>
            </w:r>
            <w:r>
              <w:rPr>
                <w:rFonts w:hint="eastAsia" w:ascii="方正仿宋_GB2312" w:hAnsi="方正仿宋_GB2312" w:eastAsia="方正仿宋_GB2312" w:cs="方正仿宋_GB2312"/>
                <w:bCs/>
                <w:color w:val="auto"/>
                <w:szCs w:val="21"/>
                <w:highlight w:val="none"/>
              </w:rPr>
              <w:t>具体内容详见施工图纸及工程量清单。</w:t>
            </w:r>
          </w:p>
          <w:p w14:paraId="1F67B627">
            <w:pPr>
              <w:spacing w:line="360" w:lineRule="auto"/>
              <w:rPr>
                <w:rFonts w:hint="eastAsia" w:ascii="方正仿宋_GB2312" w:hAnsi="方正仿宋_GB2312" w:eastAsia="方正仿宋_GB2312" w:cs="方正仿宋_GB2312"/>
                <w:bCs/>
                <w:color w:val="auto"/>
                <w:szCs w:val="21"/>
                <w:highlight w:val="none"/>
                <w:lang w:eastAsia="zh-CN"/>
              </w:rPr>
            </w:pPr>
            <w:r>
              <w:rPr>
                <w:rFonts w:hint="eastAsia" w:ascii="方正仿宋_GB2312" w:hAnsi="方正仿宋_GB2312" w:eastAsia="方正仿宋_GB2312" w:cs="方正仿宋_GB2312"/>
                <w:bCs/>
                <w:color w:val="auto"/>
                <w:szCs w:val="21"/>
                <w:highlight w:val="none"/>
                <w:lang w:val="en-US" w:eastAsia="zh-CN"/>
              </w:rPr>
              <w:t>2</w:t>
            </w:r>
            <w:r>
              <w:rPr>
                <w:rFonts w:hint="eastAsia" w:ascii="方正仿宋_GB2312" w:hAnsi="方正仿宋_GB2312" w:eastAsia="方正仿宋_GB2312" w:cs="方正仿宋_GB2312"/>
                <w:bCs/>
                <w:color w:val="auto"/>
                <w:szCs w:val="21"/>
                <w:highlight w:val="none"/>
              </w:rPr>
              <w:t>、建设地点：</w:t>
            </w:r>
            <w:r>
              <w:rPr>
                <w:rFonts w:hint="eastAsia" w:ascii="方正仿宋_GB2312" w:hAnsi="方正仿宋_GB2312" w:eastAsia="方正仿宋_GB2312" w:cs="方正仿宋_GB2312"/>
                <w:bCs/>
                <w:color w:val="auto"/>
                <w:szCs w:val="21"/>
                <w:highlight w:val="none"/>
                <w:lang w:eastAsia="zh-CN"/>
              </w:rPr>
              <w:t>马山县百龙滩镇。</w:t>
            </w:r>
          </w:p>
          <w:p w14:paraId="2EC62383">
            <w:pPr>
              <w:spacing w:line="360" w:lineRule="auto"/>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w:t>
            </w:r>
            <w:r>
              <w:rPr>
                <w:rFonts w:hint="eastAsia" w:ascii="方正仿宋_GB2312" w:hAnsi="方正仿宋_GB2312" w:eastAsia="方正仿宋_GB2312" w:cs="方正仿宋_GB2312"/>
                <w:bCs/>
                <w:color w:val="auto"/>
                <w:szCs w:val="21"/>
                <w:highlight w:val="none"/>
                <w:lang w:val="en-US" w:eastAsia="zh-CN"/>
              </w:rPr>
              <w:t>3</w:t>
            </w:r>
            <w:r>
              <w:rPr>
                <w:rFonts w:hint="eastAsia" w:ascii="方正仿宋_GB2312" w:hAnsi="方正仿宋_GB2312" w:eastAsia="方正仿宋_GB2312" w:cs="方正仿宋_GB2312"/>
                <w:bCs/>
                <w:color w:val="auto"/>
                <w:szCs w:val="21"/>
                <w:highlight w:val="none"/>
              </w:rPr>
              <w:t>、</w:t>
            </w:r>
            <w:r>
              <w:rPr>
                <w:rFonts w:hint="eastAsia" w:ascii="方正仿宋_GB2312" w:hAnsi="方正仿宋_GB2312" w:eastAsia="方正仿宋_GB2312" w:cs="方正仿宋_GB2312"/>
                <w:bCs/>
                <w:color w:val="auto"/>
                <w:szCs w:val="21"/>
                <w:highlight w:val="none"/>
                <w:lang w:eastAsia="zh-CN"/>
              </w:rPr>
              <w:t>施工范围</w:t>
            </w:r>
            <w:r>
              <w:rPr>
                <w:rFonts w:hint="eastAsia" w:ascii="方正仿宋_GB2312" w:hAnsi="方正仿宋_GB2312" w:eastAsia="方正仿宋_GB2312" w:cs="方正仿宋_GB2312"/>
                <w:bCs/>
                <w:color w:val="auto"/>
                <w:szCs w:val="21"/>
                <w:highlight w:val="none"/>
              </w:rPr>
              <w:t>：</w:t>
            </w:r>
            <w:r>
              <w:rPr>
                <w:rFonts w:hint="eastAsia" w:ascii="方正仿宋_GB2312" w:hAnsi="方正仿宋_GB2312" w:eastAsia="方正仿宋_GB2312" w:cs="方正仿宋_GB2312"/>
                <w:bCs/>
                <w:color w:val="auto"/>
                <w:szCs w:val="21"/>
                <w:highlight w:val="none"/>
                <w:lang w:eastAsia="zh-CN"/>
              </w:rPr>
              <w:t>百龙滩镇南新村弄洪屯进村入户路硬化项目</w:t>
            </w:r>
            <w:r>
              <w:rPr>
                <w:rFonts w:hint="eastAsia" w:ascii="方正仿宋_GB2312" w:hAnsi="方正仿宋_GB2312" w:eastAsia="方正仿宋_GB2312" w:cs="方正仿宋_GB2312"/>
                <w:bCs/>
                <w:color w:val="auto"/>
                <w:szCs w:val="21"/>
                <w:highlight w:val="none"/>
              </w:rPr>
              <w:t>，按照施工图纸及工程量清单完成施工。</w:t>
            </w:r>
          </w:p>
          <w:p w14:paraId="45EFBF6B">
            <w:pPr>
              <w:spacing w:line="360" w:lineRule="auto"/>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lang w:val="en-US" w:eastAsia="zh-CN"/>
              </w:rPr>
              <w:t>4</w:t>
            </w:r>
            <w:r>
              <w:rPr>
                <w:rFonts w:hint="eastAsia" w:ascii="方正仿宋_GB2312" w:hAnsi="方正仿宋_GB2312" w:eastAsia="方正仿宋_GB2312" w:cs="方正仿宋_GB2312"/>
                <w:bCs/>
                <w:color w:val="auto"/>
                <w:szCs w:val="21"/>
                <w:highlight w:val="none"/>
              </w:rPr>
              <w:t>、工程建设地点的现场条件：</w:t>
            </w:r>
          </w:p>
          <w:p w14:paraId="15626AD0">
            <w:pPr>
              <w:spacing w:line="360" w:lineRule="auto"/>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（1）现场自然条件：满足施工要求。</w:t>
            </w:r>
          </w:p>
          <w:p w14:paraId="6FCAB36B">
            <w:pPr>
              <w:spacing w:line="360" w:lineRule="auto"/>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（2）现场施工条件：符合施工要求。</w:t>
            </w:r>
          </w:p>
          <w:p w14:paraId="76BB0F25">
            <w:pPr>
              <w:spacing w:line="360" w:lineRule="auto"/>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w:t>
            </w:r>
            <w:r>
              <w:rPr>
                <w:rFonts w:hint="eastAsia" w:ascii="方正仿宋_GB2312" w:hAnsi="方正仿宋_GB2312" w:eastAsia="方正仿宋_GB2312" w:cs="方正仿宋_GB2312"/>
                <w:bCs/>
                <w:color w:val="auto"/>
                <w:szCs w:val="21"/>
                <w:highlight w:val="none"/>
                <w:lang w:val="en-US" w:eastAsia="zh-CN"/>
              </w:rPr>
              <w:t>5</w:t>
            </w:r>
            <w:r>
              <w:rPr>
                <w:rFonts w:hint="eastAsia" w:ascii="方正仿宋_GB2312" w:hAnsi="方正仿宋_GB2312" w:eastAsia="方正仿宋_GB2312" w:cs="方正仿宋_GB2312"/>
                <w:bCs/>
                <w:color w:val="auto"/>
                <w:szCs w:val="21"/>
                <w:highlight w:val="none"/>
              </w:rPr>
              <w:t>、项目管理机构配备最低要求：</w:t>
            </w:r>
          </w:p>
          <w:p w14:paraId="5F5AF71B">
            <w:pPr>
              <w:spacing w:line="360" w:lineRule="auto"/>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本项目管理机构配备人员至少为6人，其中：</w:t>
            </w:r>
          </w:p>
          <w:p w14:paraId="2C8D668B">
            <w:pPr>
              <w:spacing w:line="360" w:lineRule="auto"/>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（1）项目经理1名，具有</w:t>
            </w:r>
            <w:r>
              <w:rPr>
                <w:rFonts w:hint="eastAsia" w:ascii="方正仿宋_GB2312" w:hAnsi="方正仿宋_GB2312" w:eastAsia="方正仿宋_GB2312" w:cs="方正仿宋_GB2312"/>
                <w:bCs/>
                <w:color w:val="auto"/>
                <w:szCs w:val="21"/>
                <w:highlight w:val="none"/>
                <w:lang w:eastAsia="zh-CN"/>
              </w:rPr>
              <w:t>公路工程专业贰级</w:t>
            </w:r>
            <w:r>
              <w:rPr>
                <w:rFonts w:hint="eastAsia" w:ascii="方正仿宋_GB2312" w:hAnsi="方正仿宋_GB2312" w:eastAsia="方正仿宋_GB2312" w:cs="方正仿宋_GB2312"/>
                <w:bCs/>
                <w:color w:val="auto"/>
                <w:szCs w:val="21"/>
                <w:highlight w:val="none"/>
              </w:rPr>
              <w:t>（含贰级）以上注册建造师执业资格，并具备有效的安全生产考核合格证书（B类）。</w:t>
            </w:r>
          </w:p>
          <w:p w14:paraId="097BA0B7">
            <w:pPr>
              <w:spacing w:line="360" w:lineRule="auto"/>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（2）技术负责人1名，具有工程类中级以上（含中级）职称。</w:t>
            </w:r>
          </w:p>
          <w:p w14:paraId="62A2CBF7">
            <w:pPr>
              <w:spacing w:line="360" w:lineRule="auto"/>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（3）施工员1名、质检（量）员1名、安全员1名、材料员1名，其中施工员、质检（量）员、安全员、材料员必需持证上岗且年检合格，安全员必须具有安全生产考核合格证书（C类）且在有效期内。</w:t>
            </w:r>
          </w:p>
          <w:p w14:paraId="176CFD32">
            <w:pPr>
              <w:spacing w:line="360" w:lineRule="auto"/>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（4）以上拟投入人员均需提供供应商为其依法缴纳社会保险（响应截止之日前半年内任意3个月）的证明材料</w:t>
            </w:r>
          </w:p>
        </w:tc>
        <w:tc>
          <w:tcPr>
            <w:tcW w:w="1397" w:type="dxa"/>
            <w:tcBorders>
              <w:top w:val="single" w:color="auto" w:sz="4" w:space="0"/>
              <w:left w:val="single" w:color="auto" w:sz="4" w:space="0"/>
              <w:bottom w:val="single" w:color="auto" w:sz="4" w:space="0"/>
              <w:right w:val="single" w:color="auto" w:sz="4" w:space="0"/>
            </w:tcBorders>
            <w:noWrap w:val="0"/>
            <w:vAlign w:val="center"/>
          </w:tcPr>
          <w:p w14:paraId="6E35C06D">
            <w:pPr>
              <w:spacing w:line="360" w:lineRule="auto"/>
              <w:jc w:val="center"/>
              <w:rPr>
                <w:rFonts w:hint="eastAsia" w:ascii="方正仿宋_GB2312" w:hAnsi="方正仿宋_GB2312" w:eastAsia="方正仿宋_GB2312" w:cs="方正仿宋_GB2312"/>
                <w:bCs/>
                <w:color w:val="auto"/>
                <w:szCs w:val="21"/>
                <w:highlight w:val="none"/>
                <w:lang w:eastAsia="zh-CN"/>
              </w:rPr>
            </w:pPr>
            <w:r>
              <w:rPr>
                <w:rFonts w:hint="eastAsia" w:ascii="方正仿宋_GB2312" w:hAnsi="方正仿宋_GB2312" w:eastAsia="方正仿宋_GB2312" w:cs="方正仿宋_GB2312"/>
                <w:color w:val="auto"/>
                <w:sz w:val="24"/>
                <w:highlight w:val="none"/>
                <w:lang w:eastAsia="zh-CN"/>
              </w:rPr>
              <w:t>612500.00</w:t>
            </w:r>
          </w:p>
        </w:tc>
        <w:tc>
          <w:tcPr>
            <w:tcW w:w="1062" w:type="dxa"/>
            <w:tcBorders>
              <w:top w:val="single" w:color="auto" w:sz="4" w:space="0"/>
              <w:left w:val="single" w:color="auto" w:sz="4" w:space="0"/>
              <w:right w:val="single" w:color="auto" w:sz="4" w:space="0"/>
            </w:tcBorders>
            <w:noWrap w:val="0"/>
            <w:vAlign w:val="center"/>
          </w:tcPr>
          <w:p w14:paraId="36D6BEE5">
            <w:pPr>
              <w:spacing w:line="360" w:lineRule="auto"/>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建筑业</w:t>
            </w:r>
          </w:p>
        </w:tc>
      </w:tr>
      <w:tr w14:paraId="08B3F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285F9502">
            <w:pPr>
              <w:spacing w:line="360" w:lineRule="auto"/>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商务条款</w:t>
            </w:r>
          </w:p>
        </w:tc>
        <w:tc>
          <w:tcPr>
            <w:tcW w:w="9109" w:type="dxa"/>
            <w:gridSpan w:val="6"/>
            <w:tcBorders>
              <w:top w:val="single" w:color="auto" w:sz="4" w:space="0"/>
              <w:left w:val="single" w:color="auto" w:sz="4" w:space="0"/>
              <w:bottom w:val="single" w:color="auto" w:sz="4" w:space="0"/>
              <w:right w:val="single" w:color="auto" w:sz="4" w:space="0"/>
            </w:tcBorders>
            <w:noWrap w:val="0"/>
            <w:vAlign w:val="center"/>
          </w:tcPr>
          <w:p w14:paraId="02339998">
            <w:pPr>
              <w:spacing w:line="360" w:lineRule="auto"/>
              <w:rPr>
                <w:rFonts w:hint="eastAsia" w:ascii="方正仿宋_GB2312" w:hAnsi="方正仿宋_GB2312" w:eastAsia="方正仿宋_GB2312" w:cs="方正仿宋_GB2312"/>
                <w:bCs/>
                <w:color w:val="auto"/>
                <w:szCs w:val="21"/>
                <w:highlight w:val="none"/>
              </w:rPr>
            </w:pPr>
            <w:bookmarkStart w:id="28" w:name="_top"/>
            <w:bookmarkEnd w:id="28"/>
            <w:r>
              <w:rPr>
                <w:rFonts w:hint="eastAsia" w:ascii="方正仿宋_GB2312" w:hAnsi="方正仿宋_GB2312" w:eastAsia="方正仿宋_GB2312" w:cs="方正仿宋_GB2312"/>
                <w:bCs/>
                <w:color w:val="auto"/>
                <w:szCs w:val="21"/>
                <w:highlight w:val="none"/>
              </w:rPr>
              <w:t>一、合同签订期：自成交通知书发出之日起</w:t>
            </w:r>
            <w:r>
              <w:rPr>
                <w:rFonts w:hint="eastAsia" w:ascii="方正仿宋_GB2312" w:hAnsi="方正仿宋_GB2312" w:eastAsia="方正仿宋_GB2312" w:cs="方正仿宋_GB2312"/>
                <w:bCs/>
                <w:color w:val="auto"/>
                <w:szCs w:val="21"/>
                <w:highlight w:val="none"/>
                <w:lang w:val="en-US" w:eastAsia="zh-CN"/>
              </w:rPr>
              <w:t>25</w:t>
            </w:r>
            <w:r>
              <w:rPr>
                <w:rFonts w:hint="eastAsia" w:ascii="方正仿宋_GB2312" w:hAnsi="方正仿宋_GB2312" w:eastAsia="方正仿宋_GB2312" w:cs="方正仿宋_GB2312"/>
                <w:bCs/>
                <w:color w:val="auto"/>
                <w:szCs w:val="21"/>
                <w:highlight w:val="none"/>
              </w:rPr>
              <w:t>日内。</w:t>
            </w:r>
          </w:p>
          <w:p w14:paraId="6DFE46A0">
            <w:pPr>
              <w:shd w:val="clear"/>
              <w:spacing w:line="360" w:lineRule="auto"/>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▲二、合同履行期限</w:t>
            </w:r>
            <w:r>
              <w:rPr>
                <w:rFonts w:hint="eastAsia" w:ascii="方正仿宋_GB2312" w:hAnsi="方正仿宋_GB2312" w:eastAsia="方正仿宋_GB2312" w:cs="方正仿宋_GB2312"/>
                <w:bCs/>
                <w:color w:val="auto"/>
                <w:szCs w:val="21"/>
                <w:highlight w:val="none"/>
                <w:lang w:eastAsia="zh-CN"/>
              </w:rPr>
              <w:t>（施工工期）</w:t>
            </w:r>
            <w:r>
              <w:rPr>
                <w:rFonts w:hint="eastAsia" w:ascii="方正仿宋_GB2312" w:hAnsi="方正仿宋_GB2312" w:eastAsia="方正仿宋_GB2312" w:cs="方正仿宋_GB2312"/>
                <w:bCs/>
                <w:color w:val="auto"/>
                <w:szCs w:val="21"/>
                <w:highlight w:val="none"/>
              </w:rPr>
              <w:t>：</w:t>
            </w:r>
            <w:r>
              <w:rPr>
                <w:rFonts w:hint="eastAsia" w:ascii="方正仿宋_GB2312" w:hAnsi="方正仿宋_GB2312" w:eastAsia="方正仿宋_GB2312" w:cs="方正仿宋_GB2312"/>
                <w:bCs/>
                <w:color w:val="auto"/>
                <w:szCs w:val="21"/>
                <w:highlight w:val="none"/>
                <w:lang w:eastAsia="zh-CN"/>
              </w:rPr>
              <w:t>施工工期90日历天。</w:t>
            </w:r>
          </w:p>
          <w:p w14:paraId="5C1BBD90">
            <w:pPr>
              <w:shd w:val="clear"/>
              <w:spacing w:line="360" w:lineRule="auto"/>
              <w:rPr>
                <w:rFonts w:hint="eastAsia" w:ascii="方正仿宋_GB2312" w:hAnsi="方正仿宋_GB2312" w:eastAsia="方正仿宋_GB2312" w:cs="方正仿宋_GB2312"/>
                <w:bCs/>
                <w:color w:val="auto"/>
                <w:szCs w:val="21"/>
                <w:highlight w:val="none"/>
                <w:u w:val="none"/>
              </w:rPr>
            </w:pPr>
            <w:r>
              <w:rPr>
                <w:rFonts w:hint="eastAsia" w:ascii="方正仿宋_GB2312" w:hAnsi="方正仿宋_GB2312" w:eastAsia="方正仿宋_GB2312" w:cs="方正仿宋_GB2312"/>
                <w:bCs/>
                <w:color w:val="auto"/>
                <w:szCs w:val="21"/>
                <w:highlight w:val="none"/>
              </w:rPr>
              <w:t>▲三、验收标准、规范：</w:t>
            </w:r>
            <w:r>
              <w:rPr>
                <w:rFonts w:hint="eastAsia" w:ascii="方正仿宋_GB2312" w:hAnsi="方正仿宋_GB2312" w:eastAsia="方正仿宋_GB2312" w:cs="方正仿宋_GB2312"/>
                <w:bCs/>
                <w:color w:val="auto"/>
                <w:szCs w:val="21"/>
                <w:highlight w:val="none"/>
                <w:u w:val="none"/>
              </w:rPr>
              <w:t>达到国家施工验收规范合格标准。</w:t>
            </w:r>
          </w:p>
          <w:p w14:paraId="6EB08222">
            <w:pPr>
              <w:shd w:val="clear"/>
              <w:spacing w:line="360" w:lineRule="auto"/>
              <w:rPr>
                <w:rFonts w:hint="eastAsia" w:ascii="方正仿宋_GB2312" w:hAnsi="方正仿宋_GB2312" w:eastAsia="方正仿宋_GB2312" w:cs="方正仿宋_GB2312"/>
                <w:bCs/>
                <w:color w:val="auto"/>
                <w:szCs w:val="21"/>
                <w:highlight w:val="none"/>
                <w:lang w:val="en-US" w:eastAsia="zh-CN"/>
              </w:rPr>
            </w:pPr>
            <w:r>
              <w:rPr>
                <w:rFonts w:hint="eastAsia" w:ascii="方正仿宋_GB2312" w:hAnsi="方正仿宋_GB2312" w:eastAsia="方正仿宋_GB2312" w:cs="方正仿宋_GB2312"/>
                <w:bCs/>
                <w:color w:val="auto"/>
                <w:szCs w:val="21"/>
                <w:highlight w:val="none"/>
              </w:rPr>
              <w:t>▲四、工程质量保修期：</w:t>
            </w:r>
            <w:r>
              <w:rPr>
                <w:rFonts w:hint="eastAsia" w:ascii="方正仿宋_GB2312" w:hAnsi="方正仿宋_GB2312" w:eastAsia="方正仿宋_GB2312" w:cs="方正仿宋_GB2312"/>
                <w:bCs/>
                <w:color w:val="auto"/>
                <w:szCs w:val="21"/>
                <w:highlight w:val="none"/>
                <w:shd w:val="clear"/>
                <w:lang w:eastAsia="zh-CN"/>
              </w:rPr>
              <w:t>自工程交工验收认定为合格工程之日起计时1年。</w:t>
            </w:r>
          </w:p>
          <w:p w14:paraId="252C8E7D">
            <w:pPr>
              <w:shd w:val="clear"/>
              <w:spacing w:line="360" w:lineRule="auto"/>
              <w:rPr>
                <w:rFonts w:hint="eastAsia" w:ascii="方正仿宋_GB2312" w:hAnsi="方正仿宋_GB2312" w:eastAsia="方正仿宋_GB2312" w:cs="方正仿宋_GB2312"/>
                <w:bCs/>
                <w:color w:val="auto"/>
                <w:szCs w:val="21"/>
                <w:highlight w:val="none"/>
                <w:lang w:eastAsia="zh-CN"/>
              </w:rPr>
            </w:pPr>
            <w:r>
              <w:rPr>
                <w:rFonts w:hint="eastAsia" w:ascii="方正仿宋_GB2312" w:hAnsi="方正仿宋_GB2312" w:eastAsia="方正仿宋_GB2312" w:cs="方正仿宋_GB2312"/>
                <w:bCs/>
                <w:color w:val="auto"/>
                <w:szCs w:val="21"/>
                <w:highlight w:val="none"/>
                <w:lang w:eastAsia="zh-CN"/>
              </w:rPr>
              <w:t>五、付款、支付方式</w:t>
            </w:r>
          </w:p>
          <w:p w14:paraId="5C92BFC2">
            <w:pPr>
              <w:shd w:val="clear"/>
              <w:spacing w:line="360" w:lineRule="auto"/>
              <w:rPr>
                <w:rFonts w:hint="eastAsia" w:ascii="方正仿宋_GB2312" w:hAnsi="方正仿宋_GB2312" w:eastAsia="方正仿宋_GB2312" w:cs="方正仿宋_GB2312"/>
                <w:bCs/>
                <w:color w:val="auto"/>
                <w:szCs w:val="21"/>
                <w:highlight w:val="none"/>
                <w:lang w:val="en-US" w:eastAsia="zh-CN"/>
              </w:rPr>
            </w:pPr>
            <w:r>
              <w:rPr>
                <w:rFonts w:hint="eastAsia" w:ascii="方正仿宋_GB2312" w:hAnsi="方正仿宋_GB2312" w:eastAsia="方正仿宋_GB2312" w:cs="方正仿宋_GB2312"/>
                <w:bCs/>
                <w:color w:val="auto"/>
                <w:szCs w:val="21"/>
                <w:highlight w:val="none"/>
                <w:lang w:val="en-US" w:eastAsia="zh-CN"/>
              </w:rPr>
              <w:t>1.预付款：签订合同并进场施工后支付30%预付款（不超合同价），承包人须于60天内完成合同工程量40%。预付款抵扣方式：当工程完成投资达到合同价40%后，对预付款实行一次性扣回。</w:t>
            </w:r>
          </w:p>
          <w:p w14:paraId="41380FB9">
            <w:pPr>
              <w:shd w:val="clear"/>
              <w:spacing w:line="360" w:lineRule="auto"/>
              <w:rPr>
                <w:rFonts w:hint="eastAsia" w:ascii="方正仿宋_GB2312" w:hAnsi="方正仿宋_GB2312" w:eastAsia="方正仿宋_GB2312" w:cs="方正仿宋_GB2312"/>
                <w:bCs/>
                <w:color w:val="auto"/>
                <w:szCs w:val="21"/>
                <w:highlight w:val="none"/>
                <w:lang w:val="en-US" w:eastAsia="zh-CN"/>
              </w:rPr>
            </w:pPr>
            <w:r>
              <w:rPr>
                <w:rFonts w:hint="eastAsia" w:ascii="方正仿宋_GB2312" w:hAnsi="方正仿宋_GB2312" w:eastAsia="方正仿宋_GB2312" w:cs="方正仿宋_GB2312"/>
                <w:bCs/>
                <w:color w:val="auto"/>
                <w:szCs w:val="21"/>
                <w:highlight w:val="none"/>
                <w:lang w:val="en-US" w:eastAsia="zh-CN"/>
              </w:rPr>
              <w:t>2.进度款：根据确定的工程计量结果，工程进度款不低于工程价款的60%，不高于工程价款的90%（不超合同价）。</w:t>
            </w:r>
          </w:p>
          <w:p w14:paraId="6F8F7320">
            <w:pPr>
              <w:shd w:val="clear"/>
              <w:spacing w:line="360" w:lineRule="auto"/>
              <w:rPr>
                <w:rFonts w:hint="eastAsia" w:ascii="方正仿宋_GB2312" w:hAnsi="方正仿宋_GB2312" w:eastAsia="方正仿宋_GB2312" w:cs="方正仿宋_GB2312"/>
                <w:bCs/>
                <w:color w:val="auto"/>
                <w:szCs w:val="21"/>
                <w:highlight w:val="none"/>
                <w:lang w:val="en-US" w:eastAsia="zh-CN"/>
              </w:rPr>
            </w:pPr>
            <w:r>
              <w:rPr>
                <w:rFonts w:hint="eastAsia" w:ascii="方正仿宋_GB2312" w:hAnsi="方正仿宋_GB2312" w:eastAsia="方正仿宋_GB2312" w:cs="方正仿宋_GB2312"/>
                <w:bCs/>
                <w:color w:val="auto"/>
                <w:szCs w:val="21"/>
                <w:highlight w:val="none"/>
                <w:lang w:val="en-US" w:eastAsia="zh-CN"/>
              </w:rPr>
              <w:t>3.尾款：待完成项目结算评审及承包方预存项目结算评审价3%作为工程质量保证金后，承包人将质量保证金存入发包人指定账户（户名：马山县财政局，账号：20-044101040005567，开户行：农行马山县支行营业室），发包人则按审计结算价全额支付工程款，待工程质量保修期满后如数返还给承包人（工程质量保证金不计息）</w:t>
            </w:r>
          </w:p>
          <w:p w14:paraId="35ABAA19">
            <w:pPr>
              <w:shd w:val="clear"/>
              <w:spacing w:line="360" w:lineRule="auto"/>
              <w:rPr>
                <w:rFonts w:hint="eastAsia" w:ascii="方正仿宋_GB2312" w:hAnsi="方正仿宋_GB2312" w:eastAsia="方正仿宋_GB2312" w:cs="方正仿宋_GB2312"/>
                <w:bCs/>
                <w:color w:val="auto"/>
                <w:szCs w:val="21"/>
                <w:highlight w:val="none"/>
                <w:lang w:val="en-US" w:eastAsia="zh-CN"/>
              </w:rPr>
            </w:pPr>
            <w:r>
              <w:rPr>
                <w:rFonts w:hint="eastAsia" w:ascii="方正仿宋_GB2312" w:hAnsi="方正仿宋_GB2312" w:eastAsia="方正仿宋_GB2312" w:cs="方正仿宋_GB2312"/>
                <w:bCs/>
                <w:color w:val="auto"/>
                <w:szCs w:val="21"/>
                <w:highlight w:val="none"/>
                <w:lang w:val="en-US" w:eastAsia="zh-CN"/>
              </w:rPr>
              <w:t>4.质保金：结算审定总价3%，工程质量保修期满，发包人复验工程无质量问题后，签发工程缺陷责任期终止证书并退还承包方缴存的质保金（无息）。</w:t>
            </w:r>
          </w:p>
          <w:p w14:paraId="255DDA11">
            <w:pPr>
              <w:shd w:val="clear"/>
              <w:spacing w:line="360" w:lineRule="auto"/>
              <w:rPr>
                <w:rFonts w:hint="eastAsia" w:ascii="方正仿宋_GB2312" w:hAnsi="方正仿宋_GB2312" w:eastAsia="方正仿宋_GB2312" w:cs="方正仿宋_GB2312"/>
                <w:bCs/>
                <w:color w:val="auto"/>
                <w:szCs w:val="21"/>
                <w:highlight w:val="none"/>
                <w:lang w:eastAsia="zh-CN"/>
              </w:rPr>
            </w:pPr>
            <w:r>
              <w:rPr>
                <w:rFonts w:hint="eastAsia" w:ascii="方正仿宋_GB2312" w:hAnsi="方正仿宋_GB2312" w:eastAsia="方正仿宋_GB2312" w:cs="方正仿宋_GB2312"/>
                <w:bCs/>
                <w:color w:val="auto"/>
                <w:szCs w:val="21"/>
                <w:highlight w:val="none"/>
                <w:lang w:val="en-US" w:eastAsia="zh-CN"/>
              </w:rPr>
              <w:t>5.</w:t>
            </w:r>
            <w:r>
              <w:rPr>
                <w:rFonts w:hint="eastAsia" w:ascii="方正仿宋_GB2312" w:hAnsi="方正仿宋_GB2312" w:eastAsia="方正仿宋_GB2312" w:cs="方正仿宋_GB2312"/>
                <w:bCs/>
                <w:color w:val="auto"/>
                <w:szCs w:val="21"/>
                <w:highlight w:val="none"/>
                <w:lang w:eastAsia="zh-CN"/>
              </w:rPr>
              <w:t>支付方式：银行转账支付</w:t>
            </w:r>
          </w:p>
          <w:p w14:paraId="65F56ED5">
            <w:pPr>
              <w:spacing w:line="360" w:lineRule="auto"/>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▲六、近3年内供应商及其法定代表人、项目经理不得有行贿犯罪行为。（须提供加盖电子公章的承诺书）</w:t>
            </w:r>
          </w:p>
          <w:p w14:paraId="1FB2B9F1">
            <w:pPr>
              <w:spacing w:line="360" w:lineRule="auto"/>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▲七、其他</w:t>
            </w:r>
          </w:p>
          <w:p w14:paraId="3DF34F72">
            <w:pPr>
              <w:spacing w:line="360" w:lineRule="auto"/>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（1）报价方式：采用工程量清单报价方式，投标报价不得高于最高限价，否则竞标无效。报价必须包含以下部分，包括：</w:t>
            </w:r>
          </w:p>
          <w:p w14:paraId="6B8727EB">
            <w:pPr>
              <w:spacing w:line="360" w:lineRule="auto"/>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①满足本次竞标全部采购需求工程的成本、调试、检验、技术服务、培训、税费等所有费用。</w:t>
            </w:r>
          </w:p>
          <w:p w14:paraId="186A2ED4">
            <w:pPr>
              <w:spacing w:line="360" w:lineRule="auto"/>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②必要的保险费和各项税金。</w:t>
            </w:r>
          </w:p>
          <w:p w14:paraId="0DF98A84">
            <w:pPr>
              <w:spacing w:line="360" w:lineRule="auto"/>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
                <w:bCs w:val="0"/>
                <w:color w:val="auto"/>
                <w:szCs w:val="21"/>
                <w:highlight w:val="none"/>
              </w:rPr>
              <w:t>本项目采用二次报价方式，竞标人的最终报价如有变动，则必须以工程量清单报价表的格式编制提交，竞标人须提前做好相关准备并按时递交最终报价文件，否则报价无效。</w:t>
            </w:r>
          </w:p>
          <w:p w14:paraId="3F865262">
            <w:pPr>
              <w:spacing w:line="360" w:lineRule="auto"/>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（2）发包方式：包工包料。</w:t>
            </w:r>
            <w:r>
              <w:rPr>
                <w:rFonts w:hint="eastAsia" w:ascii="方正仿宋_GB2312" w:hAnsi="方正仿宋_GB2312" w:eastAsia="方正仿宋_GB2312" w:cs="方正仿宋_GB2312"/>
                <w:b w:val="0"/>
                <w:bCs/>
                <w:color w:val="auto"/>
                <w:szCs w:val="21"/>
                <w:highlight w:val="none"/>
              </w:rPr>
              <w:t>承包方必须严格按照工程设计要求和技术标准完成合同工程量，不得擅自增减施工工程量，不得偷工减料。经过充分认证后确需增减工程量的，须有项目所在地村委签认的受益群众申请材料，并经发包单位、设计单位及监理单位审批会签后方可增减，并作为审计结算的依据。如无获批准的签证导致工程造价增加的，只能按合同内工程量进行审计结算。合同内、合同外的工程量及造价均以财政或审计部门审定后的造价为准。</w:t>
            </w:r>
          </w:p>
        </w:tc>
      </w:tr>
      <w:tr w14:paraId="2E16F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2084CC47">
            <w:pPr>
              <w:spacing w:line="360" w:lineRule="auto"/>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其他说明</w:t>
            </w:r>
          </w:p>
        </w:tc>
        <w:tc>
          <w:tcPr>
            <w:tcW w:w="9109" w:type="dxa"/>
            <w:gridSpan w:val="6"/>
            <w:tcBorders>
              <w:top w:val="single" w:color="auto" w:sz="4" w:space="0"/>
              <w:left w:val="single" w:color="auto" w:sz="4" w:space="0"/>
              <w:bottom w:val="single" w:color="auto" w:sz="4" w:space="0"/>
              <w:right w:val="single" w:color="auto" w:sz="4" w:space="0"/>
            </w:tcBorders>
            <w:noWrap w:val="0"/>
            <w:vAlign w:val="center"/>
          </w:tcPr>
          <w:p w14:paraId="4AE852F0">
            <w:pPr>
              <w:spacing w:line="360" w:lineRule="auto"/>
              <w:jc w:val="left"/>
              <w:rPr>
                <w:rFonts w:hint="eastAsia" w:ascii="方正仿宋_GB2312" w:hAnsi="方正仿宋_GB2312" w:eastAsia="方正仿宋_GB2312" w:cs="方正仿宋_GB2312"/>
                <w:bCs/>
                <w:color w:val="auto"/>
                <w:szCs w:val="21"/>
                <w:highlight w:val="none"/>
                <w:lang w:eastAsia="zh-CN"/>
              </w:rPr>
            </w:pPr>
            <w:r>
              <w:rPr>
                <w:rFonts w:hint="eastAsia" w:ascii="方正仿宋_GB2312" w:hAnsi="方正仿宋_GB2312" w:eastAsia="方正仿宋_GB2312" w:cs="方正仿宋_GB2312"/>
                <w:bCs/>
                <w:color w:val="auto"/>
                <w:szCs w:val="21"/>
                <w:highlight w:val="none"/>
              </w:rPr>
              <w:t>一、进口产品说明</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rPr>
              <w:t>本项目不涉及进口产品</w:t>
            </w:r>
            <w:r>
              <w:rPr>
                <w:rFonts w:hint="eastAsia" w:ascii="方正仿宋_GB2312" w:hAnsi="方正仿宋_GB2312" w:eastAsia="方正仿宋_GB2312" w:cs="方正仿宋_GB2312"/>
                <w:bCs/>
                <w:color w:val="auto"/>
                <w:szCs w:val="21"/>
                <w:highlight w:val="none"/>
                <w:lang w:eastAsia="zh-CN"/>
              </w:rPr>
              <w:t>。</w:t>
            </w:r>
          </w:p>
          <w:p w14:paraId="4EA4328D">
            <w:pPr>
              <w:spacing w:line="360" w:lineRule="auto"/>
              <w:jc w:val="left"/>
              <w:rPr>
                <w:rFonts w:hint="eastAsia" w:ascii="方正仿宋_GB2312" w:hAnsi="方正仿宋_GB2312" w:eastAsia="方正仿宋_GB2312" w:cs="方正仿宋_GB2312"/>
                <w:bCs/>
                <w:color w:val="auto"/>
                <w:szCs w:val="21"/>
                <w:highlight w:val="none"/>
                <w:lang w:eastAsia="zh-CN"/>
              </w:rPr>
            </w:pPr>
            <w:r>
              <w:rPr>
                <w:rFonts w:hint="eastAsia" w:ascii="方正仿宋_GB2312" w:hAnsi="方正仿宋_GB2312" w:eastAsia="方正仿宋_GB2312" w:cs="方正仿宋_GB2312"/>
                <w:bCs/>
                <w:color w:val="auto"/>
                <w:szCs w:val="21"/>
                <w:highlight w:val="none"/>
              </w:rPr>
              <w:t>二、其他：</w:t>
            </w:r>
            <w:r>
              <w:rPr>
                <w:rFonts w:hint="eastAsia" w:ascii="方正仿宋_GB2312" w:hAnsi="方正仿宋_GB2312" w:eastAsia="方正仿宋_GB2312" w:cs="方正仿宋_GB2312"/>
                <w:bCs/>
                <w:color w:val="auto"/>
                <w:szCs w:val="21"/>
                <w:highlight w:val="none"/>
                <w:lang w:val="en-US" w:eastAsia="zh-CN"/>
              </w:rPr>
              <w:t>无</w:t>
            </w:r>
          </w:p>
        </w:tc>
      </w:tr>
    </w:tbl>
    <w:p w14:paraId="36365915">
      <w:pPr>
        <w:tabs>
          <w:tab w:val="left" w:pos="180"/>
          <w:tab w:val="left" w:pos="1620"/>
        </w:tabs>
        <w:spacing w:line="360" w:lineRule="auto"/>
        <w:rPr>
          <w:rFonts w:hint="eastAsia" w:ascii="方正仿宋_GB2312" w:hAnsi="方正仿宋_GB2312" w:eastAsia="方正仿宋_GB2312" w:cs="方正仿宋_GB2312"/>
          <w:b/>
          <w:bCs/>
          <w:color w:val="auto"/>
          <w:sz w:val="18"/>
          <w:szCs w:val="18"/>
          <w:highlight w:val="none"/>
        </w:rPr>
        <w:sectPr>
          <w:footerReference r:id="rId8" w:type="default"/>
          <w:pgSz w:w="11905" w:h="16838"/>
          <w:pgMar w:top="1440" w:right="1080" w:bottom="1440" w:left="1080" w:header="720" w:footer="720" w:gutter="0"/>
          <w:pgNumType w:fmt="decimal" w:start="1"/>
          <w:cols w:space="720" w:num="1"/>
          <w:docGrid w:type="lines" w:linePitch="331" w:charSpace="0"/>
        </w:sectPr>
      </w:pPr>
    </w:p>
    <w:p w14:paraId="772E62C7">
      <w:pPr>
        <w:spacing w:line="428" w:lineRule="exact"/>
        <w:ind w:left="119"/>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附件1：</w:t>
      </w:r>
    </w:p>
    <w:p w14:paraId="32BE96C9">
      <w:pPr>
        <w:spacing w:before="7"/>
        <w:rPr>
          <w:rFonts w:hint="eastAsia" w:ascii="方正仿宋_GB2312" w:hAnsi="方正仿宋_GB2312" w:eastAsia="方正仿宋_GB2312" w:cs="方正仿宋_GB2312"/>
          <w:color w:val="auto"/>
          <w:sz w:val="17"/>
          <w:szCs w:val="17"/>
          <w:highlight w:val="none"/>
        </w:rPr>
      </w:pPr>
    </w:p>
    <w:p w14:paraId="1B0A38E8">
      <w:pPr>
        <w:spacing w:line="528" w:lineRule="exact"/>
        <w:ind w:left="1868" w:hanging="1868" w:hangingChars="467"/>
        <w:jc w:val="center"/>
        <w:rPr>
          <w:rFonts w:hint="eastAsia" w:ascii="方正仿宋_GB2312" w:hAnsi="方正仿宋_GB2312" w:eastAsia="方正仿宋_GB2312" w:cs="方正仿宋_GB2312"/>
          <w:color w:val="auto"/>
          <w:sz w:val="40"/>
          <w:szCs w:val="40"/>
          <w:highlight w:val="none"/>
        </w:rPr>
      </w:pPr>
      <w:r>
        <w:rPr>
          <w:rFonts w:hint="eastAsia" w:ascii="方正仿宋_GB2312" w:hAnsi="方正仿宋_GB2312" w:eastAsia="方正仿宋_GB2312" w:cs="方正仿宋_GB2312"/>
          <w:color w:val="auto"/>
          <w:sz w:val="40"/>
          <w:szCs w:val="40"/>
          <w:highlight w:val="none"/>
        </w:rPr>
        <w:t>节能产品政府采购品目清单</w:t>
      </w:r>
    </w:p>
    <w:tbl>
      <w:tblPr>
        <w:tblStyle w:val="28"/>
        <w:tblW w:w="0" w:type="auto"/>
        <w:tblInd w:w="93" w:type="dxa"/>
        <w:tblLayout w:type="fixed"/>
        <w:tblCellMar>
          <w:top w:w="0" w:type="dxa"/>
          <w:left w:w="108" w:type="dxa"/>
          <w:bottom w:w="0" w:type="dxa"/>
          <w:right w:w="108" w:type="dxa"/>
        </w:tblCellMar>
      </w:tblPr>
      <w:tblGrid>
        <w:gridCol w:w="641"/>
        <w:gridCol w:w="1116"/>
        <w:gridCol w:w="1516"/>
        <w:gridCol w:w="1612"/>
        <w:gridCol w:w="4930"/>
      </w:tblGrid>
      <w:tr w14:paraId="25211B41">
        <w:tblPrEx>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noWrap w:val="0"/>
            <w:vAlign w:val="top"/>
          </w:tcPr>
          <w:p w14:paraId="37D4495E">
            <w:pPr>
              <w:widowControl/>
              <w:jc w:val="center"/>
              <w:rPr>
                <w:rFonts w:hint="eastAsia" w:ascii="方正仿宋_GB2312" w:hAnsi="方正仿宋_GB2312" w:eastAsia="方正仿宋_GB2312" w:cs="方正仿宋_GB2312"/>
                <w:b/>
                <w:bCs/>
                <w:color w:val="auto"/>
                <w:kern w:val="0"/>
                <w:sz w:val="22"/>
                <w:szCs w:val="22"/>
                <w:highlight w:val="none"/>
              </w:rPr>
            </w:pPr>
            <w:r>
              <w:rPr>
                <w:rFonts w:hint="eastAsia" w:ascii="方正仿宋_GB2312" w:hAnsi="方正仿宋_GB2312" w:eastAsia="方正仿宋_GB2312" w:cs="方正仿宋_GB2312"/>
                <w:b/>
                <w:bCs/>
                <w:color w:val="auto"/>
                <w:kern w:val="0"/>
                <w:sz w:val="22"/>
                <w:szCs w:val="22"/>
                <w:highlight w:val="none"/>
              </w:rPr>
              <w:t>品目序号</w:t>
            </w:r>
          </w:p>
        </w:tc>
        <w:tc>
          <w:tcPr>
            <w:tcW w:w="4244" w:type="dxa"/>
            <w:gridSpan w:val="3"/>
            <w:tcBorders>
              <w:top w:val="single" w:color="000000" w:sz="8" w:space="0"/>
              <w:left w:val="nil"/>
              <w:bottom w:val="single" w:color="000000" w:sz="8" w:space="0"/>
              <w:right w:val="single" w:color="000000" w:sz="8" w:space="0"/>
            </w:tcBorders>
            <w:noWrap w:val="0"/>
            <w:vAlign w:val="center"/>
          </w:tcPr>
          <w:p w14:paraId="68D29A59">
            <w:pPr>
              <w:widowControl/>
              <w:jc w:val="center"/>
              <w:rPr>
                <w:rFonts w:hint="eastAsia" w:ascii="方正仿宋_GB2312" w:hAnsi="方正仿宋_GB2312" w:eastAsia="方正仿宋_GB2312" w:cs="方正仿宋_GB2312"/>
                <w:b/>
                <w:bCs/>
                <w:color w:val="auto"/>
                <w:kern w:val="0"/>
                <w:sz w:val="22"/>
                <w:szCs w:val="22"/>
                <w:highlight w:val="none"/>
              </w:rPr>
            </w:pPr>
            <w:r>
              <w:rPr>
                <w:rFonts w:hint="eastAsia" w:ascii="方正仿宋_GB2312" w:hAnsi="方正仿宋_GB2312" w:eastAsia="方正仿宋_GB2312" w:cs="方正仿宋_GB2312"/>
                <w:b/>
                <w:bCs/>
                <w:color w:val="auto"/>
                <w:kern w:val="0"/>
                <w:sz w:val="22"/>
                <w:szCs w:val="22"/>
                <w:highlight w:val="none"/>
              </w:rPr>
              <w:t>名称</w:t>
            </w:r>
          </w:p>
        </w:tc>
        <w:tc>
          <w:tcPr>
            <w:tcW w:w="4930" w:type="dxa"/>
            <w:tcBorders>
              <w:top w:val="single" w:color="000000" w:sz="8" w:space="0"/>
              <w:left w:val="nil"/>
              <w:bottom w:val="single" w:color="000000" w:sz="8" w:space="0"/>
              <w:right w:val="single" w:color="000000" w:sz="8" w:space="0"/>
            </w:tcBorders>
            <w:noWrap w:val="0"/>
            <w:vAlign w:val="center"/>
          </w:tcPr>
          <w:p w14:paraId="4DBDC0F3">
            <w:pPr>
              <w:widowControl/>
              <w:jc w:val="center"/>
              <w:rPr>
                <w:rFonts w:hint="eastAsia" w:ascii="方正仿宋_GB2312" w:hAnsi="方正仿宋_GB2312" w:eastAsia="方正仿宋_GB2312" w:cs="方正仿宋_GB2312"/>
                <w:b/>
                <w:bCs/>
                <w:color w:val="auto"/>
                <w:kern w:val="0"/>
                <w:sz w:val="22"/>
                <w:szCs w:val="22"/>
                <w:highlight w:val="none"/>
              </w:rPr>
            </w:pPr>
            <w:r>
              <w:rPr>
                <w:rFonts w:hint="eastAsia" w:ascii="方正仿宋_GB2312" w:hAnsi="方正仿宋_GB2312" w:eastAsia="方正仿宋_GB2312" w:cs="方正仿宋_GB2312"/>
                <w:b/>
                <w:bCs/>
                <w:color w:val="auto"/>
                <w:kern w:val="0"/>
                <w:sz w:val="22"/>
                <w:szCs w:val="22"/>
                <w:highlight w:val="none"/>
              </w:rPr>
              <w:t>依据的标准</w:t>
            </w:r>
          </w:p>
        </w:tc>
      </w:tr>
      <w:tr w14:paraId="78C2DF2E">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1EDCFF40">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50102EFD">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A020101计算机设备</w:t>
            </w:r>
          </w:p>
        </w:tc>
        <w:tc>
          <w:tcPr>
            <w:tcW w:w="1516" w:type="dxa"/>
            <w:tcBorders>
              <w:top w:val="nil"/>
              <w:left w:val="nil"/>
              <w:bottom w:val="single" w:color="000000" w:sz="8" w:space="0"/>
              <w:right w:val="single" w:color="000000" w:sz="8" w:space="0"/>
            </w:tcBorders>
            <w:noWrap w:val="0"/>
            <w:vAlign w:val="center"/>
          </w:tcPr>
          <w:p w14:paraId="68DA339E">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★A02010104台式计算机</w:t>
            </w:r>
          </w:p>
        </w:tc>
        <w:tc>
          <w:tcPr>
            <w:tcW w:w="1612" w:type="dxa"/>
            <w:tcBorders>
              <w:top w:val="nil"/>
              <w:left w:val="nil"/>
              <w:bottom w:val="single" w:color="000000" w:sz="8" w:space="0"/>
              <w:right w:val="single" w:color="000000" w:sz="8" w:space="0"/>
            </w:tcBorders>
            <w:noWrap w:val="0"/>
            <w:vAlign w:val="center"/>
          </w:tcPr>
          <w:p w14:paraId="67093BD1">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6A5D6A7C">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《微型计算机能效限定值及能效等级》（GB28380）</w:t>
            </w:r>
          </w:p>
        </w:tc>
      </w:tr>
      <w:tr w14:paraId="77B4A4F8">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0D9EEDB">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2EB37CA">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9974171">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★A02010105便携式计算机</w:t>
            </w:r>
          </w:p>
        </w:tc>
        <w:tc>
          <w:tcPr>
            <w:tcW w:w="1612" w:type="dxa"/>
            <w:tcBorders>
              <w:top w:val="nil"/>
              <w:left w:val="nil"/>
              <w:bottom w:val="single" w:color="000000" w:sz="8" w:space="0"/>
              <w:right w:val="single" w:color="000000" w:sz="8" w:space="0"/>
            </w:tcBorders>
            <w:noWrap w:val="0"/>
            <w:vAlign w:val="center"/>
          </w:tcPr>
          <w:p w14:paraId="7E5A3A55">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0DD1A5E8">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《微型计算机能效限定值及能效等级》（GB28380）</w:t>
            </w:r>
          </w:p>
        </w:tc>
      </w:tr>
      <w:tr w14:paraId="4FAF9658">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F27DB0D">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4D3EED5">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4D3A91FA">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★A02010107平板式微型计算机</w:t>
            </w:r>
          </w:p>
        </w:tc>
        <w:tc>
          <w:tcPr>
            <w:tcW w:w="1612" w:type="dxa"/>
            <w:tcBorders>
              <w:top w:val="nil"/>
              <w:left w:val="nil"/>
              <w:bottom w:val="single" w:color="000000" w:sz="8" w:space="0"/>
              <w:right w:val="single" w:color="000000" w:sz="8" w:space="0"/>
            </w:tcBorders>
            <w:noWrap w:val="0"/>
            <w:vAlign w:val="center"/>
          </w:tcPr>
          <w:p w14:paraId="14E311B5">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4E35610D">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《微型计算机能效限定值及能效等级》（GB28380）</w:t>
            </w:r>
          </w:p>
        </w:tc>
      </w:tr>
      <w:tr w14:paraId="01E366AB">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0B319C46">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2</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751B7DCE">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32F98D19">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A02010601打印设备</w:t>
            </w:r>
          </w:p>
        </w:tc>
        <w:tc>
          <w:tcPr>
            <w:tcW w:w="1612" w:type="dxa"/>
            <w:tcBorders>
              <w:top w:val="nil"/>
              <w:left w:val="nil"/>
              <w:bottom w:val="single" w:color="000000" w:sz="8" w:space="0"/>
              <w:right w:val="single" w:color="000000" w:sz="8" w:space="0"/>
            </w:tcBorders>
            <w:noWrap w:val="0"/>
            <w:vAlign w:val="center"/>
          </w:tcPr>
          <w:p w14:paraId="06D0C014">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A0201060101喷墨打印机</w:t>
            </w:r>
          </w:p>
        </w:tc>
        <w:tc>
          <w:tcPr>
            <w:tcW w:w="4930" w:type="dxa"/>
            <w:tcBorders>
              <w:top w:val="nil"/>
              <w:left w:val="nil"/>
              <w:bottom w:val="single" w:color="000000" w:sz="8" w:space="0"/>
              <w:right w:val="single" w:color="000000" w:sz="8" w:space="0"/>
            </w:tcBorders>
            <w:noWrap w:val="0"/>
            <w:vAlign w:val="center"/>
          </w:tcPr>
          <w:p w14:paraId="7B7B1517">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《复印机、打印机和传真机能效限定值及能效等级》（GB21521）</w:t>
            </w:r>
          </w:p>
        </w:tc>
      </w:tr>
      <w:tr w14:paraId="26FDF04D">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BFEE57B">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9BEA38B">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79A15851">
            <w:pPr>
              <w:widowControl/>
              <w:jc w:val="left"/>
              <w:rPr>
                <w:rFonts w:hint="eastAsia" w:ascii="方正仿宋_GB2312" w:hAnsi="方正仿宋_GB2312" w:eastAsia="方正仿宋_GB2312" w:cs="方正仿宋_GB2312"/>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6609B317">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★A0201060102激光打印机</w:t>
            </w:r>
          </w:p>
        </w:tc>
        <w:tc>
          <w:tcPr>
            <w:tcW w:w="4930" w:type="dxa"/>
            <w:tcBorders>
              <w:top w:val="nil"/>
              <w:left w:val="nil"/>
              <w:bottom w:val="single" w:color="000000" w:sz="8" w:space="0"/>
              <w:right w:val="single" w:color="000000" w:sz="8" w:space="0"/>
            </w:tcBorders>
            <w:noWrap w:val="0"/>
            <w:vAlign w:val="center"/>
          </w:tcPr>
          <w:p w14:paraId="17B5612F">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《复印机、打印机和传真机能效限定值及能效等级》（GB21521）</w:t>
            </w:r>
          </w:p>
        </w:tc>
      </w:tr>
      <w:tr w14:paraId="35ABEF0D">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7078969">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94858BE">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56964481">
            <w:pPr>
              <w:widowControl/>
              <w:jc w:val="left"/>
              <w:rPr>
                <w:rFonts w:hint="eastAsia" w:ascii="方正仿宋_GB2312" w:hAnsi="方正仿宋_GB2312" w:eastAsia="方正仿宋_GB2312" w:cs="方正仿宋_GB2312"/>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FF33499">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★A0201060104针式打印机</w:t>
            </w:r>
          </w:p>
        </w:tc>
        <w:tc>
          <w:tcPr>
            <w:tcW w:w="4930" w:type="dxa"/>
            <w:tcBorders>
              <w:top w:val="nil"/>
              <w:left w:val="nil"/>
              <w:bottom w:val="single" w:color="000000" w:sz="8" w:space="0"/>
              <w:right w:val="single" w:color="000000" w:sz="8" w:space="0"/>
            </w:tcBorders>
            <w:noWrap w:val="0"/>
            <w:vAlign w:val="center"/>
          </w:tcPr>
          <w:p w14:paraId="0967A962">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《复印机、打印机和传真机能效限定值及能效等级》（GB21521）</w:t>
            </w:r>
          </w:p>
        </w:tc>
      </w:tr>
      <w:tr w14:paraId="1769DECC">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FB116A1">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F97A3B4">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66A5EDDA">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A02010604显示设备</w:t>
            </w:r>
          </w:p>
        </w:tc>
        <w:tc>
          <w:tcPr>
            <w:tcW w:w="1612" w:type="dxa"/>
            <w:tcBorders>
              <w:top w:val="nil"/>
              <w:left w:val="nil"/>
              <w:bottom w:val="single" w:color="000000" w:sz="8" w:space="0"/>
              <w:right w:val="single" w:color="000000" w:sz="8" w:space="0"/>
            </w:tcBorders>
            <w:noWrap w:val="0"/>
            <w:vAlign w:val="center"/>
          </w:tcPr>
          <w:p w14:paraId="29B5C45D">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★A0201060401液晶显示器</w:t>
            </w:r>
          </w:p>
        </w:tc>
        <w:tc>
          <w:tcPr>
            <w:tcW w:w="4930" w:type="dxa"/>
            <w:tcBorders>
              <w:top w:val="nil"/>
              <w:left w:val="nil"/>
              <w:bottom w:val="single" w:color="000000" w:sz="8" w:space="0"/>
              <w:right w:val="single" w:color="000000" w:sz="8" w:space="0"/>
            </w:tcBorders>
            <w:noWrap w:val="0"/>
            <w:vAlign w:val="center"/>
          </w:tcPr>
          <w:p w14:paraId="62BD69E2">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《计算机显示器能效限定值及能效等级》（GB21520）</w:t>
            </w:r>
          </w:p>
        </w:tc>
      </w:tr>
      <w:tr w14:paraId="2873856C">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40B5140">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9D70605">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42F74FE4">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A02010609图形图像输入设备</w:t>
            </w:r>
          </w:p>
        </w:tc>
        <w:tc>
          <w:tcPr>
            <w:tcW w:w="1612" w:type="dxa"/>
            <w:tcBorders>
              <w:top w:val="nil"/>
              <w:left w:val="nil"/>
              <w:bottom w:val="single" w:color="000000" w:sz="8" w:space="0"/>
              <w:right w:val="single" w:color="000000" w:sz="8" w:space="0"/>
            </w:tcBorders>
            <w:noWrap w:val="0"/>
            <w:vAlign w:val="center"/>
          </w:tcPr>
          <w:p w14:paraId="4C3AF625">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A0201060901扫描仪</w:t>
            </w:r>
          </w:p>
        </w:tc>
        <w:tc>
          <w:tcPr>
            <w:tcW w:w="4930" w:type="dxa"/>
            <w:tcBorders>
              <w:top w:val="nil"/>
              <w:left w:val="nil"/>
              <w:bottom w:val="single" w:color="000000" w:sz="8" w:space="0"/>
              <w:right w:val="single" w:color="000000" w:sz="8" w:space="0"/>
            </w:tcBorders>
            <w:noWrap w:val="0"/>
            <w:vAlign w:val="center"/>
          </w:tcPr>
          <w:p w14:paraId="5E9D224B">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08A8B56A">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1C55E12">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3</w:t>
            </w:r>
          </w:p>
        </w:tc>
        <w:tc>
          <w:tcPr>
            <w:tcW w:w="1116" w:type="dxa"/>
            <w:tcBorders>
              <w:top w:val="nil"/>
              <w:left w:val="nil"/>
              <w:bottom w:val="single" w:color="000000" w:sz="8" w:space="0"/>
              <w:right w:val="single" w:color="000000" w:sz="8" w:space="0"/>
            </w:tcBorders>
            <w:noWrap w:val="0"/>
            <w:vAlign w:val="center"/>
          </w:tcPr>
          <w:p w14:paraId="46831597">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A020202投影仪</w:t>
            </w:r>
          </w:p>
        </w:tc>
        <w:tc>
          <w:tcPr>
            <w:tcW w:w="1516" w:type="dxa"/>
            <w:tcBorders>
              <w:top w:val="nil"/>
              <w:left w:val="nil"/>
              <w:bottom w:val="single" w:color="000000" w:sz="8" w:space="0"/>
              <w:right w:val="single" w:color="000000" w:sz="8" w:space="0"/>
            </w:tcBorders>
            <w:noWrap w:val="0"/>
            <w:vAlign w:val="center"/>
          </w:tcPr>
          <w:p w14:paraId="45CC4C23">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10A90B73">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67173F14">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《投影机能效限定值及能效等级》（GB32028）</w:t>
            </w:r>
          </w:p>
        </w:tc>
      </w:tr>
      <w:tr w14:paraId="15170D4B">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21E03427">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4</w:t>
            </w:r>
          </w:p>
        </w:tc>
        <w:tc>
          <w:tcPr>
            <w:tcW w:w="1116" w:type="dxa"/>
            <w:tcBorders>
              <w:top w:val="nil"/>
              <w:left w:val="nil"/>
              <w:bottom w:val="single" w:color="000000" w:sz="8" w:space="0"/>
              <w:right w:val="single" w:color="000000" w:sz="8" w:space="0"/>
            </w:tcBorders>
            <w:noWrap w:val="0"/>
            <w:vAlign w:val="center"/>
          </w:tcPr>
          <w:p w14:paraId="7C094DAD">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A020204多功能一体机</w:t>
            </w:r>
          </w:p>
        </w:tc>
        <w:tc>
          <w:tcPr>
            <w:tcW w:w="1516" w:type="dxa"/>
            <w:tcBorders>
              <w:top w:val="nil"/>
              <w:left w:val="nil"/>
              <w:bottom w:val="single" w:color="000000" w:sz="8" w:space="0"/>
              <w:right w:val="single" w:color="000000" w:sz="8" w:space="0"/>
            </w:tcBorders>
            <w:noWrap w:val="0"/>
            <w:vAlign w:val="center"/>
          </w:tcPr>
          <w:p w14:paraId="4EC24FAD">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621AA4E9">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6B3C2301">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《复印机、打印机和传真机能效限定值及能效等级》（GB21521）</w:t>
            </w:r>
          </w:p>
        </w:tc>
      </w:tr>
      <w:tr w14:paraId="58299039">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711536A3">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5</w:t>
            </w:r>
          </w:p>
        </w:tc>
        <w:tc>
          <w:tcPr>
            <w:tcW w:w="1116" w:type="dxa"/>
            <w:tcBorders>
              <w:top w:val="nil"/>
              <w:left w:val="nil"/>
              <w:bottom w:val="single" w:color="000000" w:sz="8" w:space="0"/>
              <w:right w:val="single" w:color="000000" w:sz="8" w:space="0"/>
            </w:tcBorders>
            <w:noWrap w:val="0"/>
            <w:vAlign w:val="center"/>
          </w:tcPr>
          <w:p w14:paraId="2C9BD95B">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A020519泵</w:t>
            </w:r>
          </w:p>
        </w:tc>
        <w:tc>
          <w:tcPr>
            <w:tcW w:w="1516" w:type="dxa"/>
            <w:tcBorders>
              <w:top w:val="nil"/>
              <w:left w:val="nil"/>
              <w:bottom w:val="single" w:color="000000" w:sz="8" w:space="0"/>
              <w:right w:val="single" w:color="000000" w:sz="8" w:space="0"/>
            </w:tcBorders>
            <w:noWrap w:val="0"/>
            <w:vAlign w:val="center"/>
          </w:tcPr>
          <w:p w14:paraId="11C44EEF">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A02051901离心泵</w:t>
            </w:r>
          </w:p>
        </w:tc>
        <w:tc>
          <w:tcPr>
            <w:tcW w:w="1612" w:type="dxa"/>
            <w:tcBorders>
              <w:top w:val="nil"/>
              <w:left w:val="nil"/>
              <w:bottom w:val="single" w:color="000000" w:sz="8" w:space="0"/>
              <w:right w:val="single" w:color="000000" w:sz="8" w:space="0"/>
            </w:tcBorders>
            <w:noWrap w:val="0"/>
            <w:vAlign w:val="center"/>
          </w:tcPr>
          <w:p w14:paraId="5F12E472">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1F3EF588">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《清水离心泵能效限定值及节能评价值》（GB19762）</w:t>
            </w:r>
          </w:p>
        </w:tc>
      </w:tr>
      <w:tr w14:paraId="772DE6AE">
        <w:tblPrEx>
          <w:tblCellMar>
            <w:top w:w="0" w:type="dxa"/>
            <w:left w:w="108" w:type="dxa"/>
            <w:bottom w:w="0" w:type="dxa"/>
            <w:right w:w="108" w:type="dxa"/>
          </w:tblCellMar>
        </w:tblPrEx>
        <w:trPr>
          <w:trHeight w:val="73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717B766D">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6</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67624C9E">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06608B67">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★A02052301制冷压缩机</w:t>
            </w:r>
          </w:p>
        </w:tc>
        <w:tc>
          <w:tcPr>
            <w:tcW w:w="1612" w:type="dxa"/>
            <w:tcBorders>
              <w:top w:val="nil"/>
              <w:left w:val="nil"/>
              <w:bottom w:val="single" w:color="000000" w:sz="8" w:space="0"/>
              <w:right w:val="single" w:color="000000" w:sz="8" w:space="0"/>
            </w:tcBorders>
            <w:noWrap w:val="0"/>
            <w:vAlign w:val="center"/>
          </w:tcPr>
          <w:p w14:paraId="56C1CB04">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冷水机组</w:t>
            </w:r>
          </w:p>
        </w:tc>
        <w:tc>
          <w:tcPr>
            <w:tcW w:w="4930" w:type="dxa"/>
            <w:tcBorders>
              <w:top w:val="nil"/>
              <w:left w:val="nil"/>
              <w:bottom w:val="single" w:color="000000" w:sz="8" w:space="0"/>
              <w:right w:val="single" w:color="000000" w:sz="8" w:space="0"/>
            </w:tcBorders>
            <w:noWrap w:val="0"/>
            <w:vAlign w:val="center"/>
          </w:tcPr>
          <w:p w14:paraId="0285FE55">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《冷水机组能效限定值及能效等级》（GB19577），《低环境温度空气源热泵（冷水）机组能效限定值及能效等级》（GB37480）</w:t>
            </w:r>
          </w:p>
        </w:tc>
      </w:tr>
      <w:tr w14:paraId="7D795522">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08392F87">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157840B">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30DA5B0E">
            <w:pPr>
              <w:widowControl/>
              <w:jc w:val="left"/>
              <w:rPr>
                <w:rFonts w:hint="eastAsia" w:ascii="方正仿宋_GB2312" w:hAnsi="方正仿宋_GB2312" w:eastAsia="方正仿宋_GB2312" w:cs="方正仿宋_GB2312"/>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8E66A4B">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水源热泵机组</w:t>
            </w:r>
          </w:p>
        </w:tc>
        <w:tc>
          <w:tcPr>
            <w:tcW w:w="4930" w:type="dxa"/>
            <w:tcBorders>
              <w:top w:val="nil"/>
              <w:left w:val="nil"/>
              <w:bottom w:val="single" w:color="000000" w:sz="8" w:space="0"/>
              <w:right w:val="single" w:color="000000" w:sz="8" w:space="0"/>
            </w:tcBorders>
            <w:noWrap w:val="0"/>
            <w:vAlign w:val="center"/>
          </w:tcPr>
          <w:p w14:paraId="1D0DAE59">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《水（地）源热泵机组能效限定值及能效等级》（GB30721）</w:t>
            </w:r>
          </w:p>
        </w:tc>
      </w:tr>
      <w:tr w14:paraId="729990D1">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8DC7BAB">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C80369C">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7F0F7331">
            <w:pPr>
              <w:widowControl/>
              <w:jc w:val="left"/>
              <w:rPr>
                <w:rFonts w:hint="eastAsia" w:ascii="方正仿宋_GB2312" w:hAnsi="方正仿宋_GB2312" w:eastAsia="方正仿宋_GB2312" w:cs="方正仿宋_GB2312"/>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28020E1C">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溴化锂吸收式冷水机组</w:t>
            </w:r>
          </w:p>
        </w:tc>
        <w:tc>
          <w:tcPr>
            <w:tcW w:w="4930" w:type="dxa"/>
            <w:tcBorders>
              <w:top w:val="nil"/>
              <w:left w:val="nil"/>
              <w:bottom w:val="single" w:color="000000" w:sz="8" w:space="0"/>
              <w:right w:val="single" w:color="000000" w:sz="8" w:space="0"/>
            </w:tcBorders>
            <w:noWrap w:val="0"/>
            <w:vAlign w:val="center"/>
          </w:tcPr>
          <w:p w14:paraId="015FE9A0">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《溴化锂吸收式冷水机组能效限定值及能效等级》（GB29540）</w:t>
            </w:r>
          </w:p>
        </w:tc>
      </w:tr>
      <w:tr w14:paraId="52E3B470">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FE77210">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4B87B72">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243990D8">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★A02052305空调机组</w:t>
            </w:r>
          </w:p>
        </w:tc>
        <w:tc>
          <w:tcPr>
            <w:tcW w:w="1612" w:type="dxa"/>
            <w:tcBorders>
              <w:top w:val="nil"/>
              <w:left w:val="nil"/>
              <w:bottom w:val="single" w:color="000000" w:sz="8" w:space="0"/>
              <w:right w:val="single" w:color="000000" w:sz="8" w:space="0"/>
            </w:tcBorders>
            <w:noWrap w:val="0"/>
            <w:vAlign w:val="center"/>
          </w:tcPr>
          <w:p w14:paraId="50B32868">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多联式空调（热泵）机组(制冷量&gt;14000W)</w:t>
            </w:r>
          </w:p>
        </w:tc>
        <w:tc>
          <w:tcPr>
            <w:tcW w:w="4930" w:type="dxa"/>
            <w:tcBorders>
              <w:top w:val="nil"/>
              <w:left w:val="nil"/>
              <w:bottom w:val="single" w:color="000000" w:sz="8" w:space="0"/>
              <w:right w:val="single" w:color="000000" w:sz="8" w:space="0"/>
            </w:tcBorders>
            <w:noWrap w:val="0"/>
            <w:vAlign w:val="center"/>
          </w:tcPr>
          <w:p w14:paraId="53431597">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《多联式空调（热泵）机组能效限定值及能源效率等级》（GB21454）</w:t>
            </w:r>
          </w:p>
        </w:tc>
      </w:tr>
      <w:tr w14:paraId="339804FB">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687A2D1">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55CE131">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76A177DF">
            <w:pPr>
              <w:widowControl/>
              <w:jc w:val="left"/>
              <w:rPr>
                <w:rFonts w:hint="eastAsia" w:ascii="方正仿宋_GB2312" w:hAnsi="方正仿宋_GB2312" w:eastAsia="方正仿宋_GB2312" w:cs="方正仿宋_GB2312"/>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01D02C4C">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单元式空气调节机(制冷量&gt;14000W</w:t>
            </w:r>
          </w:p>
        </w:tc>
        <w:tc>
          <w:tcPr>
            <w:tcW w:w="4930" w:type="dxa"/>
            <w:tcBorders>
              <w:top w:val="nil"/>
              <w:left w:val="nil"/>
              <w:bottom w:val="single" w:color="000000" w:sz="8" w:space="0"/>
              <w:right w:val="single" w:color="000000" w:sz="8" w:space="0"/>
            </w:tcBorders>
            <w:noWrap w:val="0"/>
            <w:vAlign w:val="center"/>
          </w:tcPr>
          <w:p w14:paraId="01FFA5C4">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《单元式空气调节机能效限定值及能效等级》（GB19576）《风管送风式空调机组能效限定值及能效等级》（GB37479）</w:t>
            </w:r>
          </w:p>
        </w:tc>
      </w:tr>
      <w:tr w14:paraId="14385234">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F58F24F">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B39B331">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761203BC">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★A02052309专用制冷、空调设备</w:t>
            </w:r>
          </w:p>
        </w:tc>
        <w:tc>
          <w:tcPr>
            <w:tcW w:w="1612" w:type="dxa"/>
            <w:tcBorders>
              <w:top w:val="nil"/>
              <w:left w:val="nil"/>
              <w:bottom w:val="single" w:color="000000" w:sz="8" w:space="0"/>
              <w:right w:val="single" w:color="000000" w:sz="8" w:space="0"/>
            </w:tcBorders>
            <w:noWrap w:val="0"/>
            <w:vAlign w:val="center"/>
          </w:tcPr>
          <w:p w14:paraId="6CACEEFB">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机房空调</w:t>
            </w:r>
          </w:p>
        </w:tc>
        <w:tc>
          <w:tcPr>
            <w:tcW w:w="4930" w:type="dxa"/>
            <w:tcBorders>
              <w:top w:val="nil"/>
              <w:left w:val="nil"/>
              <w:bottom w:val="single" w:color="000000" w:sz="8" w:space="0"/>
              <w:right w:val="single" w:color="000000" w:sz="8" w:space="0"/>
            </w:tcBorders>
            <w:noWrap w:val="0"/>
            <w:vAlign w:val="center"/>
          </w:tcPr>
          <w:p w14:paraId="0BC9B9F4">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《单元式空气调节机能效限定值及能效等级》（GB19576）</w:t>
            </w:r>
          </w:p>
        </w:tc>
      </w:tr>
      <w:tr w14:paraId="60CD2DE4">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4D83D17">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865C5E1">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5075B6AA">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A02052399其他制冷空调设备</w:t>
            </w:r>
          </w:p>
        </w:tc>
        <w:tc>
          <w:tcPr>
            <w:tcW w:w="1612" w:type="dxa"/>
            <w:tcBorders>
              <w:top w:val="nil"/>
              <w:left w:val="nil"/>
              <w:bottom w:val="single" w:color="000000" w:sz="8" w:space="0"/>
              <w:right w:val="single" w:color="000000" w:sz="8" w:space="0"/>
            </w:tcBorders>
            <w:noWrap w:val="0"/>
            <w:vAlign w:val="center"/>
          </w:tcPr>
          <w:p w14:paraId="02CBAE7D">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冷却塔</w:t>
            </w:r>
          </w:p>
        </w:tc>
        <w:tc>
          <w:tcPr>
            <w:tcW w:w="4930" w:type="dxa"/>
            <w:tcBorders>
              <w:top w:val="nil"/>
              <w:left w:val="nil"/>
              <w:bottom w:val="single" w:color="000000" w:sz="8" w:space="0"/>
              <w:right w:val="single" w:color="000000" w:sz="8" w:space="0"/>
            </w:tcBorders>
            <w:noWrap w:val="0"/>
            <w:vAlign w:val="center"/>
          </w:tcPr>
          <w:p w14:paraId="0E3305C4">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《机械通风冷却塔第1部分：中小型开式冷却塔》（GB/T7190.1）；《机械通风冷却塔第2部分：大型开式冷却塔》（GB/T7190.2）</w:t>
            </w:r>
          </w:p>
        </w:tc>
      </w:tr>
      <w:tr w14:paraId="24947E53">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19A4CAF7">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7</w:t>
            </w:r>
          </w:p>
        </w:tc>
        <w:tc>
          <w:tcPr>
            <w:tcW w:w="1116" w:type="dxa"/>
            <w:tcBorders>
              <w:top w:val="nil"/>
              <w:left w:val="nil"/>
              <w:bottom w:val="single" w:color="000000" w:sz="8" w:space="0"/>
              <w:right w:val="single" w:color="000000" w:sz="8" w:space="0"/>
            </w:tcBorders>
            <w:noWrap w:val="0"/>
            <w:vAlign w:val="center"/>
          </w:tcPr>
          <w:p w14:paraId="229663CF">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A020601电机</w:t>
            </w:r>
          </w:p>
        </w:tc>
        <w:tc>
          <w:tcPr>
            <w:tcW w:w="1516" w:type="dxa"/>
            <w:tcBorders>
              <w:top w:val="nil"/>
              <w:left w:val="nil"/>
              <w:bottom w:val="single" w:color="000000" w:sz="8" w:space="0"/>
              <w:right w:val="single" w:color="000000" w:sz="8" w:space="0"/>
            </w:tcBorders>
            <w:noWrap w:val="0"/>
            <w:vAlign w:val="center"/>
          </w:tcPr>
          <w:p w14:paraId="121FC676">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4B96CE44">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50B480D3">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《中小型三相异步电动机能效限定值及能效等级》（GB18613）</w:t>
            </w:r>
          </w:p>
        </w:tc>
      </w:tr>
      <w:tr w14:paraId="231CAAD9">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5478C31F">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8</w:t>
            </w:r>
          </w:p>
        </w:tc>
        <w:tc>
          <w:tcPr>
            <w:tcW w:w="1116" w:type="dxa"/>
            <w:tcBorders>
              <w:top w:val="nil"/>
              <w:left w:val="nil"/>
              <w:bottom w:val="single" w:color="000000" w:sz="8" w:space="0"/>
              <w:right w:val="single" w:color="000000" w:sz="8" w:space="0"/>
            </w:tcBorders>
            <w:noWrap w:val="0"/>
            <w:vAlign w:val="center"/>
          </w:tcPr>
          <w:p w14:paraId="134C8CC3">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A020602变压器</w:t>
            </w:r>
          </w:p>
        </w:tc>
        <w:tc>
          <w:tcPr>
            <w:tcW w:w="1516" w:type="dxa"/>
            <w:tcBorders>
              <w:top w:val="nil"/>
              <w:left w:val="nil"/>
              <w:bottom w:val="single" w:color="000000" w:sz="8" w:space="0"/>
              <w:right w:val="single" w:color="000000" w:sz="8" w:space="0"/>
            </w:tcBorders>
            <w:noWrap w:val="0"/>
            <w:vAlign w:val="center"/>
          </w:tcPr>
          <w:p w14:paraId="170CAC7F">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配电变压器</w:t>
            </w:r>
          </w:p>
        </w:tc>
        <w:tc>
          <w:tcPr>
            <w:tcW w:w="1612" w:type="dxa"/>
            <w:tcBorders>
              <w:top w:val="nil"/>
              <w:left w:val="nil"/>
              <w:bottom w:val="single" w:color="000000" w:sz="8" w:space="0"/>
              <w:right w:val="single" w:color="000000" w:sz="8" w:space="0"/>
            </w:tcBorders>
            <w:noWrap w:val="0"/>
            <w:vAlign w:val="center"/>
          </w:tcPr>
          <w:p w14:paraId="37696E27">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70557F36">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《三相配电变压器能效限定值及能效等级》（GB20052）</w:t>
            </w:r>
          </w:p>
        </w:tc>
      </w:tr>
      <w:tr w14:paraId="1942A0B0">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2A910395">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9</w:t>
            </w:r>
          </w:p>
        </w:tc>
        <w:tc>
          <w:tcPr>
            <w:tcW w:w="1116" w:type="dxa"/>
            <w:tcBorders>
              <w:top w:val="nil"/>
              <w:left w:val="nil"/>
              <w:bottom w:val="single" w:color="000000" w:sz="8" w:space="0"/>
              <w:right w:val="single" w:color="000000" w:sz="8" w:space="0"/>
            </w:tcBorders>
            <w:noWrap w:val="0"/>
            <w:vAlign w:val="center"/>
          </w:tcPr>
          <w:p w14:paraId="63ECDFB6">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★A020609镇流器</w:t>
            </w:r>
          </w:p>
        </w:tc>
        <w:tc>
          <w:tcPr>
            <w:tcW w:w="1516" w:type="dxa"/>
            <w:tcBorders>
              <w:top w:val="nil"/>
              <w:left w:val="nil"/>
              <w:bottom w:val="single" w:color="000000" w:sz="8" w:space="0"/>
              <w:right w:val="single" w:color="000000" w:sz="8" w:space="0"/>
            </w:tcBorders>
            <w:noWrap w:val="0"/>
            <w:vAlign w:val="center"/>
          </w:tcPr>
          <w:p w14:paraId="480D984B">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管型荧光灯镇流器</w:t>
            </w:r>
          </w:p>
        </w:tc>
        <w:tc>
          <w:tcPr>
            <w:tcW w:w="1612" w:type="dxa"/>
            <w:tcBorders>
              <w:top w:val="nil"/>
              <w:left w:val="nil"/>
              <w:bottom w:val="single" w:color="000000" w:sz="8" w:space="0"/>
              <w:right w:val="single" w:color="000000" w:sz="8" w:space="0"/>
            </w:tcBorders>
            <w:noWrap w:val="0"/>
            <w:vAlign w:val="center"/>
          </w:tcPr>
          <w:p w14:paraId="30380301">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1DB682DC">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《管形荧光灯镇流器能效限定值及能效等级》（GB17896）</w:t>
            </w:r>
          </w:p>
        </w:tc>
      </w:tr>
      <w:tr w14:paraId="4D5AD8A1">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7D61357C">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10</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165DAD61">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A020618生活用电器</w:t>
            </w:r>
          </w:p>
        </w:tc>
        <w:tc>
          <w:tcPr>
            <w:tcW w:w="1516" w:type="dxa"/>
            <w:tcBorders>
              <w:top w:val="nil"/>
              <w:left w:val="nil"/>
              <w:bottom w:val="single" w:color="000000" w:sz="8" w:space="0"/>
              <w:right w:val="single" w:color="000000" w:sz="8" w:space="0"/>
            </w:tcBorders>
            <w:noWrap w:val="0"/>
            <w:vAlign w:val="center"/>
          </w:tcPr>
          <w:p w14:paraId="1F0EF894">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A0206180101电冰箱</w:t>
            </w:r>
          </w:p>
        </w:tc>
        <w:tc>
          <w:tcPr>
            <w:tcW w:w="1612" w:type="dxa"/>
            <w:tcBorders>
              <w:top w:val="nil"/>
              <w:left w:val="nil"/>
              <w:bottom w:val="single" w:color="000000" w:sz="8" w:space="0"/>
              <w:right w:val="single" w:color="000000" w:sz="8" w:space="0"/>
            </w:tcBorders>
            <w:noWrap w:val="0"/>
            <w:vAlign w:val="center"/>
          </w:tcPr>
          <w:p w14:paraId="05CFD4B8">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22A345F5">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《家用电冰箱耗电量限定值及能效等级》（GB 12021.2）</w:t>
            </w:r>
          </w:p>
        </w:tc>
      </w:tr>
      <w:tr w14:paraId="7B500CA9">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5EEFFC3">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52B8BE0">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1C0EF155">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★A0206180203空调机</w:t>
            </w:r>
          </w:p>
        </w:tc>
        <w:tc>
          <w:tcPr>
            <w:tcW w:w="1612" w:type="dxa"/>
            <w:tcBorders>
              <w:top w:val="nil"/>
              <w:left w:val="nil"/>
              <w:bottom w:val="single" w:color="000000" w:sz="8" w:space="0"/>
              <w:right w:val="single" w:color="000000" w:sz="8" w:space="0"/>
            </w:tcBorders>
            <w:noWrap w:val="0"/>
            <w:vAlign w:val="center"/>
          </w:tcPr>
          <w:p w14:paraId="592BCE8C">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房间空气调节器</w:t>
            </w:r>
          </w:p>
        </w:tc>
        <w:tc>
          <w:tcPr>
            <w:tcW w:w="4930" w:type="dxa"/>
            <w:tcBorders>
              <w:top w:val="nil"/>
              <w:left w:val="nil"/>
              <w:bottom w:val="single" w:color="000000" w:sz="8" w:space="0"/>
              <w:right w:val="single" w:color="000000" w:sz="8" w:space="0"/>
            </w:tcBorders>
            <w:noWrap w:val="0"/>
            <w:vAlign w:val="center"/>
          </w:tcPr>
          <w:p w14:paraId="65AEBF1A">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5CDCE94D">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F6737CB">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3CF72CA">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3F610AA9">
            <w:pPr>
              <w:widowControl/>
              <w:jc w:val="left"/>
              <w:rPr>
                <w:rFonts w:hint="eastAsia" w:ascii="方正仿宋_GB2312" w:hAnsi="方正仿宋_GB2312" w:eastAsia="方正仿宋_GB2312" w:cs="方正仿宋_GB2312"/>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670DD8A4">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多联式空调（热泵）机组（制冷量≤ 14000W）</w:t>
            </w:r>
          </w:p>
        </w:tc>
        <w:tc>
          <w:tcPr>
            <w:tcW w:w="4930" w:type="dxa"/>
            <w:tcBorders>
              <w:top w:val="nil"/>
              <w:left w:val="nil"/>
              <w:bottom w:val="single" w:color="000000" w:sz="8" w:space="0"/>
              <w:right w:val="single" w:color="000000" w:sz="8" w:space="0"/>
            </w:tcBorders>
            <w:noWrap w:val="0"/>
            <w:vAlign w:val="center"/>
          </w:tcPr>
          <w:p w14:paraId="1CA03FE1">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《多联式空调（热泵）机组能效限定值及能源效率等级》（GB21454）</w:t>
            </w:r>
          </w:p>
        </w:tc>
      </w:tr>
      <w:tr w14:paraId="5E186989">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78D34AF">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433B634">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7F45093">
            <w:pPr>
              <w:widowControl/>
              <w:jc w:val="left"/>
              <w:rPr>
                <w:rFonts w:hint="eastAsia" w:ascii="方正仿宋_GB2312" w:hAnsi="方正仿宋_GB2312" w:eastAsia="方正仿宋_GB2312" w:cs="方正仿宋_GB2312"/>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72BDD6B">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单元式空气调节机(制冷量≤14000W)</w:t>
            </w:r>
          </w:p>
        </w:tc>
        <w:tc>
          <w:tcPr>
            <w:tcW w:w="4930" w:type="dxa"/>
            <w:tcBorders>
              <w:top w:val="nil"/>
              <w:left w:val="nil"/>
              <w:bottom w:val="single" w:color="000000" w:sz="8" w:space="0"/>
              <w:right w:val="single" w:color="000000" w:sz="8" w:space="0"/>
            </w:tcBorders>
            <w:noWrap w:val="0"/>
            <w:vAlign w:val="center"/>
          </w:tcPr>
          <w:p w14:paraId="181117BA">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《单元式空气调节机能效限定值及能源效率等级》（GB19576）《风管送风式空调机组能效限定值及能效等级》（GB37479）</w:t>
            </w:r>
          </w:p>
        </w:tc>
      </w:tr>
      <w:tr w14:paraId="31BCED67">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79B2978">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1326889">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41BFDA64">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A0206180301洗衣机</w:t>
            </w:r>
          </w:p>
        </w:tc>
        <w:tc>
          <w:tcPr>
            <w:tcW w:w="1612" w:type="dxa"/>
            <w:tcBorders>
              <w:top w:val="nil"/>
              <w:left w:val="nil"/>
              <w:bottom w:val="single" w:color="000000" w:sz="8" w:space="0"/>
              <w:right w:val="single" w:color="000000" w:sz="8" w:space="0"/>
            </w:tcBorders>
            <w:noWrap w:val="0"/>
            <w:vAlign w:val="center"/>
          </w:tcPr>
          <w:p w14:paraId="52B4CFB5">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1F8D43E8">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《电动洗衣机能效水效限定值及等级》（GB12021.4）</w:t>
            </w:r>
          </w:p>
        </w:tc>
      </w:tr>
      <w:tr w14:paraId="1090A0CD">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901E8A8">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128A923">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4FF45FFF">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A02061808热水器</w:t>
            </w:r>
          </w:p>
        </w:tc>
        <w:tc>
          <w:tcPr>
            <w:tcW w:w="1612" w:type="dxa"/>
            <w:tcBorders>
              <w:top w:val="nil"/>
              <w:left w:val="nil"/>
              <w:bottom w:val="single" w:color="000000" w:sz="8" w:space="0"/>
              <w:right w:val="single" w:color="000000" w:sz="8" w:space="0"/>
            </w:tcBorders>
            <w:noWrap w:val="0"/>
            <w:vAlign w:val="center"/>
          </w:tcPr>
          <w:p w14:paraId="0781939F">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★电热水器</w:t>
            </w:r>
          </w:p>
        </w:tc>
        <w:tc>
          <w:tcPr>
            <w:tcW w:w="4930" w:type="dxa"/>
            <w:tcBorders>
              <w:top w:val="nil"/>
              <w:left w:val="nil"/>
              <w:bottom w:val="single" w:color="000000" w:sz="8" w:space="0"/>
              <w:right w:val="single" w:color="000000" w:sz="8" w:space="0"/>
            </w:tcBorders>
            <w:noWrap w:val="0"/>
            <w:vAlign w:val="center"/>
          </w:tcPr>
          <w:p w14:paraId="11878E9E">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《储水式电热水器能效限定值及能效等级》（GB21519）</w:t>
            </w:r>
          </w:p>
        </w:tc>
      </w:tr>
      <w:tr w14:paraId="3EA7D97A">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08B82F43">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D6E6D49">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76993322">
            <w:pPr>
              <w:widowControl/>
              <w:jc w:val="left"/>
              <w:rPr>
                <w:rFonts w:hint="eastAsia" w:ascii="方正仿宋_GB2312" w:hAnsi="方正仿宋_GB2312" w:eastAsia="方正仿宋_GB2312" w:cs="方正仿宋_GB2312"/>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456F740D">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燃气热水器</w:t>
            </w:r>
          </w:p>
        </w:tc>
        <w:tc>
          <w:tcPr>
            <w:tcW w:w="4930" w:type="dxa"/>
            <w:tcBorders>
              <w:top w:val="nil"/>
              <w:left w:val="nil"/>
              <w:bottom w:val="single" w:color="000000" w:sz="8" w:space="0"/>
              <w:right w:val="single" w:color="000000" w:sz="8" w:space="0"/>
            </w:tcBorders>
            <w:noWrap w:val="0"/>
            <w:vAlign w:val="center"/>
          </w:tcPr>
          <w:p w14:paraId="54EAA940">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《家用燃气快速热水器和燃气采暖热水炉能效限定值及能效等级》（GB20665）</w:t>
            </w:r>
          </w:p>
        </w:tc>
      </w:tr>
      <w:tr w14:paraId="040E3A27">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1653B73">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A1FF77C">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59831CB4">
            <w:pPr>
              <w:widowControl/>
              <w:jc w:val="left"/>
              <w:rPr>
                <w:rFonts w:hint="eastAsia" w:ascii="方正仿宋_GB2312" w:hAnsi="方正仿宋_GB2312" w:eastAsia="方正仿宋_GB2312" w:cs="方正仿宋_GB2312"/>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584F0EF0">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热泵热水器</w:t>
            </w:r>
          </w:p>
        </w:tc>
        <w:tc>
          <w:tcPr>
            <w:tcW w:w="4930" w:type="dxa"/>
            <w:tcBorders>
              <w:top w:val="nil"/>
              <w:left w:val="nil"/>
              <w:bottom w:val="single" w:color="000000" w:sz="8" w:space="0"/>
              <w:right w:val="single" w:color="000000" w:sz="8" w:space="0"/>
            </w:tcBorders>
            <w:noWrap w:val="0"/>
            <w:vAlign w:val="center"/>
          </w:tcPr>
          <w:p w14:paraId="3D1D3503">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《热泵热水机（器）能效限定值及能效等级》（GB29541）</w:t>
            </w:r>
          </w:p>
        </w:tc>
      </w:tr>
      <w:tr w14:paraId="3CA1D8A8">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2FB61C7B">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A6EA2E7">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ECF2B87">
            <w:pPr>
              <w:widowControl/>
              <w:jc w:val="left"/>
              <w:rPr>
                <w:rFonts w:hint="eastAsia" w:ascii="方正仿宋_GB2312" w:hAnsi="方正仿宋_GB2312" w:eastAsia="方正仿宋_GB2312" w:cs="方正仿宋_GB2312"/>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69B288B">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太阳能热水系统</w:t>
            </w:r>
          </w:p>
        </w:tc>
        <w:tc>
          <w:tcPr>
            <w:tcW w:w="4930" w:type="dxa"/>
            <w:tcBorders>
              <w:top w:val="nil"/>
              <w:left w:val="nil"/>
              <w:bottom w:val="single" w:color="000000" w:sz="8" w:space="0"/>
              <w:right w:val="single" w:color="000000" w:sz="8" w:space="0"/>
            </w:tcBorders>
            <w:noWrap w:val="0"/>
            <w:vAlign w:val="center"/>
          </w:tcPr>
          <w:p w14:paraId="5476A99C">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《家用太阳能热水系统能效限定值及能效等级》（GB26969）</w:t>
            </w:r>
          </w:p>
        </w:tc>
      </w:tr>
      <w:tr w14:paraId="5865BCB9">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5768FD4F">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11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53291954">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A020619照明设备</w:t>
            </w:r>
          </w:p>
        </w:tc>
        <w:tc>
          <w:tcPr>
            <w:tcW w:w="1516" w:type="dxa"/>
            <w:tcBorders>
              <w:top w:val="nil"/>
              <w:left w:val="nil"/>
              <w:bottom w:val="single" w:color="000000" w:sz="8" w:space="0"/>
              <w:right w:val="single" w:color="000000" w:sz="8" w:space="0"/>
            </w:tcBorders>
            <w:noWrap w:val="0"/>
            <w:vAlign w:val="center"/>
          </w:tcPr>
          <w:p w14:paraId="413B5939">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★普通照明用双端荧光灯</w:t>
            </w:r>
          </w:p>
        </w:tc>
        <w:tc>
          <w:tcPr>
            <w:tcW w:w="1612" w:type="dxa"/>
            <w:tcBorders>
              <w:top w:val="nil"/>
              <w:left w:val="nil"/>
              <w:bottom w:val="single" w:color="000000" w:sz="8" w:space="0"/>
              <w:right w:val="single" w:color="000000" w:sz="8" w:space="0"/>
            </w:tcBorders>
            <w:noWrap w:val="0"/>
            <w:vAlign w:val="center"/>
          </w:tcPr>
          <w:p w14:paraId="11161F1D">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3D1FA7D5">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《普通照明用双端荧光灯能效限定值及能效等级》（GB19043）</w:t>
            </w:r>
          </w:p>
        </w:tc>
      </w:tr>
      <w:tr w14:paraId="4962B330">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0D5830A">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8EDA35E">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B5D3D90">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LED道路/隧道照明产品</w:t>
            </w:r>
          </w:p>
        </w:tc>
        <w:tc>
          <w:tcPr>
            <w:tcW w:w="1612" w:type="dxa"/>
            <w:tcBorders>
              <w:top w:val="nil"/>
              <w:left w:val="nil"/>
              <w:bottom w:val="single" w:color="000000" w:sz="8" w:space="0"/>
              <w:right w:val="single" w:color="000000" w:sz="8" w:space="0"/>
            </w:tcBorders>
            <w:noWrap w:val="0"/>
            <w:vAlign w:val="center"/>
          </w:tcPr>
          <w:p w14:paraId="22F3CA18">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08AF97FB">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《道路和隧道照明用LED灯具能效限定值及能效等级》（GB37478）</w:t>
            </w:r>
          </w:p>
        </w:tc>
      </w:tr>
      <w:tr w14:paraId="7479E031">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707CA45">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B100B6F">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66DD5056">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LED筒灯</w:t>
            </w:r>
          </w:p>
        </w:tc>
        <w:tc>
          <w:tcPr>
            <w:tcW w:w="1612" w:type="dxa"/>
            <w:tcBorders>
              <w:top w:val="nil"/>
              <w:left w:val="nil"/>
              <w:bottom w:val="single" w:color="000000" w:sz="8" w:space="0"/>
              <w:right w:val="single" w:color="000000" w:sz="8" w:space="0"/>
            </w:tcBorders>
            <w:noWrap w:val="0"/>
            <w:vAlign w:val="center"/>
          </w:tcPr>
          <w:p w14:paraId="113A7C79">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5FB01A65">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《室内照明用LED产品能效限定值及能效等级》（GB30255）</w:t>
            </w:r>
          </w:p>
        </w:tc>
      </w:tr>
      <w:tr w14:paraId="5F0A79A4">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8ED1DD9">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484631F">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199165BD">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普通照明用非定向自镇流LED灯</w:t>
            </w:r>
          </w:p>
        </w:tc>
        <w:tc>
          <w:tcPr>
            <w:tcW w:w="1612" w:type="dxa"/>
            <w:tcBorders>
              <w:top w:val="nil"/>
              <w:left w:val="nil"/>
              <w:bottom w:val="single" w:color="000000" w:sz="8" w:space="0"/>
              <w:right w:val="single" w:color="000000" w:sz="8" w:space="0"/>
            </w:tcBorders>
            <w:noWrap w:val="0"/>
            <w:vAlign w:val="center"/>
          </w:tcPr>
          <w:p w14:paraId="10D8FE25">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510707C1">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《室内照明用LED产品能效限定值及能效等级》（GB30255）</w:t>
            </w:r>
          </w:p>
        </w:tc>
      </w:tr>
      <w:tr w14:paraId="54E3DC4E">
        <w:tblPrEx>
          <w:tblCellMar>
            <w:top w:w="0" w:type="dxa"/>
            <w:left w:w="108" w:type="dxa"/>
            <w:bottom w:w="0" w:type="dxa"/>
            <w:right w:w="108" w:type="dxa"/>
          </w:tblCellMar>
        </w:tblPrEx>
        <w:trPr>
          <w:trHeight w:val="735" w:hRule="atLeast"/>
        </w:trPr>
        <w:tc>
          <w:tcPr>
            <w:tcW w:w="641" w:type="dxa"/>
            <w:tcBorders>
              <w:top w:val="nil"/>
              <w:left w:val="single" w:color="000000" w:sz="8" w:space="0"/>
              <w:bottom w:val="single" w:color="000000" w:sz="8" w:space="0"/>
              <w:right w:val="single" w:color="000000" w:sz="8" w:space="0"/>
            </w:tcBorders>
            <w:noWrap w:val="0"/>
            <w:vAlign w:val="center"/>
          </w:tcPr>
          <w:p w14:paraId="6FB87550">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12</w:t>
            </w:r>
          </w:p>
        </w:tc>
        <w:tc>
          <w:tcPr>
            <w:tcW w:w="1116" w:type="dxa"/>
            <w:tcBorders>
              <w:top w:val="nil"/>
              <w:left w:val="nil"/>
              <w:bottom w:val="single" w:color="000000" w:sz="8" w:space="0"/>
              <w:right w:val="single" w:color="000000" w:sz="8" w:space="0"/>
            </w:tcBorders>
            <w:noWrap w:val="0"/>
            <w:vAlign w:val="center"/>
          </w:tcPr>
          <w:p w14:paraId="6D0CEDDC">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★A020910电视设备</w:t>
            </w:r>
          </w:p>
        </w:tc>
        <w:tc>
          <w:tcPr>
            <w:tcW w:w="1516" w:type="dxa"/>
            <w:tcBorders>
              <w:top w:val="nil"/>
              <w:left w:val="nil"/>
              <w:bottom w:val="single" w:color="000000" w:sz="8" w:space="0"/>
              <w:right w:val="single" w:color="000000" w:sz="8" w:space="0"/>
            </w:tcBorders>
            <w:noWrap w:val="0"/>
            <w:vAlign w:val="center"/>
          </w:tcPr>
          <w:p w14:paraId="08A70ED3">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A02091001普通电视设备（电视机）</w:t>
            </w:r>
          </w:p>
        </w:tc>
        <w:tc>
          <w:tcPr>
            <w:tcW w:w="1612" w:type="dxa"/>
            <w:tcBorders>
              <w:top w:val="nil"/>
              <w:left w:val="nil"/>
              <w:bottom w:val="single" w:color="000000" w:sz="8" w:space="0"/>
              <w:right w:val="single" w:color="000000" w:sz="8" w:space="0"/>
            </w:tcBorders>
            <w:noWrap w:val="0"/>
            <w:vAlign w:val="center"/>
          </w:tcPr>
          <w:p w14:paraId="27C07097">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57D645B3">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《平板电视能效限定值及能效等级》（GB24850）</w:t>
            </w:r>
          </w:p>
        </w:tc>
      </w:tr>
      <w:tr w14:paraId="13AD81F6">
        <w:tblPrEx>
          <w:tblCellMar>
            <w:top w:w="0" w:type="dxa"/>
            <w:left w:w="108" w:type="dxa"/>
            <w:bottom w:w="0" w:type="dxa"/>
            <w:right w:w="108" w:type="dxa"/>
          </w:tblCellMar>
        </w:tblPrEx>
        <w:trPr>
          <w:trHeight w:val="975" w:hRule="atLeast"/>
        </w:trPr>
        <w:tc>
          <w:tcPr>
            <w:tcW w:w="641" w:type="dxa"/>
            <w:tcBorders>
              <w:top w:val="nil"/>
              <w:left w:val="single" w:color="000000" w:sz="8" w:space="0"/>
              <w:bottom w:val="single" w:color="000000" w:sz="8" w:space="0"/>
              <w:right w:val="single" w:color="000000" w:sz="8" w:space="0"/>
            </w:tcBorders>
            <w:noWrap w:val="0"/>
            <w:vAlign w:val="center"/>
          </w:tcPr>
          <w:p w14:paraId="604CAB34">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13</w:t>
            </w:r>
          </w:p>
        </w:tc>
        <w:tc>
          <w:tcPr>
            <w:tcW w:w="1116" w:type="dxa"/>
            <w:tcBorders>
              <w:top w:val="nil"/>
              <w:left w:val="nil"/>
              <w:bottom w:val="single" w:color="000000" w:sz="8" w:space="0"/>
              <w:right w:val="single" w:color="000000" w:sz="8" w:space="0"/>
            </w:tcBorders>
            <w:noWrap w:val="0"/>
            <w:vAlign w:val="center"/>
          </w:tcPr>
          <w:p w14:paraId="4B80E7FE">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★A020911视频设备</w:t>
            </w:r>
          </w:p>
        </w:tc>
        <w:tc>
          <w:tcPr>
            <w:tcW w:w="1516" w:type="dxa"/>
            <w:tcBorders>
              <w:top w:val="nil"/>
              <w:left w:val="nil"/>
              <w:bottom w:val="single" w:color="000000" w:sz="8" w:space="0"/>
              <w:right w:val="single" w:color="000000" w:sz="8" w:space="0"/>
            </w:tcBorders>
            <w:noWrap w:val="0"/>
            <w:vAlign w:val="center"/>
          </w:tcPr>
          <w:p w14:paraId="3282D36E">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A02091107视频监控设备</w:t>
            </w:r>
          </w:p>
        </w:tc>
        <w:tc>
          <w:tcPr>
            <w:tcW w:w="1612" w:type="dxa"/>
            <w:tcBorders>
              <w:top w:val="nil"/>
              <w:left w:val="nil"/>
              <w:bottom w:val="single" w:color="000000" w:sz="8" w:space="0"/>
              <w:right w:val="single" w:color="000000" w:sz="8" w:space="0"/>
            </w:tcBorders>
            <w:noWrap w:val="0"/>
            <w:vAlign w:val="center"/>
          </w:tcPr>
          <w:p w14:paraId="065FAE77">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监视器</w:t>
            </w:r>
          </w:p>
        </w:tc>
        <w:tc>
          <w:tcPr>
            <w:tcW w:w="4930" w:type="dxa"/>
            <w:tcBorders>
              <w:top w:val="nil"/>
              <w:left w:val="nil"/>
              <w:bottom w:val="single" w:color="000000" w:sz="8" w:space="0"/>
              <w:right w:val="single" w:color="000000" w:sz="8" w:space="0"/>
            </w:tcBorders>
            <w:noWrap w:val="0"/>
            <w:vAlign w:val="center"/>
          </w:tcPr>
          <w:p w14:paraId="0AD4B74D">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15624983">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66109CC">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14</w:t>
            </w:r>
          </w:p>
        </w:tc>
        <w:tc>
          <w:tcPr>
            <w:tcW w:w="1116" w:type="dxa"/>
            <w:tcBorders>
              <w:top w:val="nil"/>
              <w:left w:val="nil"/>
              <w:bottom w:val="single" w:color="000000" w:sz="8" w:space="0"/>
              <w:right w:val="single" w:color="000000" w:sz="8" w:space="0"/>
            </w:tcBorders>
            <w:noWrap w:val="0"/>
            <w:vAlign w:val="center"/>
          </w:tcPr>
          <w:p w14:paraId="3BF27FEF">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A031210饮食炊事机械</w:t>
            </w:r>
          </w:p>
        </w:tc>
        <w:tc>
          <w:tcPr>
            <w:tcW w:w="1516" w:type="dxa"/>
            <w:tcBorders>
              <w:top w:val="nil"/>
              <w:left w:val="nil"/>
              <w:bottom w:val="single" w:color="000000" w:sz="8" w:space="0"/>
              <w:right w:val="single" w:color="000000" w:sz="8" w:space="0"/>
            </w:tcBorders>
            <w:noWrap w:val="0"/>
            <w:vAlign w:val="center"/>
          </w:tcPr>
          <w:p w14:paraId="40FDBDDC">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商用燃气灶具</w:t>
            </w:r>
          </w:p>
        </w:tc>
        <w:tc>
          <w:tcPr>
            <w:tcW w:w="1612" w:type="dxa"/>
            <w:tcBorders>
              <w:top w:val="nil"/>
              <w:left w:val="nil"/>
              <w:bottom w:val="single" w:color="000000" w:sz="8" w:space="0"/>
              <w:right w:val="single" w:color="000000" w:sz="8" w:space="0"/>
            </w:tcBorders>
            <w:noWrap w:val="0"/>
            <w:vAlign w:val="center"/>
          </w:tcPr>
          <w:p w14:paraId="572EF11E">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39D87311">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《商用燃气灶具能效限定值及能效等级》（GB30531）</w:t>
            </w:r>
          </w:p>
        </w:tc>
      </w:tr>
      <w:tr w14:paraId="69DA8BEA">
        <w:tblPrEx>
          <w:tblCellMar>
            <w:top w:w="0" w:type="dxa"/>
            <w:left w:w="108" w:type="dxa"/>
            <w:bottom w:w="0" w:type="dxa"/>
            <w:right w:w="108" w:type="dxa"/>
          </w:tblCellMar>
        </w:tblPrEx>
        <w:trPr>
          <w:trHeight w:val="28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209FFA66">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15</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24AAAD0F">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★A060805便器</w:t>
            </w:r>
          </w:p>
        </w:tc>
        <w:tc>
          <w:tcPr>
            <w:tcW w:w="1516" w:type="dxa"/>
            <w:tcBorders>
              <w:top w:val="nil"/>
              <w:left w:val="nil"/>
              <w:bottom w:val="single" w:color="000000" w:sz="8" w:space="0"/>
              <w:right w:val="single" w:color="000000" w:sz="8" w:space="0"/>
            </w:tcBorders>
            <w:noWrap w:val="0"/>
            <w:vAlign w:val="center"/>
          </w:tcPr>
          <w:p w14:paraId="1DEB867F">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坐便器</w:t>
            </w:r>
          </w:p>
        </w:tc>
        <w:tc>
          <w:tcPr>
            <w:tcW w:w="1612" w:type="dxa"/>
            <w:tcBorders>
              <w:top w:val="nil"/>
              <w:left w:val="nil"/>
              <w:bottom w:val="single" w:color="000000" w:sz="8" w:space="0"/>
              <w:right w:val="single" w:color="000000" w:sz="8" w:space="0"/>
            </w:tcBorders>
            <w:noWrap w:val="0"/>
            <w:vAlign w:val="center"/>
          </w:tcPr>
          <w:p w14:paraId="6C706052">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1040412A">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《坐便器水效限定值及水效等级》（GB25502）</w:t>
            </w:r>
          </w:p>
        </w:tc>
      </w:tr>
      <w:tr w14:paraId="36BB40E3">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D5AA616">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EC0AE92">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65F6B770">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蹲便器</w:t>
            </w:r>
          </w:p>
        </w:tc>
        <w:tc>
          <w:tcPr>
            <w:tcW w:w="1612" w:type="dxa"/>
            <w:tcBorders>
              <w:top w:val="nil"/>
              <w:left w:val="nil"/>
              <w:bottom w:val="single" w:color="000000" w:sz="8" w:space="0"/>
              <w:right w:val="single" w:color="000000" w:sz="8" w:space="0"/>
            </w:tcBorders>
            <w:noWrap w:val="0"/>
            <w:vAlign w:val="center"/>
          </w:tcPr>
          <w:p w14:paraId="00024DB5">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69D1C378">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《蹲便器用水效率限定值及用水效率等级》（GB30717）</w:t>
            </w:r>
          </w:p>
        </w:tc>
      </w:tr>
      <w:tr w14:paraId="5A2EA456">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65EE13F">
            <w:pPr>
              <w:widowControl/>
              <w:jc w:val="left"/>
              <w:rPr>
                <w:rFonts w:hint="eastAsia" w:ascii="方正仿宋_GB2312" w:hAnsi="方正仿宋_GB2312" w:eastAsia="方正仿宋_GB2312" w:cs="方正仿宋_GB2312"/>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A0596A0">
            <w:pPr>
              <w:widowControl/>
              <w:jc w:val="left"/>
              <w:rPr>
                <w:rFonts w:hint="eastAsia" w:ascii="方正仿宋_GB2312" w:hAnsi="方正仿宋_GB2312" w:eastAsia="方正仿宋_GB2312" w:cs="方正仿宋_GB2312"/>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16D28D74">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小便器</w:t>
            </w:r>
          </w:p>
        </w:tc>
        <w:tc>
          <w:tcPr>
            <w:tcW w:w="1612" w:type="dxa"/>
            <w:tcBorders>
              <w:top w:val="nil"/>
              <w:left w:val="nil"/>
              <w:bottom w:val="single" w:color="000000" w:sz="8" w:space="0"/>
              <w:right w:val="single" w:color="000000" w:sz="8" w:space="0"/>
            </w:tcBorders>
            <w:noWrap w:val="0"/>
            <w:vAlign w:val="center"/>
          </w:tcPr>
          <w:p w14:paraId="64D86ADF">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3969CD7A">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《小便器用水效率限定值及用水效率等级》（GB28377）</w:t>
            </w:r>
          </w:p>
        </w:tc>
      </w:tr>
      <w:tr w14:paraId="1E0B565F">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F953F9A">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16</w:t>
            </w:r>
          </w:p>
        </w:tc>
        <w:tc>
          <w:tcPr>
            <w:tcW w:w="1116" w:type="dxa"/>
            <w:tcBorders>
              <w:top w:val="nil"/>
              <w:left w:val="nil"/>
              <w:bottom w:val="single" w:color="000000" w:sz="8" w:space="0"/>
              <w:right w:val="single" w:color="000000" w:sz="8" w:space="0"/>
            </w:tcBorders>
            <w:noWrap w:val="0"/>
            <w:vAlign w:val="center"/>
          </w:tcPr>
          <w:p w14:paraId="3DD8AB92">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★A060806水嘴</w:t>
            </w:r>
          </w:p>
        </w:tc>
        <w:tc>
          <w:tcPr>
            <w:tcW w:w="1516" w:type="dxa"/>
            <w:tcBorders>
              <w:top w:val="nil"/>
              <w:left w:val="nil"/>
              <w:bottom w:val="single" w:color="000000" w:sz="8" w:space="0"/>
              <w:right w:val="single" w:color="000000" w:sz="8" w:space="0"/>
            </w:tcBorders>
            <w:noWrap w:val="0"/>
            <w:vAlign w:val="center"/>
          </w:tcPr>
          <w:p w14:paraId="0F4A1E83">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6116A5AD">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4B3A2CA3">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《水嘴用水效率限定值及用水效率等级》（GB 25501）</w:t>
            </w:r>
          </w:p>
        </w:tc>
      </w:tr>
      <w:tr w14:paraId="03FFCD8F">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5DBB7A10">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17</w:t>
            </w:r>
          </w:p>
        </w:tc>
        <w:tc>
          <w:tcPr>
            <w:tcW w:w="1116" w:type="dxa"/>
            <w:tcBorders>
              <w:top w:val="nil"/>
              <w:left w:val="nil"/>
              <w:bottom w:val="single" w:color="000000" w:sz="8" w:space="0"/>
              <w:right w:val="single" w:color="000000" w:sz="8" w:space="0"/>
            </w:tcBorders>
            <w:noWrap w:val="0"/>
            <w:vAlign w:val="center"/>
          </w:tcPr>
          <w:p w14:paraId="4F063EBD">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A060807便器冲洗阀</w:t>
            </w:r>
          </w:p>
        </w:tc>
        <w:tc>
          <w:tcPr>
            <w:tcW w:w="1516" w:type="dxa"/>
            <w:tcBorders>
              <w:top w:val="nil"/>
              <w:left w:val="nil"/>
              <w:bottom w:val="single" w:color="000000" w:sz="8" w:space="0"/>
              <w:right w:val="single" w:color="000000" w:sz="8" w:space="0"/>
            </w:tcBorders>
            <w:noWrap w:val="0"/>
            <w:vAlign w:val="center"/>
          </w:tcPr>
          <w:p w14:paraId="280DE4F3">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5091C68A">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1C5FB8C3">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《便器冲洗阀用水效率限定值及用水效率等级》（GB28379）</w:t>
            </w:r>
          </w:p>
        </w:tc>
      </w:tr>
      <w:tr w14:paraId="0A0D27EB">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9155CE1">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18</w:t>
            </w:r>
          </w:p>
        </w:tc>
        <w:tc>
          <w:tcPr>
            <w:tcW w:w="1116" w:type="dxa"/>
            <w:tcBorders>
              <w:top w:val="nil"/>
              <w:left w:val="nil"/>
              <w:bottom w:val="single" w:color="000000" w:sz="8" w:space="0"/>
              <w:right w:val="single" w:color="000000" w:sz="8" w:space="0"/>
            </w:tcBorders>
            <w:noWrap w:val="0"/>
            <w:vAlign w:val="center"/>
          </w:tcPr>
          <w:p w14:paraId="615998D8">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A060810淋浴器</w:t>
            </w:r>
          </w:p>
        </w:tc>
        <w:tc>
          <w:tcPr>
            <w:tcW w:w="1516" w:type="dxa"/>
            <w:tcBorders>
              <w:top w:val="nil"/>
              <w:left w:val="nil"/>
              <w:bottom w:val="single" w:color="000000" w:sz="8" w:space="0"/>
              <w:right w:val="single" w:color="000000" w:sz="8" w:space="0"/>
            </w:tcBorders>
            <w:noWrap w:val="0"/>
            <w:vAlign w:val="center"/>
          </w:tcPr>
          <w:p w14:paraId="6D6E7B13">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354F1639">
            <w:pPr>
              <w:widowControl/>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15155677">
            <w:pPr>
              <w:widowControl/>
              <w:jc w:val="left"/>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rPr>
              <w:t>《淋浴器用水效率限定值及用水效率等级》（GB28378）</w:t>
            </w:r>
          </w:p>
        </w:tc>
      </w:tr>
    </w:tbl>
    <w:p w14:paraId="0C52F29E">
      <w:pPr>
        <w:pStyle w:val="13"/>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pacing w:val="-3"/>
          <w:szCs w:val="21"/>
          <w:highlight w:val="none"/>
        </w:rPr>
        <w:t>注：</w:t>
      </w:r>
      <w:r>
        <w:rPr>
          <w:rFonts w:hint="eastAsia" w:ascii="方正仿宋_GB2312" w:hAnsi="方正仿宋_GB2312" w:eastAsia="方正仿宋_GB2312" w:cs="方正仿宋_GB2312"/>
          <w:color w:val="auto"/>
          <w:szCs w:val="21"/>
          <w:highlight w:val="none"/>
        </w:rPr>
        <w:t>1.节能产品认证应依据相关国家标准的最新版本，依据国家标准中二级能效（水效）指标。</w:t>
      </w:r>
    </w:p>
    <w:p w14:paraId="1595C33F">
      <w:pPr>
        <w:pStyle w:val="26"/>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21"/>
          <w:szCs w:val="21"/>
          <w:highlight w:val="none"/>
        </w:rPr>
        <w:t xml:space="preserve">    2.以“★”标注的为政府强制采购产品。</w:t>
      </w:r>
      <w:r>
        <w:rPr>
          <w:rFonts w:hint="eastAsia" w:ascii="方正仿宋_GB2312" w:hAnsi="方正仿宋_GB2312" w:eastAsia="方正仿宋_GB2312" w:cs="方正仿宋_GB2312"/>
          <w:color w:val="auto"/>
          <w:highlight w:val="none"/>
        </w:rPr>
        <w:br w:type="page"/>
      </w:r>
      <w:r>
        <w:rPr>
          <w:rFonts w:hint="eastAsia" w:ascii="方正仿宋_GB2312" w:hAnsi="方正仿宋_GB2312" w:eastAsia="方正仿宋_GB2312" w:cs="方正仿宋_GB2312"/>
          <w:color w:val="auto"/>
          <w:sz w:val="32"/>
          <w:szCs w:val="32"/>
          <w:highlight w:val="none"/>
        </w:rPr>
        <w:t>附件2：</w:t>
      </w:r>
    </w:p>
    <w:p w14:paraId="559A00F0">
      <w:pPr>
        <w:spacing w:line="528" w:lineRule="exact"/>
        <w:ind w:left="1868" w:hanging="1868" w:hangingChars="467"/>
        <w:jc w:val="center"/>
        <w:rPr>
          <w:rFonts w:hint="eastAsia" w:ascii="方正仿宋_GB2312" w:hAnsi="方正仿宋_GB2312" w:eastAsia="方正仿宋_GB2312" w:cs="方正仿宋_GB2312"/>
          <w:color w:val="auto"/>
          <w:sz w:val="40"/>
          <w:szCs w:val="40"/>
          <w:highlight w:val="none"/>
        </w:rPr>
      </w:pPr>
      <w:r>
        <w:rPr>
          <w:rFonts w:hint="eastAsia" w:ascii="方正仿宋_GB2312" w:hAnsi="方正仿宋_GB2312" w:eastAsia="方正仿宋_GB2312" w:cs="方正仿宋_GB2312"/>
          <w:color w:val="auto"/>
          <w:sz w:val="40"/>
          <w:szCs w:val="40"/>
          <w:highlight w:val="none"/>
        </w:rPr>
        <w:t>中小微企业划型标准</w:t>
      </w:r>
    </w:p>
    <w:tbl>
      <w:tblPr>
        <w:tblStyle w:val="28"/>
        <w:tblW w:w="0" w:type="auto"/>
        <w:jc w:val="center"/>
        <w:tblLayout w:type="fixed"/>
        <w:tblCellMar>
          <w:top w:w="0" w:type="dxa"/>
          <w:left w:w="108" w:type="dxa"/>
          <w:bottom w:w="0" w:type="dxa"/>
          <w:right w:w="108" w:type="dxa"/>
        </w:tblCellMar>
      </w:tblPr>
      <w:tblGrid>
        <w:gridCol w:w="2822"/>
        <w:gridCol w:w="1499"/>
        <w:gridCol w:w="988"/>
        <w:gridCol w:w="1755"/>
        <w:gridCol w:w="1560"/>
        <w:gridCol w:w="1333"/>
      </w:tblGrid>
      <w:tr w14:paraId="4D5E6930">
        <w:tblPrEx>
          <w:tblCellMar>
            <w:top w:w="0" w:type="dxa"/>
            <w:left w:w="108" w:type="dxa"/>
            <w:bottom w:w="0" w:type="dxa"/>
            <w:right w:w="108" w:type="dxa"/>
          </w:tblCellMar>
        </w:tblPrEx>
        <w:trPr>
          <w:trHeight w:val="1273" w:hRule="atLeast"/>
          <w:jc w:val="center"/>
        </w:trPr>
        <w:tc>
          <w:tcPr>
            <w:tcW w:w="2822" w:type="dxa"/>
            <w:tcBorders>
              <w:top w:val="single" w:color="auto" w:sz="4" w:space="0"/>
              <w:left w:val="single" w:color="auto" w:sz="4" w:space="0"/>
              <w:bottom w:val="single" w:color="auto" w:sz="4" w:space="0"/>
              <w:right w:val="single" w:color="auto" w:sz="4" w:space="0"/>
            </w:tcBorders>
            <w:noWrap w:val="0"/>
            <w:vAlign w:val="center"/>
          </w:tcPr>
          <w:p w14:paraId="5F53D1F7">
            <w:pPr>
              <w:widowControl/>
              <w:jc w:val="center"/>
              <w:rPr>
                <w:rFonts w:hint="eastAsia" w:ascii="方正仿宋_GB2312" w:hAnsi="方正仿宋_GB2312" w:eastAsia="方正仿宋_GB2312" w:cs="方正仿宋_GB2312"/>
                <w:b/>
                <w:color w:val="auto"/>
                <w:kern w:val="0"/>
                <w:sz w:val="24"/>
                <w:highlight w:val="none"/>
              </w:rPr>
            </w:pPr>
            <w:r>
              <w:rPr>
                <w:rFonts w:hint="eastAsia" w:ascii="方正仿宋_GB2312" w:hAnsi="方正仿宋_GB2312" w:eastAsia="方正仿宋_GB2312" w:cs="方正仿宋_GB2312"/>
                <w:b/>
                <w:color w:val="auto"/>
                <w:kern w:val="0"/>
                <w:sz w:val="24"/>
                <w:highlight w:val="none"/>
              </w:rPr>
              <w:t>行业名称</w:t>
            </w:r>
          </w:p>
        </w:tc>
        <w:tc>
          <w:tcPr>
            <w:tcW w:w="1499" w:type="dxa"/>
            <w:tcBorders>
              <w:top w:val="single" w:color="auto" w:sz="4" w:space="0"/>
              <w:left w:val="nil"/>
              <w:bottom w:val="single" w:color="auto" w:sz="4" w:space="0"/>
              <w:right w:val="single" w:color="auto" w:sz="4" w:space="0"/>
            </w:tcBorders>
            <w:noWrap w:val="0"/>
            <w:vAlign w:val="center"/>
          </w:tcPr>
          <w:p w14:paraId="02FAE89C">
            <w:pPr>
              <w:widowControl/>
              <w:jc w:val="center"/>
              <w:rPr>
                <w:rFonts w:hint="eastAsia" w:ascii="方正仿宋_GB2312" w:hAnsi="方正仿宋_GB2312" w:eastAsia="方正仿宋_GB2312" w:cs="方正仿宋_GB2312"/>
                <w:b/>
                <w:color w:val="auto"/>
                <w:kern w:val="0"/>
                <w:sz w:val="24"/>
                <w:highlight w:val="none"/>
              </w:rPr>
            </w:pPr>
            <w:r>
              <w:rPr>
                <w:rFonts w:hint="eastAsia" w:ascii="方正仿宋_GB2312" w:hAnsi="方正仿宋_GB2312" w:eastAsia="方正仿宋_GB2312" w:cs="方正仿宋_GB2312"/>
                <w:b/>
                <w:color w:val="auto"/>
                <w:kern w:val="0"/>
                <w:sz w:val="24"/>
                <w:highlight w:val="none"/>
              </w:rPr>
              <w:t>指标名称</w:t>
            </w:r>
          </w:p>
        </w:tc>
        <w:tc>
          <w:tcPr>
            <w:tcW w:w="988" w:type="dxa"/>
            <w:tcBorders>
              <w:top w:val="single" w:color="auto" w:sz="4" w:space="0"/>
              <w:left w:val="nil"/>
              <w:bottom w:val="single" w:color="auto" w:sz="4" w:space="0"/>
              <w:right w:val="single" w:color="auto" w:sz="4" w:space="0"/>
            </w:tcBorders>
            <w:noWrap w:val="0"/>
            <w:vAlign w:val="center"/>
          </w:tcPr>
          <w:p w14:paraId="36CBD660">
            <w:pPr>
              <w:widowControl/>
              <w:jc w:val="center"/>
              <w:rPr>
                <w:rFonts w:hint="eastAsia" w:ascii="方正仿宋_GB2312" w:hAnsi="方正仿宋_GB2312" w:eastAsia="方正仿宋_GB2312" w:cs="方正仿宋_GB2312"/>
                <w:b/>
                <w:color w:val="auto"/>
                <w:kern w:val="0"/>
                <w:sz w:val="24"/>
                <w:highlight w:val="none"/>
              </w:rPr>
            </w:pPr>
            <w:r>
              <w:rPr>
                <w:rFonts w:hint="eastAsia" w:ascii="方正仿宋_GB2312" w:hAnsi="方正仿宋_GB2312" w:eastAsia="方正仿宋_GB2312" w:cs="方正仿宋_GB2312"/>
                <w:b/>
                <w:color w:val="auto"/>
                <w:kern w:val="0"/>
                <w:sz w:val="24"/>
                <w:highlight w:val="none"/>
              </w:rPr>
              <w:t>计量单位</w:t>
            </w:r>
          </w:p>
        </w:tc>
        <w:tc>
          <w:tcPr>
            <w:tcW w:w="1755" w:type="dxa"/>
            <w:tcBorders>
              <w:top w:val="single" w:color="auto" w:sz="4" w:space="0"/>
              <w:left w:val="nil"/>
              <w:bottom w:val="single" w:color="auto" w:sz="4" w:space="0"/>
              <w:right w:val="single" w:color="auto" w:sz="4" w:space="0"/>
            </w:tcBorders>
            <w:noWrap w:val="0"/>
            <w:vAlign w:val="center"/>
          </w:tcPr>
          <w:p w14:paraId="233B22AD">
            <w:pPr>
              <w:widowControl/>
              <w:jc w:val="center"/>
              <w:rPr>
                <w:rFonts w:hint="eastAsia" w:ascii="方正仿宋_GB2312" w:hAnsi="方正仿宋_GB2312" w:eastAsia="方正仿宋_GB2312" w:cs="方正仿宋_GB2312"/>
                <w:b/>
                <w:color w:val="auto"/>
                <w:kern w:val="0"/>
                <w:sz w:val="24"/>
                <w:highlight w:val="none"/>
              </w:rPr>
            </w:pPr>
            <w:r>
              <w:rPr>
                <w:rFonts w:hint="eastAsia" w:ascii="方正仿宋_GB2312" w:hAnsi="方正仿宋_GB2312" w:eastAsia="方正仿宋_GB2312" w:cs="方正仿宋_GB2312"/>
                <w:b/>
                <w:color w:val="auto"/>
                <w:kern w:val="0"/>
                <w:sz w:val="24"/>
                <w:highlight w:val="none"/>
              </w:rPr>
              <w:t>中型</w:t>
            </w:r>
          </w:p>
        </w:tc>
        <w:tc>
          <w:tcPr>
            <w:tcW w:w="1560" w:type="dxa"/>
            <w:tcBorders>
              <w:top w:val="single" w:color="auto" w:sz="4" w:space="0"/>
              <w:left w:val="nil"/>
              <w:bottom w:val="single" w:color="auto" w:sz="4" w:space="0"/>
              <w:right w:val="single" w:color="auto" w:sz="4" w:space="0"/>
            </w:tcBorders>
            <w:noWrap w:val="0"/>
            <w:vAlign w:val="center"/>
          </w:tcPr>
          <w:p w14:paraId="6CF3EF30">
            <w:pPr>
              <w:widowControl/>
              <w:jc w:val="center"/>
              <w:rPr>
                <w:rFonts w:hint="eastAsia" w:ascii="方正仿宋_GB2312" w:hAnsi="方正仿宋_GB2312" w:eastAsia="方正仿宋_GB2312" w:cs="方正仿宋_GB2312"/>
                <w:b/>
                <w:color w:val="auto"/>
                <w:kern w:val="0"/>
                <w:sz w:val="24"/>
                <w:highlight w:val="none"/>
              </w:rPr>
            </w:pPr>
            <w:r>
              <w:rPr>
                <w:rFonts w:hint="eastAsia" w:ascii="方正仿宋_GB2312" w:hAnsi="方正仿宋_GB2312" w:eastAsia="方正仿宋_GB2312" w:cs="方正仿宋_GB2312"/>
                <w:b/>
                <w:color w:val="auto"/>
                <w:kern w:val="0"/>
                <w:sz w:val="24"/>
                <w:highlight w:val="none"/>
              </w:rPr>
              <w:t>小型</w:t>
            </w:r>
          </w:p>
        </w:tc>
        <w:tc>
          <w:tcPr>
            <w:tcW w:w="1333" w:type="dxa"/>
            <w:tcBorders>
              <w:top w:val="single" w:color="auto" w:sz="4" w:space="0"/>
              <w:left w:val="nil"/>
              <w:bottom w:val="single" w:color="auto" w:sz="4" w:space="0"/>
              <w:right w:val="single" w:color="auto" w:sz="4" w:space="0"/>
            </w:tcBorders>
            <w:noWrap w:val="0"/>
            <w:vAlign w:val="center"/>
          </w:tcPr>
          <w:p w14:paraId="1DBE4393">
            <w:pPr>
              <w:widowControl/>
              <w:jc w:val="center"/>
              <w:rPr>
                <w:rFonts w:hint="eastAsia" w:ascii="方正仿宋_GB2312" w:hAnsi="方正仿宋_GB2312" w:eastAsia="方正仿宋_GB2312" w:cs="方正仿宋_GB2312"/>
                <w:b/>
                <w:color w:val="auto"/>
                <w:kern w:val="0"/>
                <w:sz w:val="24"/>
                <w:highlight w:val="none"/>
              </w:rPr>
            </w:pPr>
            <w:r>
              <w:rPr>
                <w:rFonts w:hint="eastAsia" w:ascii="方正仿宋_GB2312" w:hAnsi="方正仿宋_GB2312" w:eastAsia="方正仿宋_GB2312" w:cs="方正仿宋_GB2312"/>
                <w:b/>
                <w:color w:val="auto"/>
                <w:kern w:val="0"/>
                <w:sz w:val="24"/>
                <w:highlight w:val="none"/>
              </w:rPr>
              <w:t>微型</w:t>
            </w:r>
          </w:p>
        </w:tc>
      </w:tr>
      <w:tr w14:paraId="552225BE">
        <w:tblPrEx>
          <w:tblCellMar>
            <w:top w:w="0" w:type="dxa"/>
            <w:left w:w="108" w:type="dxa"/>
            <w:bottom w:w="0" w:type="dxa"/>
            <w:right w:w="108" w:type="dxa"/>
          </w:tblCellMar>
        </w:tblPrEx>
        <w:trPr>
          <w:trHeight w:val="326" w:hRule="atLeast"/>
          <w:jc w:val="center"/>
        </w:trPr>
        <w:tc>
          <w:tcPr>
            <w:tcW w:w="2822" w:type="dxa"/>
            <w:tcBorders>
              <w:top w:val="nil"/>
              <w:left w:val="single" w:color="auto" w:sz="4" w:space="0"/>
              <w:bottom w:val="single" w:color="auto" w:sz="4" w:space="0"/>
              <w:right w:val="single" w:color="auto" w:sz="4" w:space="0"/>
            </w:tcBorders>
            <w:noWrap w:val="0"/>
            <w:vAlign w:val="bottom"/>
          </w:tcPr>
          <w:p w14:paraId="453A7CAC">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农、林、牧、渔</w:t>
            </w:r>
          </w:p>
        </w:tc>
        <w:tc>
          <w:tcPr>
            <w:tcW w:w="1499" w:type="dxa"/>
            <w:tcBorders>
              <w:top w:val="nil"/>
              <w:left w:val="nil"/>
              <w:bottom w:val="single" w:color="auto" w:sz="4" w:space="0"/>
              <w:right w:val="single" w:color="auto" w:sz="4" w:space="0"/>
            </w:tcBorders>
            <w:noWrap w:val="0"/>
            <w:vAlign w:val="center"/>
          </w:tcPr>
          <w:p w14:paraId="793ED55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418E8256">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38192612">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500≤Y＜20000</w:t>
            </w:r>
          </w:p>
        </w:tc>
        <w:tc>
          <w:tcPr>
            <w:tcW w:w="1560" w:type="dxa"/>
            <w:tcBorders>
              <w:top w:val="nil"/>
              <w:left w:val="nil"/>
              <w:bottom w:val="single" w:color="auto" w:sz="4" w:space="0"/>
              <w:right w:val="single" w:color="auto" w:sz="4" w:space="0"/>
            </w:tcBorders>
            <w:noWrap w:val="0"/>
            <w:vAlign w:val="center"/>
          </w:tcPr>
          <w:p w14:paraId="1BCD9DD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50≤Y＜500</w:t>
            </w:r>
          </w:p>
        </w:tc>
        <w:tc>
          <w:tcPr>
            <w:tcW w:w="1333" w:type="dxa"/>
            <w:tcBorders>
              <w:top w:val="nil"/>
              <w:left w:val="nil"/>
              <w:bottom w:val="single" w:color="auto" w:sz="4" w:space="0"/>
              <w:right w:val="single" w:color="auto" w:sz="4" w:space="0"/>
            </w:tcBorders>
            <w:noWrap w:val="0"/>
            <w:vAlign w:val="center"/>
          </w:tcPr>
          <w:p w14:paraId="5786A17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Y＜50</w:t>
            </w:r>
          </w:p>
        </w:tc>
      </w:tr>
      <w:tr w14:paraId="3A7F4A0C">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29067DD4">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工业</w:t>
            </w:r>
          </w:p>
        </w:tc>
        <w:tc>
          <w:tcPr>
            <w:tcW w:w="1499" w:type="dxa"/>
            <w:tcBorders>
              <w:top w:val="nil"/>
              <w:left w:val="nil"/>
              <w:bottom w:val="single" w:color="auto" w:sz="4" w:space="0"/>
              <w:right w:val="single" w:color="auto" w:sz="4" w:space="0"/>
            </w:tcBorders>
            <w:noWrap w:val="0"/>
            <w:vAlign w:val="center"/>
          </w:tcPr>
          <w:p w14:paraId="132EA2C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77CDC2F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4EEEA43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300≤X＜1000</w:t>
            </w:r>
          </w:p>
        </w:tc>
        <w:tc>
          <w:tcPr>
            <w:tcW w:w="1560" w:type="dxa"/>
            <w:tcBorders>
              <w:top w:val="nil"/>
              <w:left w:val="nil"/>
              <w:bottom w:val="single" w:color="auto" w:sz="4" w:space="0"/>
              <w:right w:val="single" w:color="auto" w:sz="4" w:space="0"/>
            </w:tcBorders>
            <w:noWrap w:val="0"/>
            <w:vAlign w:val="center"/>
          </w:tcPr>
          <w:p w14:paraId="2ECD21C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20≤X＜300</w:t>
            </w:r>
          </w:p>
        </w:tc>
        <w:tc>
          <w:tcPr>
            <w:tcW w:w="1333" w:type="dxa"/>
            <w:tcBorders>
              <w:top w:val="nil"/>
              <w:left w:val="nil"/>
              <w:bottom w:val="single" w:color="auto" w:sz="4" w:space="0"/>
              <w:right w:val="single" w:color="auto" w:sz="4" w:space="0"/>
            </w:tcBorders>
            <w:noWrap w:val="0"/>
            <w:vAlign w:val="center"/>
          </w:tcPr>
          <w:p w14:paraId="5A5CFE92">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X＜20</w:t>
            </w:r>
          </w:p>
        </w:tc>
      </w:tr>
      <w:tr w14:paraId="3909AA64">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1F05C701">
            <w:pPr>
              <w:jc w:val="center"/>
              <w:rPr>
                <w:rFonts w:hint="eastAsia" w:ascii="方正仿宋_GB2312" w:hAnsi="方正仿宋_GB2312" w:eastAsia="方正仿宋_GB2312" w:cs="方正仿宋_GB2312"/>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7B4E8418">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0261223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4B83D63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2000≤Y＜40000</w:t>
            </w:r>
          </w:p>
        </w:tc>
        <w:tc>
          <w:tcPr>
            <w:tcW w:w="1560" w:type="dxa"/>
            <w:tcBorders>
              <w:top w:val="nil"/>
              <w:left w:val="nil"/>
              <w:bottom w:val="single" w:color="auto" w:sz="4" w:space="0"/>
              <w:right w:val="single" w:color="auto" w:sz="4" w:space="0"/>
            </w:tcBorders>
            <w:noWrap w:val="0"/>
            <w:vAlign w:val="center"/>
          </w:tcPr>
          <w:p w14:paraId="2167BA3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300≤Y＜2000</w:t>
            </w:r>
          </w:p>
        </w:tc>
        <w:tc>
          <w:tcPr>
            <w:tcW w:w="1333" w:type="dxa"/>
            <w:tcBorders>
              <w:top w:val="nil"/>
              <w:left w:val="nil"/>
              <w:bottom w:val="single" w:color="auto" w:sz="4" w:space="0"/>
              <w:right w:val="single" w:color="auto" w:sz="4" w:space="0"/>
            </w:tcBorders>
            <w:noWrap w:val="0"/>
            <w:vAlign w:val="center"/>
          </w:tcPr>
          <w:p w14:paraId="1FFC637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Y＜300</w:t>
            </w:r>
          </w:p>
        </w:tc>
      </w:tr>
      <w:tr w14:paraId="5212E7D3">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4FC5EB99">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建筑业</w:t>
            </w:r>
          </w:p>
        </w:tc>
        <w:tc>
          <w:tcPr>
            <w:tcW w:w="1499" w:type="dxa"/>
            <w:tcBorders>
              <w:top w:val="nil"/>
              <w:left w:val="nil"/>
              <w:bottom w:val="single" w:color="auto" w:sz="4" w:space="0"/>
              <w:right w:val="single" w:color="auto" w:sz="4" w:space="0"/>
            </w:tcBorders>
            <w:noWrap w:val="0"/>
            <w:vAlign w:val="center"/>
          </w:tcPr>
          <w:p w14:paraId="05C623D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22654D38">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208F160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6000≤Y＜80000</w:t>
            </w:r>
          </w:p>
        </w:tc>
        <w:tc>
          <w:tcPr>
            <w:tcW w:w="1560" w:type="dxa"/>
            <w:tcBorders>
              <w:top w:val="nil"/>
              <w:left w:val="nil"/>
              <w:bottom w:val="single" w:color="auto" w:sz="4" w:space="0"/>
              <w:right w:val="single" w:color="auto" w:sz="4" w:space="0"/>
            </w:tcBorders>
            <w:noWrap w:val="0"/>
            <w:vAlign w:val="center"/>
          </w:tcPr>
          <w:p w14:paraId="391A503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300≤Y＜6000</w:t>
            </w:r>
          </w:p>
        </w:tc>
        <w:tc>
          <w:tcPr>
            <w:tcW w:w="1333" w:type="dxa"/>
            <w:tcBorders>
              <w:top w:val="nil"/>
              <w:left w:val="nil"/>
              <w:bottom w:val="single" w:color="auto" w:sz="4" w:space="0"/>
              <w:right w:val="single" w:color="auto" w:sz="4" w:space="0"/>
            </w:tcBorders>
            <w:noWrap w:val="0"/>
            <w:vAlign w:val="center"/>
          </w:tcPr>
          <w:p w14:paraId="6483264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Y＜300</w:t>
            </w:r>
          </w:p>
        </w:tc>
      </w:tr>
      <w:tr w14:paraId="0DF0B1C0">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00F2E48A">
            <w:pPr>
              <w:jc w:val="center"/>
              <w:rPr>
                <w:rFonts w:hint="eastAsia" w:ascii="方正仿宋_GB2312" w:hAnsi="方正仿宋_GB2312" w:eastAsia="方正仿宋_GB2312" w:cs="方正仿宋_GB2312"/>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3A69242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资产总额（Z）</w:t>
            </w:r>
          </w:p>
        </w:tc>
        <w:tc>
          <w:tcPr>
            <w:tcW w:w="988" w:type="dxa"/>
            <w:tcBorders>
              <w:top w:val="nil"/>
              <w:left w:val="nil"/>
              <w:bottom w:val="single" w:color="auto" w:sz="4" w:space="0"/>
              <w:right w:val="single" w:color="auto" w:sz="4" w:space="0"/>
            </w:tcBorders>
            <w:noWrap w:val="0"/>
            <w:vAlign w:val="center"/>
          </w:tcPr>
          <w:p w14:paraId="373E6C5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30C69A4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5000≤Z＜80000</w:t>
            </w:r>
          </w:p>
        </w:tc>
        <w:tc>
          <w:tcPr>
            <w:tcW w:w="1560" w:type="dxa"/>
            <w:tcBorders>
              <w:top w:val="nil"/>
              <w:left w:val="nil"/>
              <w:bottom w:val="single" w:color="auto" w:sz="4" w:space="0"/>
              <w:right w:val="single" w:color="auto" w:sz="4" w:space="0"/>
            </w:tcBorders>
            <w:noWrap w:val="0"/>
            <w:vAlign w:val="center"/>
          </w:tcPr>
          <w:p w14:paraId="20FD081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300≤Z＜5000</w:t>
            </w:r>
          </w:p>
        </w:tc>
        <w:tc>
          <w:tcPr>
            <w:tcW w:w="1333" w:type="dxa"/>
            <w:tcBorders>
              <w:top w:val="nil"/>
              <w:left w:val="nil"/>
              <w:bottom w:val="single" w:color="auto" w:sz="4" w:space="0"/>
              <w:right w:val="single" w:color="auto" w:sz="4" w:space="0"/>
            </w:tcBorders>
            <w:noWrap w:val="0"/>
            <w:vAlign w:val="center"/>
          </w:tcPr>
          <w:p w14:paraId="3CF323F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Z＜300</w:t>
            </w:r>
          </w:p>
        </w:tc>
      </w:tr>
      <w:tr w14:paraId="0DE2C6C3">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1A07AC4A">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批发业</w:t>
            </w:r>
          </w:p>
        </w:tc>
        <w:tc>
          <w:tcPr>
            <w:tcW w:w="1499" w:type="dxa"/>
            <w:tcBorders>
              <w:top w:val="nil"/>
              <w:left w:val="nil"/>
              <w:bottom w:val="single" w:color="auto" w:sz="4" w:space="0"/>
              <w:right w:val="single" w:color="auto" w:sz="4" w:space="0"/>
            </w:tcBorders>
            <w:noWrap w:val="0"/>
            <w:vAlign w:val="center"/>
          </w:tcPr>
          <w:p w14:paraId="3B44880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00088BB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49ADDCC2">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20≤X＜200</w:t>
            </w:r>
          </w:p>
        </w:tc>
        <w:tc>
          <w:tcPr>
            <w:tcW w:w="1560" w:type="dxa"/>
            <w:tcBorders>
              <w:top w:val="nil"/>
              <w:left w:val="nil"/>
              <w:bottom w:val="single" w:color="auto" w:sz="4" w:space="0"/>
              <w:right w:val="single" w:color="auto" w:sz="4" w:space="0"/>
            </w:tcBorders>
            <w:noWrap w:val="0"/>
            <w:vAlign w:val="center"/>
          </w:tcPr>
          <w:p w14:paraId="56E3D53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5≤X＜20</w:t>
            </w:r>
          </w:p>
        </w:tc>
        <w:tc>
          <w:tcPr>
            <w:tcW w:w="1333" w:type="dxa"/>
            <w:tcBorders>
              <w:top w:val="nil"/>
              <w:left w:val="nil"/>
              <w:bottom w:val="single" w:color="auto" w:sz="4" w:space="0"/>
              <w:right w:val="single" w:color="auto" w:sz="4" w:space="0"/>
            </w:tcBorders>
            <w:noWrap w:val="0"/>
            <w:vAlign w:val="center"/>
          </w:tcPr>
          <w:p w14:paraId="4CB224F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X＜5</w:t>
            </w:r>
          </w:p>
        </w:tc>
      </w:tr>
      <w:tr w14:paraId="553A3200">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13E15DFE">
            <w:pPr>
              <w:jc w:val="center"/>
              <w:rPr>
                <w:rFonts w:hint="eastAsia" w:ascii="方正仿宋_GB2312" w:hAnsi="方正仿宋_GB2312" w:eastAsia="方正仿宋_GB2312" w:cs="方正仿宋_GB2312"/>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3BABD44D">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31D012D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57C8742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5000≤Y＜40000</w:t>
            </w:r>
          </w:p>
        </w:tc>
        <w:tc>
          <w:tcPr>
            <w:tcW w:w="1560" w:type="dxa"/>
            <w:tcBorders>
              <w:top w:val="nil"/>
              <w:left w:val="nil"/>
              <w:bottom w:val="single" w:color="auto" w:sz="4" w:space="0"/>
              <w:right w:val="single" w:color="auto" w:sz="4" w:space="0"/>
            </w:tcBorders>
            <w:noWrap w:val="0"/>
            <w:vAlign w:val="center"/>
          </w:tcPr>
          <w:p w14:paraId="6C1A25E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1000≤Y＜5000</w:t>
            </w:r>
          </w:p>
        </w:tc>
        <w:tc>
          <w:tcPr>
            <w:tcW w:w="1333" w:type="dxa"/>
            <w:tcBorders>
              <w:top w:val="nil"/>
              <w:left w:val="nil"/>
              <w:bottom w:val="single" w:color="auto" w:sz="4" w:space="0"/>
              <w:right w:val="single" w:color="auto" w:sz="4" w:space="0"/>
            </w:tcBorders>
            <w:noWrap w:val="0"/>
            <w:vAlign w:val="center"/>
          </w:tcPr>
          <w:p w14:paraId="559B312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Y＜1000</w:t>
            </w:r>
          </w:p>
        </w:tc>
      </w:tr>
      <w:tr w14:paraId="0E4A533A">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1A299A98">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零售业</w:t>
            </w:r>
          </w:p>
        </w:tc>
        <w:tc>
          <w:tcPr>
            <w:tcW w:w="1499" w:type="dxa"/>
            <w:tcBorders>
              <w:top w:val="nil"/>
              <w:left w:val="nil"/>
              <w:bottom w:val="single" w:color="auto" w:sz="4" w:space="0"/>
              <w:right w:val="single" w:color="auto" w:sz="4" w:space="0"/>
            </w:tcBorders>
            <w:noWrap w:val="0"/>
            <w:vAlign w:val="center"/>
          </w:tcPr>
          <w:p w14:paraId="0A8E3CF6">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70F93FD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31AF83C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50≤X＜300</w:t>
            </w:r>
          </w:p>
        </w:tc>
        <w:tc>
          <w:tcPr>
            <w:tcW w:w="1560" w:type="dxa"/>
            <w:tcBorders>
              <w:top w:val="nil"/>
              <w:left w:val="nil"/>
              <w:bottom w:val="single" w:color="auto" w:sz="4" w:space="0"/>
              <w:right w:val="single" w:color="auto" w:sz="4" w:space="0"/>
            </w:tcBorders>
            <w:noWrap w:val="0"/>
            <w:vAlign w:val="center"/>
          </w:tcPr>
          <w:p w14:paraId="1883B50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10≤X＜50</w:t>
            </w:r>
          </w:p>
        </w:tc>
        <w:tc>
          <w:tcPr>
            <w:tcW w:w="1333" w:type="dxa"/>
            <w:tcBorders>
              <w:top w:val="nil"/>
              <w:left w:val="nil"/>
              <w:bottom w:val="single" w:color="auto" w:sz="4" w:space="0"/>
              <w:right w:val="single" w:color="auto" w:sz="4" w:space="0"/>
            </w:tcBorders>
            <w:noWrap w:val="0"/>
            <w:vAlign w:val="center"/>
          </w:tcPr>
          <w:p w14:paraId="1FE757C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w:t>
            </w:r>
          </w:p>
        </w:tc>
      </w:tr>
      <w:tr w14:paraId="1F7AE1C0">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44B40D53">
            <w:pPr>
              <w:jc w:val="center"/>
              <w:rPr>
                <w:rFonts w:hint="eastAsia" w:ascii="方正仿宋_GB2312" w:hAnsi="方正仿宋_GB2312" w:eastAsia="方正仿宋_GB2312" w:cs="方正仿宋_GB2312"/>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7218AAE6">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3A16D941">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6F68183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500≤Y＜20000</w:t>
            </w:r>
          </w:p>
        </w:tc>
        <w:tc>
          <w:tcPr>
            <w:tcW w:w="1560" w:type="dxa"/>
            <w:tcBorders>
              <w:top w:val="nil"/>
              <w:left w:val="nil"/>
              <w:bottom w:val="single" w:color="auto" w:sz="4" w:space="0"/>
              <w:right w:val="single" w:color="auto" w:sz="4" w:space="0"/>
            </w:tcBorders>
            <w:noWrap w:val="0"/>
            <w:vAlign w:val="center"/>
          </w:tcPr>
          <w:p w14:paraId="7C271FA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100≤Y＜500</w:t>
            </w:r>
          </w:p>
        </w:tc>
        <w:tc>
          <w:tcPr>
            <w:tcW w:w="1333" w:type="dxa"/>
            <w:tcBorders>
              <w:top w:val="nil"/>
              <w:left w:val="nil"/>
              <w:bottom w:val="single" w:color="auto" w:sz="4" w:space="0"/>
              <w:right w:val="single" w:color="auto" w:sz="4" w:space="0"/>
            </w:tcBorders>
            <w:noWrap w:val="0"/>
            <w:vAlign w:val="center"/>
          </w:tcPr>
          <w:p w14:paraId="140F4DC8">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w:t>
            </w:r>
          </w:p>
        </w:tc>
      </w:tr>
      <w:tr w14:paraId="0F7106C7">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04B20C0F">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交通运输业</w:t>
            </w:r>
          </w:p>
        </w:tc>
        <w:tc>
          <w:tcPr>
            <w:tcW w:w="1499" w:type="dxa"/>
            <w:tcBorders>
              <w:top w:val="nil"/>
              <w:left w:val="nil"/>
              <w:bottom w:val="single" w:color="auto" w:sz="4" w:space="0"/>
              <w:right w:val="single" w:color="auto" w:sz="4" w:space="0"/>
            </w:tcBorders>
            <w:noWrap w:val="0"/>
            <w:vAlign w:val="center"/>
          </w:tcPr>
          <w:p w14:paraId="7082CDF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2D6A6EB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4F847DA2">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300≤X＜1000</w:t>
            </w:r>
          </w:p>
        </w:tc>
        <w:tc>
          <w:tcPr>
            <w:tcW w:w="1560" w:type="dxa"/>
            <w:tcBorders>
              <w:top w:val="nil"/>
              <w:left w:val="nil"/>
              <w:bottom w:val="single" w:color="auto" w:sz="4" w:space="0"/>
              <w:right w:val="single" w:color="auto" w:sz="4" w:space="0"/>
            </w:tcBorders>
            <w:noWrap w:val="0"/>
            <w:vAlign w:val="center"/>
          </w:tcPr>
          <w:p w14:paraId="53092C8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20≤X＜300</w:t>
            </w:r>
          </w:p>
        </w:tc>
        <w:tc>
          <w:tcPr>
            <w:tcW w:w="1333" w:type="dxa"/>
            <w:tcBorders>
              <w:top w:val="nil"/>
              <w:left w:val="nil"/>
              <w:bottom w:val="single" w:color="auto" w:sz="4" w:space="0"/>
              <w:right w:val="single" w:color="auto" w:sz="4" w:space="0"/>
            </w:tcBorders>
            <w:noWrap w:val="0"/>
            <w:vAlign w:val="center"/>
          </w:tcPr>
          <w:p w14:paraId="4EAB2CB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X＜20</w:t>
            </w:r>
          </w:p>
        </w:tc>
      </w:tr>
      <w:tr w14:paraId="555FF1CE">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490B69C2">
            <w:pPr>
              <w:jc w:val="center"/>
              <w:rPr>
                <w:rFonts w:hint="eastAsia" w:ascii="方正仿宋_GB2312" w:hAnsi="方正仿宋_GB2312" w:eastAsia="方正仿宋_GB2312" w:cs="方正仿宋_GB2312"/>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4532CC8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40D7D24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35FAF1D1">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3000≤Y＜30000</w:t>
            </w:r>
          </w:p>
        </w:tc>
        <w:tc>
          <w:tcPr>
            <w:tcW w:w="1560" w:type="dxa"/>
            <w:tcBorders>
              <w:top w:val="nil"/>
              <w:left w:val="nil"/>
              <w:bottom w:val="single" w:color="auto" w:sz="4" w:space="0"/>
              <w:right w:val="single" w:color="auto" w:sz="4" w:space="0"/>
            </w:tcBorders>
            <w:noWrap w:val="0"/>
            <w:vAlign w:val="center"/>
          </w:tcPr>
          <w:p w14:paraId="745BC76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200≤Y＜3000</w:t>
            </w:r>
          </w:p>
        </w:tc>
        <w:tc>
          <w:tcPr>
            <w:tcW w:w="1333" w:type="dxa"/>
            <w:tcBorders>
              <w:top w:val="nil"/>
              <w:left w:val="nil"/>
              <w:bottom w:val="single" w:color="auto" w:sz="4" w:space="0"/>
              <w:right w:val="single" w:color="auto" w:sz="4" w:space="0"/>
            </w:tcBorders>
            <w:noWrap w:val="0"/>
            <w:vAlign w:val="center"/>
          </w:tcPr>
          <w:p w14:paraId="47E99F4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Y＜200</w:t>
            </w:r>
          </w:p>
        </w:tc>
      </w:tr>
      <w:tr w14:paraId="79BBE43D">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558A2181">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仓储业</w:t>
            </w:r>
          </w:p>
        </w:tc>
        <w:tc>
          <w:tcPr>
            <w:tcW w:w="1499" w:type="dxa"/>
            <w:tcBorders>
              <w:top w:val="nil"/>
              <w:left w:val="nil"/>
              <w:bottom w:val="single" w:color="auto" w:sz="4" w:space="0"/>
              <w:right w:val="single" w:color="auto" w:sz="4" w:space="0"/>
            </w:tcBorders>
            <w:noWrap w:val="0"/>
            <w:vAlign w:val="center"/>
          </w:tcPr>
          <w:p w14:paraId="190DF8B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7E55D6E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18F85CC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100≤X＜200</w:t>
            </w:r>
          </w:p>
        </w:tc>
        <w:tc>
          <w:tcPr>
            <w:tcW w:w="1560" w:type="dxa"/>
            <w:tcBorders>
              <w:top w:val="nil"/>
              <w:left w:val="nil"/>
              <w:bottom w:val="single" w:color="auto" w:sz="4" w:space="0"/>
              <w:right w:val="single" w:color="auto" w:sz="4" w:space="0"/>
            </w:tcBorders>
            <w:noWrap w:val="0"/>
            <w:vAlign w:val="center"/>
          </w:tcPr>
          <w:p w14:paraId="79C70F9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20≤X＜100</w:t>
            </w:r>
          </w:p>
        </w:tc>
        <w:tc>
          <w:tcPr>
            <w:tcW w:w="1333" w:type="dxa"/>
            <w:tcBorders>
              <w:top w:val="nil"/>
              <w:left w:val="nil"/>
              <w:bottom w:val="single" w:color="auto" w:sz="4" w:space="0"/>
              <w:right w:val="single" w:color="auto" w:sz="4" w:space="0"/>
            </w:tcBorders>
            <w:noWrap w:val="0"/>
            <w:vAlign w:val="center"/>
          </w:tcPr>
          <w:p w14:paraId="65E7A6F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X＜20</w:t>
            </w:r>
          </w:p>
        </w:tc>
      </w:tr>
      <w:tr w14:paraId="75948459">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50703D2F">
            <w:pPr>
              <w:jc w:val="center"/>
              <w:rPr>
                <w:rFonts w:hint="eastAsia" w:ascii="方正仿宋_GB2312" w:hAnsi="方正仿宋_GB2312" w:eastAsia="方正仿宋_GB2312" w:cs="方正仿宋_GB2312"/>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2CB1DBF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7BE2570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6054F592">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1000≤Y＜30000</w:t>
            </w:r>
          </w:p>
        </w:tc>
        <w:tc>
          <w:tcPr>
            <w:tcW w:w="1560" w:type="dxa"/>
            <w:tcBorders>
              <w:top w:val="nil"/>
              <w:left w:val="nil"/>
              <w:bottom w:val="single" w:color="auto" w:sz="4" w:space="0"/>
              <w:right w:val="single" w:color="auto" w:sz="4" w:space="0"/>
            </w:tcBorders>
            <w:noWrap w:val="0"/>
            <w:vAlign w:val="center"/>
          </w:tcPr>
          <w:p w14:paraId="366F6E8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100≤Y＜1000</w:t>
            </w:r>
          </w:p>
        </w:tc>
        <w:tc>
          <w:tcPr>
            <w:tcW w:w="1333" w:type="dxa"/>
            <w:tcBorders>
              <w:top w:val="nil"/>
              <w:left w:val="nil"/>
              <w:bottom w:val="single" w:color="auto" w:sz="4" w:space="0"/>
              <w:right w:val="single" w:color="auto" w:sz="4" w:space="0"/>
            </w:tcBorders>
            <w:noWrap w:val="0"/>
            <w:vAlign w:val="center"/>
          </w:tcPr>
          <w:p w14:paraId="0AA8A53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w:t>
            </w:r>
          </w:p>
        </w:tc>
      </w:tr>
      <w:tr w14:paraId="1A998475">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4A1836DF">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邮政业</w:t>
            </w:r>
          </w:p>
        </w:tc>
        <w:tc>
          <w:tcPr>
            <w:tcW w:w="1499" w:type="dxa"/>
            <w:tcBorders>
              <w:top w:val="nil"/>
              <w:left w:val="nil"/>
              <w:bottom w:val="single" w:color="auto" w:sz="4" w:space="0"/>
              <w:right w:val="single" w:color="auto" w:sz="4" w:space="0"/>
            </w:tcBorders>
            <w:noWrap w:val="0"/>
            <w:vAlign w:val="center"/>
          </w:tcPr>
          <w:p w14:paraId="6986896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054DEC9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618EAF2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300≤X＜1000</w:t>
            </w:r>
          </w:p>
        </w:tc>
        <w:tc>
          <w:tcPr>
            <w:tcW w:w="1560" w:type="dxa"/>
            <w:tcBorders>
              <w:top w:val="nil"/>
              <w:left w:val="nil"/>
              <w:bottom w:val="single" w:color="auto" w:sz="4" w:space="0"/>
              <w:right w:val="single" w:color="auto" w:sz="4" w:space="0"/>
            </w:tcBorders>
            <w:noWrap w:val="0"/>
            <w:vAlign w:val="center"/>
          </w:tcPr>
          <w:p w14:paraId="1281759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20≤X＜300</w:t>
            </w:r>
          </w:p>
        </w:tc>
        <w:tc>
          <w:tcPr>
            <w:tcW w:w="1333" w:type="dxa"/>
            <w:tcBorders>
              <w:top w:val="nil"/>
              <w:left w:val="nil"/>
              <w:bottom w:val="single" w:color="auto" w:sz="4" w:space="0"/>
              <w:right w:val="single" w:color="auto" w:sz="4" w:space="0"/>
            </w:tcBorders>
            <w:noWrap w:val="0"/>
            <w:vAlign w:val="center"/>
          </w:tcPr>
          <w:p w14:paraId="5A4D12B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X＜20</w:t>
            </w:r>
          </w:p>
        </w:tc>
      </w:tr>
      <w:tr w14:paraId="798B6E34">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545960DF">
            <w:pPr>
              <w:jc w:val="center"/>
              <w:rPr>
                <w:rFonts w:hint="eastAsia" w:ascii="方正仿宋_GB2312" w:hAnsi="方正仿宋_GB2312" w:eastAsia="方正仿宋_GB2312" w:cs="方正仿宋_GB2312"/>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2243B38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121C169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4585F71D">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2000≤Y＜30000</w:t>
            </w:r>
          </w:p>
        </w:tc>
        <w:tc>
          <w:tcPr>
            <w:tcW w:w="1560" w:type="dxa"/>
            <w:tcBorders>
              <w:top w:val="nil"/>
              <w:left w:val="nil"/>
              <w:bottom w:val="single" w:color="auto" w:sz="4" w:space="0"/>
              <w:right w:val="single" w:color="auto" w:sz="4" w:space="0"/>
            </w:tcBorders>
            <w:noWrap w:val="0"/>
            <w:vAlign w:val="center"/>
          </w:tcPr>
          <w:p w14:paraId="183F409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100≤Y＜2000</w:t>
            </w:r>
          </w:p>
        </w:tc>
        <w:tc>
          <w:tcPr>
            <w:tcW w:w="1333" w:type="dxa"/>
            <w:tcBorders>
              <w:top w:val="nil"/>
              <w:left w:val="nil"/>
              <w:bottom w:val="single" w:color="auto" w:sz="4" w:space="0"/>
              <w:right w:val="single" w:color="auto" w:sz="4" w:space="0"/>
            </w:tcBorders>
            <w:noWrap w:val="0"/>
            <w:vAlign w:val="center"/>
          </w:tcPr>
          <w:p w14:paraId="4F017CC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w:t>
            </w:r>
          </w:p>
        </w:tc>
      </w:tr>
      <w:tr w14:paraId="5DC175FD">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5059FB14">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住宿业</w:t>
            </w:r>
          </w:p>
        </w:tc>
        <w:tc>
          <w:tcPr>
            <w:tcW w:w="1499" w:type="dxa"/>
            <w:tcBorders>
              <w:top w:val="nil"/>
              <w:left w:val="nil"/>
              <w:bottom w:val="single" w:color="auto" w:sz="4" w:space="0"/>
              <w:right w:val="single" w:color="auto" w:sz="4" w:space="0"/>
            </w:tcBorders>
            <w:noWrap w:val="0"/>
            <w:vAlign w:val="center"/>
          </w:tcPr>
          <w:p w14:paraId="63C60C4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382096A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52E8329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100≤X＜300</w:t>
            </w:r>
          </w:p>
        </w:tc>
        <w:tc>
          <w:tcPr>
            <w:tcW w:w="1560" w:type="dxa"/>
            <w:tcBorders>
              <w:top w:val="nil"/>
              <w:left w:val="nil"/>
              <w:bottom w:val="single" w:color="auto" w:sz="4" w:space="0"/>
              <w:right w:val="single" w:color="auto" w:sz="4" w:space="0"/>
            </w:tcBorders>
            <w:noWrap w:val="0"/>
            <w:vAlign w:val="center"/>
          </w:tcPr>
          <w:p w14:paraId="603127D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10≤X＜100</w:t>
            </w:r>
          </w:p>
        </w:tc>
        <w:tc>
          <w:tcPr>
            <w:tcW w:w="1333" w:type="dxa"/>
            <w:tcBorders>
              <w:top w:val="nil"/>
              <w:left w:val="nil"/>
              <w:bottom w:val="single" w:color="auto" w:sz="4" w:space="0"/>
              <w:right w:val="single" w:color="auto" w:sz="4" w:space="0"/>
            </w:tcBorders>
            <w:noWrap w:val="0"/>
            <w:vAlign w:val="center"/>
          </w:tcPr>
          <w:p w14:paraId="3A119DB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w:t>
            </w:r>
          </w:p>
        </w:tc>
      </w:tr>
      <w:tr w14:paraId="71255CD2">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248B888A">
            <w:pPr>
              <w:jc w:val="center"/>
              <w:rPr>
                <w:rFonts w:hint="eastAsia" w:ascii="方正仿宋_GB2312" w:hAnsi="方正仿宋_GB2312" w:eastAsia="方正仿宋_GB2312" w:cs="方正仿宋_GB2312"/>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2872F7D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281BD51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593A82E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2000≤Y＜10000</w:t>
            </w:r>
          </w:p>
        </w:tc>
        <w:tc>
          <w:tcPr>
            <w:tcW w:w="1560" w:type="dxa"/>
            <w:tcBorders>
              <w:top w:val="nil"/>
              <w:left w:val="nil"/>
              <w:bottom w:val="single" w:color="auto" w:sz="4" w:space="0"/>
              <w:right w:val="single" w:color="auto" w:sz="4" w:space="0"/>
            </w:tcBorders>
            <w:noWrap w:val="0"/>
            <w:vAlign w:val="center"/>
          </w:tcPr>
          <w:p w14:paraId="4A8A29A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100≤Y＜2000</w:t>
            </w:r>
          </w:p>
        </w:tc>
        <w:tc>
          <w:tcPr>
            <w:tcW w:w="1333" w:type="dxa"/>
            <w:tcBorders>
              <w:top w:val="nil"/>
              <w:left w:val="nil"/>
              <w:bottom w:val="single" w:color="auto" w:sz="4" w:space="0"/>
              <w:right w:val="single" w:color="auto" w:sz="4" w:space="0"/>
            </w:tcBorders>
            <w:noWrap w:val="0"/>
            <w:vAlign w:val="center"/>
          </w:tcPr>
          <w:p w14:paraId="27658688">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w:t>
            </w:r>
          </w:p>
        </w:tc>
      </w:tr>
      <w:tr w14:paraId="7068D027">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53840551">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餐饮业</w:t>
            </w:r>
          </w:p>
        </w:tc>
        <w:tc>
          <w:tcPr>
            <w:tcW w:w="1499" w:type="dxa"/>
            <w:tcBorders>
              <w:top w:val="nil"/>
              <w:left w:val="nil"/>
              <w:bottom w:val="single" w:color="auto" w:sz="4" w:space="0"/>
              <w:right w:val="single" w:color="auto" w:sz="4" w:space="0"/>
            </w:tcBorders>
            <w:noWrap w:val="0"/>
            <w:vAlign w:val="center"/>
          </w:tcPr>
          <w:p w14:paraId="0FB95D1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6ECAF7B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63CEABB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100≤X＜300</w:t>
            </w:r>
          </w:p>
        </w:tc>
        <w:tc>
          <w:tcPr>
            <w:tcW w:w="1560" w:type="dxa"/>
            <w:tcBorders>
              <w:top w:val="nil"/>
              <w:left w:val="nil"/>
              <w:bottom w:val="single" w:color="auto" w:sz="4" w:space="0"/>
              <w:right w:val="single" w:color="auto" w:sz="4" w:space="0"/>
            </w:tcBorders>
            <w:noWrap w:val="0"/>
            <w:vAlign w:val="center"/>
          </w:tcPr>
          <w:p w14:paraId="3EEC2ED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10≤X＜100</w:t>
            </w:r>
          </w:p>
        </w:tc>
        <w:tc>
          <w:tcPr>
            <w:tcW w:w="1333" w:type="dxa"/>
            <w:tcBorders>
              <w:top w:val="nil"/>
              <w:left w:val="nil"/>
              <w:bottom w:val="single" w:color="auto" w:sz="4" w:space="0"/>
              <w:right w:val="single" w:color="auto" w:sz="4" w:space="0"/>
            </w:tcBorders>
            <w:noWrap w:val="0"/>
            <w:vAlign w:val="center"/>
          </w:tcPr>
          <w:p w14:paraId="0BBA8F6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w:t>
            </w:r>
          </w:p>
        </w:tc>
      </w:tr>
      <w:tr w14:paraId="3AFC9793">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0A9E6EC3">
            <w:pPr>
              <w:jc w:val="center"/>
              <w:rPr>
                <w:rFonts w:hint="eastAsia" w:ascii="方正仿宋_GB2312" w:hAnsi="方正仿宋_GB2312" w:eastAsia="方正仿宋_GB2312" w:cs="方正仿宋_GB2312"/>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3F50A70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7814396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60C7C0E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2000≤Y＜10000</w:t>
            </w:r>
          </w:p>
        </w:tc>
        <w:tc>
          <w:tcPr>
            <w:tcW w:w="1560" w:type="dxa"/>
            <w:tcBorders>
              <w:top w:val="nil"/>
              <w:left w:val="nil"/>
              <w:bottom w:val="single" w:color="auto" w:sz="4" w:space="0"/>
              <w:right w:val="single" w:color="auto" w:sz="4" w:space="0"/>
            </w:tcBorders>
            <w:noWrap w:val="0"/>
            <w:vAlign w:val="center"/>
          </w:tcPr>
          <w:p w14:paraId="07A36E5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100≤Y＜2000</w:t>
            </w:r>
          </w:p>
        </w:tc>
        <w:tc>
          <w:tcPr>
            <w:tcW w:w="1333" w:type="dxa"/>
            <w:tcBorders>
              <w:top w:val="nil"/>
              <w:left w:val="nil"/>
              <w:bottom w:val="single" w:color="auto" w:sz="4" w:space="0"/>
              <w:right w:val="single" w:color="auto" w:sz="4" w:space="0"/>
            </w:tcBorders>
            <w:noWrap w:val="0"/>
            <w:vAlign w:val="center"/>
          </w:tcPr>
          <w:p w14:paraId="28E7BAC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w:t>
            </w:r>
          </w:p>
        </w:tc>
      </w:tr>
      <w:tr w14:paraId="68DBEB41">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01F1CE23">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信息传输业</w:t>
            </w:r>
          </w:p>
        </w:tc>
        <w:tc>
          <w:tcPr>
            <w:tcW w:w="1499" w:type="dxa"/>
            <w:tcBorders>
              <w:top w:val="nil"/>
              <w:left w:val="nil"/>
              <w:bottom w:val="single" w:color="auto" w:sz="4" w:space="0"/>
              <w:right w:val="single" w:color="auto" w:sz="4" w:space="0"/>
            </w:tcBorders>
            <w:noWrap w:val="0"/>
            <w:vAlign w:val="center"/>
          </w:tcPr>
          <w:p w14:paraId="6A8DB42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7F493A5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2E2129D6">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100≤X＜2000</w:t>
            </w:r>
          </w:p>
        </w:tc>
        <w:tc>
          <w:tcPr>
            <w:tcW w:w="1560" w:type="dxa"/>
            <w:tcBorders>
              <w:top w:val="nil"/>
              <w:left w:val="nil"/>
              <w:bottom w:val="single" w:color="auto" w:sz="4" w:space="0"/>
              <w:right w:val="single" w:color="auto" w:sz="4" w:space="0"/>
            </w:tcBorders>
            <w:noWrap w:val="0"/>
            <w:vAlign w:val="center"/>
          </w:tcPr>
          <w:p w14:paraId="71049FB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10≤X＜100</w:t>
            </w:r>
          </w:p>
        </w:tc>
        <w:tc>
          <w:tcPr>
            <w:tcW w:w="1333" w:type="dxa"/>
            <w:tcBorders>
              <w:top w:val="nil"/>
              <w:left w:val="nil"/>
              <w:bottom w:val="single" w:color="auto" w:sz="4" w:space="0"/>
              <w:right w:val="single" w:color="auto" w:sz="4" w:space="0"/>
            </w:tcBorders>
            <w:noWrap w:val="0"/>
            <w:vAlign w:val="center"/>
          </w:tcPr>
          <w:p w14:paraId="759B5F6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w:t>
            </w:r>
          </w:p>
        </w:tc>
      </w:tr>
      <w:tr w14:paraId="0D3796B0">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1B75DC48">
            <w:pPr>
              <w:jc w:val="center"/>
              <w:rPr>
                <w:rFonts w:hint="eastAsia" w:ascii="方正仿宋_GB2312" w:hAnsi="方正仿宋_GB2312" w:eastAsia="方正仿宋_GB2312" w:cs="方正仿宋_GB2312"/>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3930E1A6">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65934448">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0BF85101">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1000≤Y＜100000</w:t>
            </w:r>
          </w:p>
        </w:tc>
        <w:tc>
          <w:tcPr>
            <w:tcW w:w="1560" w:type="dxa"/>
            <w:tcBorders>
              <w:top w:val="nil"/>
              <w:left w:val="nil"/>
              <w:bottom w:val="single" w:color="auto" w:sz="4" w:space="0"/>
              <w:right w:val="single" w:color="auto" w:sz="4" w:space="0"/>
            </w:tcBorders>
            <w:noWrap w:val="0"/>
            <w:vAlign w:val="center"/>
          </w:tcPr>
          <w:p w14:paraId="3B07C8A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100≤Y＜1000</w:t>
            </w:r>
          </w:p>
        </w:tc>
        <w:tc>
          <w:tcPr>
            <w:tcW w:w="1333" w:type="dxa"/>
            <w:tcBorders>
              <w:top w:val="nil"/>
              <w:left w:val="nil"/>
              <w:bottom w:val="single" w:color="auto" w:sz="4" w:space="0"/>
              <w:right w:val="single" w:color="auto" w:sz="4" w:space="0"/>
            </w:tcBorders>
            <w:noWrap w:val="0"/>
            <w:vAlign w:val="center"/>
          </w:tcPr>
          <w:p w14:paraId="319221B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w:t>
            </w:r>
          </w:p>
        </w:tc>
      </w:tr>
      <w:tr w14:paraId="1EA39F48">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04861F18">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软件和信息技术服务业</w:t>
            </w:r>
          </w:p>
        </w:tc>
        <w:tc>
          <w:tcPr>
            <w:tcW w:w="1499" w:type="dxa"/>
            <w:tcBorders>
              <w:top w:val="nil"/>
              <w:left w:val="nil"/>
              <w:bottom w:val="single" w:color="auto" w:sz="4" w:space="0"/>
              <w:right w:val="single" w:color="auto" w:sz="4" w:space="0"/>
            </w:tcBorders>
            <w:noWrap w:val="0"/>
            <w:vAlign w:val="center"/>
          </w:tcPr>
          <w:p w14:paraId="1C4B075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7A2AE66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15BA502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100≤X＜300</w:t>
            </w:r>
          </w:p>
        </w:tc>
        <w:tc>
          <w:tcPr>
            <w:tcW w:w="1560" w:type="dxa"/>
            <w:tcBorders>
              <w:top w:val="nil"/>
              <w:left w:val="nil"/>
              <w:bottom w:val="single" w:color="auto" w:sz="4" w:space="0"/>
              <w:right w:val="single" w:color="auto" w:sz="4" w:space="0"/>
            </w:tcBorders>
            <w:noWrap w:val="0"/>
            <w:vAlign w:val="center"/>
          </w:tcPr>
          <w:p w14:paraId="7CB7C3A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10≤X＜100</w:t>
            </w:r>
          </w:p>
        </w:tc>
        <w:tc>
          <w:tcPr>
            <w:tcW w:w="1333" w:type="dxa"/>
            <w:tcBorders>
              <w:top w:val="nil"/>
              <w:left w:val="nil"/>
              <w:bottom w:val="single" w:color="auto" w:sz="4" w:space="0"/>
              <w:right w:val="single" w:color="auto" w:sz="4" w:space="0"/>
            </w:tcBorders>
            <w:noWrap w:val="0"/>
            <w:vAlign w:val="center"/>
          </w:tcPr>
          <w:p w14:paraId="637EA7A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w:t>
            </w:r>
          </w:p>
        </w:tc>
      </w:tr>
      <w:tr w14:paraId="2928CCA6">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0316FC63">
            <w:pPr>
              <w:jc w:val="center"/>
              <w:rPr>
                <w:rFonts w:hint="eastAsia" w:ascii="方正仿宋_GB2312" w:hAnsi="方正仿宋_GB2312" w:eastAsia="方正仿宋_GB2312" w:cs="方正仿宋_GB2312"/>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05B024D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5B3DEBE8">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34159B0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1000≤Y＜10000</w:t>
            </w:r>
          </w:p>
        </w:tc>
        <w:tc>
          <w:tcPr>
            <w:tcW w:w="1560" w:type="dxa"/>
            <w:tcBorders>
              <w:top w:val="nil"/>
              <w:left w:val="nil"/>
              <w:bottom w:val="single" w:color="auto" w:sz="4" w:space="0"/>
              <w:right w:val="single" w:color="auto" w:sz="4" w:space="0"/>
            </w:tcBorders>
            <w:noWrap w:val="0"/>
            <w:vAlign w:val="center"/>
          </w:tcPr>
          <w:p w14:paraId="25C8EAE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50≤Y＜1000</w:t>
            </w:r>
          </w:p>
        </w:tc>
        <w:tc>
          <w:tcPr>
            <w:tcW w:w="1333" w:type="dxa"/>
            <w:tcBorders>
              <w:top w:val="nil"/>
              <w:left w:val="nil"/>
              <w:bottom w:val="single" w:color="auto" w:sz="4" w:space="0"/>
              <w:right w:val="single" w:color="auto" w:sz="4" w:space="0"/>
            </w:tcBorders>
            <w:noWrap w:val="0"/>
            <w:vAlign w:val="center"/>
          </w:tcPr>
          <w:p w14:paraId="385F39C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Y＜50</w:t>
            </w:r>
          </w:p>
        </w:tc>
      </w:tr>
      <w:tr w14:paraId="1FF43626">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40C09169">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房地产开发经营</w:t>
            </w:r>
          </w:p>
        </w:tc>
        <w:tc>
          <w:tcPr>
            <w:tcW w:w="1499" w:type="dxa"/>
            <w:tcBorders>
              <w:top w:val="nil"/>
              <w:left w:val="nil"/>
              <w:bottom w:val="single" w:color="auto" w:sz="4" w:space="0"/>
              <w:right w:val="single" w:color="auto" w:sz="4" w:space="0"/>
            </w:tcBorders>
            <w:noWrap w:val="0"/>
            <w:vAlign w:val="center"/>
          </w:tcPr>
          <w:p w14:paraId="0DDEEDDD">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29BAB56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3EB1E212">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1000≤Y＜200000</w:t>
            </w:r>
          </w:p>
        </w:tc>
        <w:tc>
          <w:tcPr>
            <w:tcW w:w="1560" w:type="dxa"/>
            <w:tcBorders>
              <w:top w:val="nil"/>
              <w:left w:val="nil"/>
              <w:bottom w:val="single" w:color="auto" w:sz="4" w:space="0"/>
              <w:right w:val="single" w:color="auto" w:sz="4" w:space="0"/>
            </w:tcBorders>
            <w:noWrap w:val="0"/>
            <w:vAlign w:val="center"/>
          </w:tcPr>
          <w:p w14:paraId="5CA3FA1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100≤X＜1000</w:t>
            </w:r>
          </w:p>
        </w:tc>
        <w:tc>
          <w:tcPr>
            <w:tcW w:w="1333" w:type="dxa"/>
            <w:tcBorders>
              <w:top w:val="nil"/>
              <w:left w:val="nil"/>
              <w:bottom w:val="single" w:color="auto" w:sz="4" w:space="0"/>
              <w:right w:val="single" w:color="auto" w:sz="4" w:space="0"/>
            </w:tcBorders>
            <w:noWrap w:val="0"/>
            <w:vAlign w:val="center"/>
          </w:tcPr>
          <w:p w14:paraId="0D2244A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X＜100</w:t>
            </w:r>
          </w:p>
        </w:tc>
      </w:tr>
      <w:tr w14:paraId="3B931E7B">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117B66F7">
            <w:pPr>
              <w:jc w:val="center"/>
              <w:rPr>
                <w:rFonts w:hint="eastAsia" w:ascii="方正仿宋_GB2312" w:hAnsi="方正仿宋_GB2312" w:eastAsia="方正仿宋_GB2312" w:cs="方正仿宋_GB2312"/>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0ACBD4C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资产总额（Z）</w:t>
            </w:r>
          </w:p>
        </w:tc>
        <w:tc>
          <w:tcPr>
            <w:tcW w:w="988" w:type="dxa"/>
            <w:tcBorders>
              <w:top w:val="nil"/>
              <w:left w:val="nil"/>
              <w:bottom w:val="single" w:color="auto" w:sz="4" w:space="0"/>
              <w:right w:val="single" w:color="auto" w:sz="4" w:space="0"/>
            </w:tcBorders>
            <w:noWrap w:val="0"/>
            <w:vAlign w:val="center"/>
          </w:tcPr>
          <w:p w14:paraId="1D7A5B78">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4CFDD02D">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5000≤Z＜10000</w:t>
            </w:r>
          </w:p>
        </w:tc>
        <w:tc>
          <w:tcPr>
            <w:tcW w:w="1560" w:type="dxa"/>
            <w:tcBorders>
              <w:top w:val="nil"/>
              <w:left w:val="nil"/>
              <w:bottom w:val="single" w:color="auto" w:sz="4" w:space="0"/>
              <w:right w:val="single" w:color="auto" w:sz="4" w:space="0"/>
            </w:tcBorders>
            <w:noWrap w:val="0"/>
            <w:vAlign w:val="center"/>
          </w:tcPr>
          <w:p w14:paraId="1797429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2000≤Y＜5000</w:t>
            </w:r>
          </w:p>
        </w:tc>
        <w:tc>
          <w:tcPr>
            <w:tcW w:w="1333" w:type="dxa"/>
            <w:tcBorders>
              <w:top w:val="nil"/>
              <w:left w:val="nil"/>
              <w:bottom w:val="single" w:color="auto" w:sz="4" w:space="0"/>
              <w:right w:val="single" w:color="auto" w:sz="4" w:space="0"/>
            </w:tcBorders>
            <w:noWrap w:val="0"/>
            <w:vAlign w:val="center"/>
          </w:tcPr>
          <w:p w14:paraId="061D831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Y＜2000</w:t>
            </w:r>
          </w:p>
        </w:tc>
      </w:tr>
      <w:tr w14:paraId="15758A4A">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3F480B2F">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物业管理</w:t>
            </w:r>
          </w:p>
        </w:tc>
        <w:tc>
          <w:tcPr>
            <w:tcW w:w="1499" w:type="dxa"/>
            <w:tcBorders>
              <w:top w:val="nil"/>
              <w:left w:val="nil"/>
              <w:bottom w:val="single" w:color="auto" w:sz="4" w:space="0"/>
              <w:right w:val="single" w:color="auto" w:sz="4" w:space="0"/>
            </w:tcBorders>
            <w:noWrap w:val="0"/>
            <w:vAlign w:val="center"/>
          </w:tcPr>
          <w:p w14:paraId="2604C3D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014BCEB6">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04AD161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300≤X＜1000</w:t>
            </w:r>
          </w:p>
        </w:tc>
        <w:tc>
          <w:tcPr>
            <w:tcW w:w="1560" w:type="dxa"/>
            <w:tcBorders>
              <w:top w:val="nil"/>
              <w:left w:val="nil"/>
              <w:bottom w:val="single" w:color="auto" w:sz="4" w:space="0"/>
              <w:right w:val="single" w:color="auto" w:sz="4" w:space="0"/>
            </w:tcBorders>
            <w:noWrap w:val="0"/>
            <w:vAlign w:val="center"/>
          </w:tcPr>
          <w:p w14:paraId="306EA09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100≤X＜300</w:t>
            </w:r>
          </w:p>
        </w:tc>
        <w:tc>
          <w:tcPr>
            <w:tcW w:w="1333" w:type="dxa"/>
            <w:tcBorders>
              <w:top w:val="nil"/>
              <w:left w:val="nil"/>
              <w:bottom w:val="single" w:color="auto" w:sz="4" w:space="0"/>
              <w:right w:val="single" w:color="auto" w:sz="4" w:space="0"/>
            </w:tcBorders>
            <w:noWrap w:val="0"/>
            <w:vAlign w:val="center"/>
          </w:tcPr>
          <w:p w14:paraId="2291C18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X＜100</w:t>
            </w:r>
          </w:p>
        </w:tc>
      </w:tr>
      <w:tr w14:paraId="2CEFDD7F">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77B2194B">
            <w:pPr>
              <w:jc w:val="center"/>
              <w:rPr>
                <w:rFonts w:hint="eastAsia" w:ascii="方正仿宋_GB2312" w:hAnsi="方正仿宋_GB2312" w:eastAsia="方正仿宋_GB2312" w:cs="方正仿宋_GB2312"/>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4A0D7F0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0573503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10896B28">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1000≤Y＜5000</w:t>
            </w:r>
          </w:p>
        </w:tc>
        <w:tc>
          <w:tcPr>
            <w:tcW w:w="1560" w:type="dxa"/>
            <w:tcBorders>
              <w:top w:val="nil"/>
              <w:left w:val="nil"/>
              <w:bottom w:val="single" w:color="auto" w:sz="4" w:space="0"/>
              <w:right w:val="single" w:color="auto" w:sz="4" w:space="0"/>
            </w:tcBorders>
            <w:noWrap w:val="0"/>
            <w:vAlign w:val="center"/>
          </w:tcPr>
          <w:p w14:paraId="1886C03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500≤Y＜1000</w:t>
            </w:r>
          </w:p>
        </w:tc>
        <w:tc>
          <w:tcPr>
            <w:tcW w:w="1333" w:type="dxa"/>
            <w:tcBorders>
              <w:top w:val="nil"/>
              <w:left w:val="nil"/>
              <w:bottom w:val="single" w:color="auto" w:sz="4" w:space="0"/>
              <w:right w:val="single" w:color="auto" w:sz="4" w:space="0"/>
            </w:tcBorders>
            <w:noWrap w:val="0"/>
            <w:vAlign w:val="center"/>
          </w:tcPr>
          <w:p w14:paraId="6768E57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Y＜500</w:t>
            </w:r>
          </w:p>
        </w:tc>
      </w:tr>
      <w:tr w14:paraId="283BFE0B">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708AC353">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租赁和商务服务业</w:t>
            </w:r>
          </w:p>
        </w:tc>
        <w:tc>
          <w:tcPr>
            <w:tcW w:w="1499" w:type="dxa"/>
            <w:tcBorders>
              <w:top w:val="nil"/>
              <w:left w:val="nil"/>
              <w:bottom w:val="single" w:color="auto" w:sz="4" w:space="0"/>
              <w:right w:val="single" w:color="auto" w:sz="4" w:space="0"/>
            </w:tcBorders>
            <w:noWrap w:val="0"/>
            <w:vAlign w:val="center"/>
          </w:tcPr>
          <w:p w14:paraId="3D74822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374A5C3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33DE803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100≤X＜300</w:t>
            </w:r>
          </w:p>
        </w:tc>
        <w:tc>
          <w:tcPr>
            <w:tcW w:w="1560" w:type="dxa"/>
            <w:tcBorders>
              <w:top w:val="nil"/>
              <w:left w:val="nil"/>
              <w:bottom w:val="single" w:color="auto" w:sz="4" w:space="0"/>
              <w:right w:val="single" w:color="auto" w:sz="4" w:space="0"/>
            </w:tcBorders>
            <w:noWrap w:val="0"/>
            <w:vAlign w:val="center"/>
          </w:tcPr>
          <w:p w14:paraId="79480A0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10≤X＜100</w:t>
            </w:r>
          </w:p>
        </w:tc>
        <w:tc>
          <w:tcPr>
            <w:tcW w:w="1333" w:type="dxa"/>
            <w:tcBorders>
              <w:top w:val="nil"/>
              <w:left w:val="nil"/>
              <w:bottom w:val="single" w:color="auto" w:sz="4" w:space="0"/>
              <w:right w:val="single" w:color="auto" w:sz="4" w:space="0"/>
            </w:tcBorders>
            <w:noWrap w:val="0"/>
            <w:vAlign w:val="center"/>
          </w:tcPr>
          <w:p w14:paraId="28307CC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w:t>
            </w:r>
          </w:p>
        </w:tc>
      </w:tr>
      <w:tr w14:paraId="4A4D5E4F">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2E5DC00E">
            <w:pPr>
              <w:jc w:val="center"/>
              <w:rPr>
                <w:rFonts w:hint="eastAsia" w:ascii="方正仿宋_GB2312" w:hAnsi="方正仿宋_GB2312" w:eastAsia="方正仿宋_GB2312" w:cs="方正仿宋_GB2312"/>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2BB6C1A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资产总额（Z）</w:t>
            </w:r>
          </w:p>
        </w:tc>
        <w:tc>
          <w:tcPr>
            <w:tcW w:w="988" w:type="dxa"/>
            <w:tcBorders>
              <w:top w:val="nil"/>
              <w:left w:val="nil"/>
              <w:bottom w:val="single" w:color="auto" w:sz="4" w:space="0"/>
              <w:right w:val="single" w:color="auto" w:sz="4" w:space="0"/>
            </w:tcBorders>
            <w:noWrap w:val="0"/>
            <w:vAlign w:val="center"/>
          </w:tcPr>
          <w:p w14:paraId="2E3060C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4216BB2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8000≤Z＜120000</w:t>
            </w:r>
          </w:p>
        </w:tc>
        <w:tc>
          <w:tcPr>
            <w:tcW w:w="1560" w:type="dxa"/>
            <w:tcBorders>
              <w:top w:val="nil"/>
              <w:left w:val="nil"/>
              <w:bottom w:val="single" w:color="auto" w:sz="4" w:space="0"/>
              <w:right w:val="single" w:color="auto" w:sz="4" w:space="0"/>
            </w:tcBorders>
            <w:noWrap w:val="0"/>
            <w:vAlign w:val="center"/>
          </w:tcPr>
          <w:p w14:paraId="4AD964B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100≤Z＜8000</w:t>
            </w:r>
          </w:p>
        </w:tc>
        <w:tc>
          <w:tcPr>
            <w:tcW w:w="1333" w:type="dxa"/>
            <w:tcBorders>
              <w:top w:val="nil"/>
              <w:left w:val="nil"/>
              <w:bottom w:val="single" w:color="auto" w:sz="4" w:space="0"/>
              <w:right w:val="single" w:color="auto" w:sz="4" w:space="0"/>
            </w:tcBorders>
            <w:noWrap w:val="0"/>
            <w:vAlign w:val="center"/>
          </w:tcPr>
          <w:p w14:paraId="7767C1D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w:t>
            </w:r>
          </w:p>
        </w:tc>
      </w:tr>
      <w:tr w14:paraId="11A93806">
        <w:tblPrEx>
          <w:tblCellMar>
            <w:top w:w="0" w:type="dxa"/>
            <w:left w:w="108" w:type="dxa"/>
            <w:bottom w:w="0" w:type="dxa"/>
            <w:right w:w="108" w:type="dxa"/>
          </w:tblCellMar>
        </w:tblPrEx>
        <w:trPr>
          <w:trHeight w:val="335" w:hRule="atLeast"/>
          <w:jc w:val="center"/>
        </w:trPr>
        <w:tc>
          <w:tcPr>
            <w:tcW w:w="2822" w:type="dxa"/>
            <w:tcBorders>
              <w:top w:val="nil"/>
              <w:left w:val="single" w:color="auto" w:sz="4" w:space="0"/>
              <w:bottom w:val="single" w:color="auto" w:sz="4" w:space="0"/>
              <w:right w:val="single" w:color="auto" w:sz="4" w:space="0"/>
            </w:tcBorders>
            <w:noWrap w:val="0"/>
            <w:vAlign w:val="center"/>
          </w:tcPr>
          <w:p w14:paraId="518D3BFB">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其他未列明行业</w:t>
            </w:r>
          </w:p>
        </w:tc>
        <w:tc>
          <w:tcPr>
            <w:tcW w:w="1499" w:type="dxa"/>
            <w:tcBorders>
              <w:top w:val="nil"/>
              <w:left w:val="nil"/>
              <w:bottom w:val="single" w:color="auto" w:sz="4" w:space="0"/>
              <w:right w:val="single" w:color="auto" w:sz="4" w:space="0"/>
            </w:tcBorders>
            <w:noWrap w:val="0"/>
            <w:vAlign w:val="center"/>
          </w:tcPr>
          <w:p w14:paraId="6DAEE6CD">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6F90454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129CB17D">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100≤X＜300</w:t>
            </w:r>
          </w:p>
        </w:tc>
        <w:tc>
          <w:tcPr>
            <w:tcW w:w="1560" w:type="dxa"/>
            <w:tcBorders>
              <w:top w:val="nil"/>
              <w:left w:val="nil"/>
              <w:bottom w:val="single" w:color="auto" w:sz="4" w:space="0"/>
              <w:right w:val="single" w:color="auto" w:sz="4" w:space="0"/>
            </w:tcBorders>
            <w:noWrap w:val="0"/>
            <w:vAlign w:val="center"/>
          </w:tcPr>
          <w:p w14:paraId="7B6338D2">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10≤X＜100</w:t>
            </w:r>
          </w:p>
        </w:tc>
        <w:tc>
          <w:tcPr>
            <w:tcW w:w="1333" w:type="dxa"/>
            <w:tcBorders>
              <w:top w:val="nil"/>
              <w:left w:val="nil"/>
              <w:bottom w:val="single" w:color="auto" w:sz="4" w:space="0"/>
              <w:right w:val="single" w:color="auto" w:sz="4" w:space="0"/>
            </w:tcBorders>
            <w:noWrap w:val="0"/>
            <w:vAlign w:val="center"/>
          </w:tcPr>
          <w:p w14:paraId="1126B32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w:t>
            </w:r>
          </w:p>
        </w:tc>
      </w:tr>
    </w:tbl>
    <w:p w14:paraId="1A62CFD7">
      <w:pPr>
        <w:spacing w:line="360" w:lineRule="auto"/>
        <w:ind w:firstLine="500" w:firstLineChars="250"/>
        <w:rPr>
          <w:rFonts w:hint="eastAsia" w:ascii="方正仿宋_GB2312" w:hAnsi="方正仿宋_GB2312" w:eastAsia="方正仿宋_GB2312" w:cs="方正仿宋_GB2312"/>
          <w:color w:val="auto"/>
          <w:sz w:val="20"/>
          <w:szCs w:val="22"/>
          <w:highlight w:val="none"/>
        </w:rPr>
      </w:pPr>
      <w:r>
        <w:rPr>
          <w:rFonts w:hint="eastAsia" w:ascii="方正仿宋_GB2312" w:hAnsi="方正仿宋_GB2312" w:eastAsia="方正仿宋_GB2312" w:cs="方正仿宋_GB2312"/>
          <w:color w:val="auto"/>
          <w:sz w:val="20"/>
          <w:szCs w:val="20"/>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75221B8">
      <w:pPr>
        <w:pStyle w:val="2"/>
        <w:spacing w:before="0" w:after="0" w:line="360" w:lineRule="auto"/>
        <w:jc w:val="center"/>
        <w:rPr>
          <w:rFonts w:hint="eastAsia" w:ascii="方正仿宋_GB2312" w:hAnsi="方正仿宋_GB2312" w:eastAsia="方正仿宋_GB2312" w:cs="方正仿宋_GB2312"/>
          <w:color w:val="auto"/>
          <w:highlight w:val="none"/>
        </w:rPr>
      </w:pPr>
      <w:bookmarkStart w:id="29" w:name="_Toc25027"/>
      <w:bookmarkStart w:id="30" w:name="_Toc26461"/>
      <w:bookmarkStart w:id="31" w:name="_Toc4524"/>
      <w:r>
        <w:rPr>
          <w:rFonts w:hint="eastAsia" w:ascii="方正仿宋_GB2312" w:hAnsi="方正仿宋_GB2312" w:eastAsia="方正仿宋_GB2312" w:cs="方正仿宋_GB2312"/>
          <w:bCs w:val="0"/>
          <w:color w:val="auto"/>
          <w:highlight w:val="none"/>
        </w:rPr>
        <w:t>第三章 供应商须知</w:t>
      </w:r>
      <w:bookmarkEnd w:id="29"/>
      <w:bookmarkEnd w:id="30"/>
      <w:bookmarkEnd w:id="31"/>
    </w:p>
    <w:p w14:paraId="0B717D25">
      <w:pPr>
        <w:pStyle w:val="3"/>
        <w:spacing w:before="0" w:after="0"/>
        <w:jc w:val="center"/>
        <w:rPr>
          <w:rFonts w:hint="eastAsia" w:ascii="方正仿宋_GB2312" w:hAnsi="方正仿宋_GB2312" w:eastAsia="方正仿宋_GB2312" w:cs="方正仿宋_GB2312"/>
          <w:b w:val="0"/>
          <w:color w:val="auto"/>
          <w:highlight w:val="none"/>
        </w:rPr>
      </w:pPr>
      <w:bookmarkStart w:id="32" w:name="_Toc1096143390"/>
      <w:bookmarkStart w:id="33" w:name="_Toc10694"/>
      <w:bookmarkStart w:id="34" w:name="_Toc3167"/>
      <w:bookmarkStart w:id="35" w:name="_Toc21713"/>
      <w:r>
        <w:rPr>
          <w:rFonts w:hint="eastAsia" w:ascii="方正仿宋_GB2312" w:hAnsi="方正仿宋_GB2312" w:eastAsia="方正仿宋_GB2312" w:cs="方正仿宋_GB2312"/>
          <w:b w:val="0"/>
          <w:color w:val="auto"/>
          <w:highlight w:val="none"/>
        </w:rPr>
        <w:t>第一节 供应商须知前附表</w:t>
      </w:r>
      <w:bookmarkEnd w:id="32"/>
      <w:bookmarkEnd w:id="33"/>
      <w:bookmarkEnd w:id="34"/>
      <w:bookmarkEnd w:id="35"/>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9"/>
        <w:gridCol w:w="2427"/>
        <w:gridCol w:w="6644"/>
      </w:tblGrid>
      <w:tr w14:paraId="57481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859" w:type="dxa"/>
            <w:noWrap w:val="0"/>
            <w:vAlign w:val="center"/>
          </w:tcPr>
          <w:p w14:paraId="27D6C72E">
            <w:pPr>
              <w:spacing w:line="440" w:lineRule="exact"/>
              <w:jc w:val="center"/>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条款号</w:t>
            </w:r>
          </w:p>
        </w:tc>
        <w:tc>
          <w:tcPr>
            <w:tcW w:w="2427" w:type="dxa"/>
            <w:noWrap w:val="0"/>
            <w:vAlign w:val="center"/>
          </w:tcPr>
          <w:p w14:paraId="187BEE08">
            <w:pPr>
              <w:spacing w:line="440" w:lineRule="exact"/>
              <w:jc w:val="center"/>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条款内容</w:t>
            </w:r>
          </w:p>
        </w:tc>
        <w:tc>
          <w:tcPr>
            <w:tcW w:w="6644" w:type="dxa"/>
            <w:noWrap w:val="0"/>
            <w:vAlign w:val="center"/>
          </w:tcPr>
          <w:p w14:paraId="11A85079">
            <w:pPr>
              <w:spacing w:line="440" w:lineRule="exact"/>
              <w:jc w:val="center"/>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具体要求</w:t>
            </w:r>
          </w:p>
        </w:tc>
      </w:tr>
      <w:tr w14:paraId="2A50B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247A87F7">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3.1</w:t>
            </w:r>
          </w:p>
        </w:tc>
        <w:tc>
          <w:tcPr>
            <w:tcW w:w="2427" w:type="dxa"/>
            <w:noWrap w:val="0"/>
            <w:vAlign w:val="center"/>
          </w:tcPr>
          <w:p w14:paraId="63C42066">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供应商资格条件</w:t>
            </w:r>
          </w:p>
        </w:tc>
        <w:tc>
          <w:tcPr>
            <w:tcW w:w="6644" w:type="dxa"/>
            <w:noWrap w:val="0"/>
            <w:vAlign w:val="top"/>
          </w:tcPr>
          <w:p w14:paraId="7B0865A4">
            <w:pPr>
              <w:spacing w:line="44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详见竞争性磋商公告。</w:t>
            </w:r>
          </w:p>
        </w:tc>
      </w:tr>
      <w:tr w14:paraId="520EA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551E46C5">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5.1</w:t>
            </w:r>
          </w:p>
        </w:tc>
        <w:tc>
          <w:tcPr>
            <w:tcW w:w="2427" w:type="dxa"/>
            <w:noWrap w:val="0"/>
            <w:vAlign w:val="center"/>
          </w:tcPr>
          <w:p w14:paraId="7FB980B4">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是否接受联合体竞标</w:t>
            </w:r>
          </w:p>
        </w:tc>
        <w:tc>
          <w:tcPr>
            <w:tcW w:w="6644" w:type="dxa"/>
            <w:noWrap w:val="0"/>
            <w:vAlign w:val="center"/>
          </w:tcPr>
          <w:p w14:paraId="3EC22BFC">
            <w:pPr>
              <w:spacing w:line="44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详见竞争性磋商公告。</w:t>
            </w:r>
          </w:p>
        </w:tc>
      </w:tr>
      <w:tr w14:paraId="52E08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101732EC">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5.2</w:t>
            </w:r>
          </w:p>
        </w:tc>
        <w:tc>
          <w:tcPr>
            <w:tcW w:w="2427" w:type="dxa"/>
            <w:noWrap w:val="0"/>
            <w:vAlign w:val="center"/>
          </w:tcPr>
          <w:p w14:paraId="23F4CAF5">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联合体竞标要求</w:t>
            </w:r>
          </w:p>
        </w:tc>
        <w:tc>
          <w:tcPr>
            <w:tcW w:w="6644" w:type="dxa"/>
            <w:noWrap w:val="0"/>
            <w:vAlign w:val="center"/>
          </w:tcPr>
          <w:p w14:paraId="4760786F">
            <w:pPr>
              <w:spacing w:line="44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详见竞争性磋商公告。</w:t>
            </w:r>
          </w:p>
        </w:tc>
      </w:tr>
      <w:tr w14:paraId="28845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53B842F0">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6.1</w:t>
            </w:r>
          </w:p>
        </w:tc>
        <w:tc>
          <w:tcPr>
            <w:tcW w:w="2427" w:type="dxa"/>
            <w:noWrap w:val="0"/>
            <w:vAlign w:val="center"/>
          </w:tcPr>
          <w:p w14:paraId="11EE9C8D">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是否允许分包</w:t>
            </w:r>
          </w:p>
        </w:tc>
        <w:tc>
          <w:tcPr>
            <w:tcW w:w="6644" w:type="dxa"/>
            <w:noWrap w:val="0"/>
            <w:vAlign w:val="center"/>
          </w:tcPr>
          <w:p w14:paraId="5BC5EDD3">
            <w:pPr>
              <w:pStyle w:val="11"/>
              <w:spacing w:line="440" w:lineRule="exact"/>
              <w:rPr>
                <w:rFonts w:hint="eastAsia" w:ascii="方正仿宋_GB2312" w:hAnsi="方正仿宋_GB2312" w:eastAsia="方正仿宋_GB2312" w:cs="方正仿宋_GB2312"/>
                <w:color w:val="auto"/>
                <w:szCs w:val="21"/>
                <w:highlight w:val="none"/>
              </w:rPr>
            </w:pPr>
            <w:bookmarkStart w:id="36" w:name="PO_3000001868_PM044"/>
            <w:r>
              <w:rPr>
                <w:rFonts w:hint="eastAsia" w:ascii="方正仿宋_GB2312" w:hAnsi="方正仿宋_GB2312" w:eastAsia="方正仿宋_GB2312" w:cs="方正仿宋_GB2312"/>
                <w:color w:val="auto"/>
                <w:szCs w:val="21"/>
                <w:highlight w:val="none"/>
              </w:rPr>
              <w:t>不允许分包</w:t>
            </w:r>
            <w:bookmarkEnd w:id="36"/>
            <w:r>
              <w:rPr>
                <w:rFonts w:hint="eastAsia" w:ascii="方正仿宋_GB2312" w:hAnsi="方正仿宋_GB2312" w:eastAsia="方正仿宋_GB2312" w:cs="方正仿宋_GB2312"/>
                <w:color w:val="auto"/>
                <w:szCs w:val="21"/>
                <w:highlight w:val="none"/>
              </w:rPr>
              <w:t>。</w:t>
            </w:r>
          </w:p>
        </w:tc>
      </w:tr>
      <w:tr w14:paraId="4F3F2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4" w:hRule="atLeast"/>
          <w:jc w:val="center"/>
        </w:trPr>
        <w:tc>
          <w:tcPr>
            <w:tcW w:w="859" w:type="dxa"/>
            <w:noWrap w:val="0"/>
            <w:vAlign w:val="center"/>
          </w:tcPr>
          <w:p w14:paraId="43F59C93">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12.1.1</w:t>
            </w:r>
          </w:p>
        </w:tc>
        <w:tc>
          <w:tcPr>
            <w:tcW w:w="2427" w:type="dxa"/>
            <w:noWrap w:val="0"/>
            <w:vAlign w:val="center"/>
          </w:tcPr>
          <w:p w14:paraId="2724C271">
            <w:pPr>
              <w:snapToGrid w:val="0"/>
              <w:spacing w:line="440" w:lineRule="exact"/>
              <w:jc w:val="center"/>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资格证明文件组成</w:t>
            </w:r>
          </w:p>
          <w:p w14:paraId="4519DB3A">
            <w:pPr>
              <w:spacing w:line="440" w:lineRule="exact"/>
              <w:jc w:val="center"/>
              <w:rPr>
                <w:rFonts w:hint="eastAsia" w:ascii="方正仿宋_GB2312" w:hAnsi="方正仿宋_GB2312" w:eastAsia="方正仿宋_GB2312" w:cs="方正仿宋_GB2312"/>
                <w:color w:val="auto"/>
                <w:szCs w:val="21"/>
                <w:highlight w:val="none"/>
              </w:rPr>
            </w:pPr>
          </w:p>
        </w:tc>
        <w:tc>
          <w:tcPr>
            <w:tcW w:w="6644" w:type="dxa"/>
            <w:noWrap w:val="0"/>
            <w:vAlign w:val="center"/>
          </w:tcPr>
          <w:p w14:paraId="79F746E9">
            <w:pPr>
              <w:pStyle w:val="11"/>
              <w:spacing w:line="44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方正仿宋_GB2312" w:hAnsi="方正仿宋_GB2312" w:eastAsia="方正仿宋_GB2312" w:cs="方正仿宋_GB2312"/>
                <w:b/>
                <w:color w:val="auto"/>
                <w:szCs w:val="21"/>
                <w:highlight w:val="none"/>
              </w:rPr>
              <w:t>必须提供，否则响应文件按无效响应处理</w:t>
            </w:r>
            <w:r>
              <w:rPr>
                <w:rFonts w:hint="eastAsia" w:ascii="方正仿宋_GB2312" w:hAnsi="方正仿宋_GB2312" w:eastAsia="方正仿宋_GB2312" w:cs="方正仿宋_GB2312"/>
                <w:color w:val="auto"/>
                <w:szCs w:val="21"/>
                <w:highlight w:val="none"/>
              </w:rPr>
              <w:t>）</w:t>
            </w:r>
          </w:p>
          <w:p w14:paraId="3044D784">
            <w:pPr>
              <w:snapToGrid w:val="0"/>
              <w:spacing w:line="44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2.供应商依法缴纳税收的相关材料：[</w:t>
            </w:r>
            <w:r>
              <w:rPr>
                <w:rFonts w:hint="eastAsia" w:ascii="方正仿宋_GB2312" w:hAnsi="方正仿宋_GB2312" w:eastAsia="方正仿宋_GB2312" w:cs="方正仿宋_GB2312"/>
                <w:color w:val="auto"/>
                <w:szCs w:val="21"/>
                <w:highlight w:val="none"/>
                <w:u w:val="single"/>
                <w:lang w:eastAsia="zh-CN"/>
              </w:rPr>
              <w:t>响应截止之日前半年内</w:t>
            </w: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color w:val="auto"/>
                <w:szCs w:val="21"/>
                <w:highlight w:val="none"/>
                <w:lang w:eastAsia="zh-CN"/>
              </w:rPr>
              <w:t>内</w:t>
            </w:r>
            <w:r>
              <w:rPr>
                <w:rFonts w:hint="eastAsia" w:ascii="方正仿宋_GB2312" w:hAnsi="方正仿宋_GB2312" w:eastAsia="方正仿宋_GB2312" w:cs="方正仿宋_GB2312"/>
                <w:color w:val="auto"/>
                <w:szCs w:val="21"/>
                <w:highlight w:val="none"/>
              </w:rPr>
              <w:t>任意连续</w:t>
            </w:r>
            <w:r>
              <w:rPr>
                <w:rFonts w:hint="eastAsia" w:ascii="方正仿宋_GB2312" w:hAnsi="方正仿宋_GB2312" w:eastAsia="方正仿宋_GB2312" w:cs="方正仿宋_GB2312"/>
                <w:color w:val="auto"/>
                <w:szCs w:val="21"/>
                <w:highlight w:val="none"/>
                <w:u w:val="single"/>
              </w:rPr>
              <w:t xml:space="preserve"> 3 </w:t>
            </w:r>
            <w:r>
              <w:rPr>
                <w:rFonts w:hint="eastAsia" w:ascii="方正仿宋_GB2312" w:hAnsi="方正仿宋_GB2312" w:eastAsia="方正仿宋_GB2312" w:cs="方正仿宋_GB2312"/>
                <w:color w:val="auto"/>
                <w:szCs w:val="21"/>
                <w:highlight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方正仿宋_GB2312" w:hAnsi="方正仿宋_GB2312" w:eastAsia="方正仿宋_GB2312" w:cs="方正仿宋_GB2312"/>
                <w:b/>
                <w:color w:val="auto"/>
                <w:szCs w:val="21"/>
                <w:highlight w:val="none"/>
              </w:rPr>
              <w:t>必须提供，否则作无效竞标处理</w:t>
            </w:r>
            <w:r>
              <w:rPr>
                <w:rFonts w:hint="eastAsia" w:ascii="方正仿宋_GB2312" w:hAnsi="方正仿宋_GB2312" w:eastAsia="方正仿宋_GB2312" w:cs="方正仿宋_GB2312"/>
                <w:color w:val="auto"/>
                <w:szCs w:val="21"/>
                <w:highlight w:val="none"/>
              </w:rPr>
              <w:t>）</w:t>
            </w:r>
          </w:p>
          <w:p w14:paraId="2EA7F27A">
            <w:pPr>
              <w:snapToGrid w:val="0"/>
              <w:spacing w:line="44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3.供应商依法缴纳社会保障资金的相关材料：[</w:t>
            </w:r>
            <w:r>
              <w:rPr>
                <w:rFonts w:hint="eastAsia" w:ascii="方正仿宋_GB2312" w:hAnsi="方正仿宋_GB2312" w:eastAsia="方正仿宋_GB2312" w:cs="方正仿宋_GB2312"/>
                <w:color w:val="auto"/>
                <w:szCs w:val="21"/>
                <w:highlight w:val="none"/>
                <w:u w:val="single"/>
                <w:lang w:eastAsia="zh-CN"/>
              </w:rPr>
              <w:t>响应截止之日前半年内</w:t>
            </w: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color w:val="auto"/>
                <w:szCs w:val="21"/>
                <w:highlight w:val="none"/>
                <w:lang w:eastAsia="zh-CN"/>
              </w:rPr>
              <w:t>内</w:t>
            </w:r>
            <w:r>
              <w:rPr>
                <w:rFonts w:hint="eastAsia" w:ascii="方正仿宋_GB2312" w:hAnsi="方正仿宋_GB2312" w:eastAsia="方正仿宋_GB2312" w:cs="方正仿宋_GB2312"/>
                <w:color w:val="auto"/>
                <w:szCs w:val="21"/>
                <w:highlight w:val="none"/>
              </w:rPr>
              <w:t>任意连续</w:t>
            </w:r>
            <w:r>
              <w:rPr>
                <w:rFonts w:hint="eastAsia" w:ascii="方正仿宋_GB2312" w:hAnsi="方正仿宋_GB2312" w:eastAsia="方正仿宋_GB2312" w:cs="方正仿宋_GB2312"/>
                <w:color w:val="auto"/>
                <w:szCs w:val="21"/>
                <w:highlight w:val="none"/>
                <w:u w:val="single"/>
              </w:rPr>
              <w:t xml:space="preserve"> 3 </w:t>
            </w:r>
            <w:r>
              <w:rPr>
                <w:rFonts w:hint="eastAsia" w:ascii="方正仿宋_GB2312" w:hAnsi="方正仿宋_GB2312" w:eastAsia="方正仿宋_GB2312" w:cs="方正仿宋_GB2312"/>
                <w:color w:val="auto"/>
                <w:szCs w:val="21"/>
                <w:highlight w:val="none"/>
              </w:rPr>
              <w:t>个月的依法缴纳社会保障资金的缴费凭证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方正仿宋_GB2312" w:hAnsi="方正仿宋_GB2312" w:eastAsia="方正仿宋_GB2312" w:cs="方正仿宋_GB2312"/>
                <w:b/>
                <w:color w:val="auto"/>
                <w:szCs w:val="21"/>
                <w:highlight w:val="none"/>
              </w:rPr>
              <w:t>必须提供，否则作无效竞标处理</w:t>
            </w:r>
            <w:r>
              <w:rPr>
                <w:rFonts w:hint="eastAsia" w:ascii="方正仿宋_GB2312" w:hAnsi="方正仿宋_GB2312" w:eastAsia="方正仿宋_GB2312" w:cs="方正仿宋_GB2312"/>
                <w:color w:val="auto"/>
                <w:szCs w:val="21"/>
                <w:highlight w:val="none"/>
              </w:rPr>
              <w:t>）</w:t>
            </w:r>
          </w:p>
          <w:p w14:paraId="242F869B">
            <w:pPr>
              <w:snapToGrid w:val="0"/>
              <w:spacing w:line="44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4.供应商财务状况报告：[</w:t>
            </w:r>
            <w:r>
              <w:rPr>
                <w:rFonts w:hint="eastAsia" w:ascii="方正仿宋_GB2312" w:hAnsi="方正仿宋_GB2312" w:eastAsia="方正仿宋_GB2312" w:cs="方正仿宋_GB2312"/>
                <w:color w:val="auto"/>
                <w:szCs w:val="21"/>
                <w:highlight w:val="none"/>
                <w:u w:val="single"/>
                <w:lang w:eastAsia="zh-CN"/>
              </w:rPr>
              <w:t xml:space="preserve"> 2024年度或2025年度</w:t>
            </w:r>
            <w:r>
              <w:rPr>
                <w:rFonts w:hint="eastAsia" w:ascii="方正仿宋_GB2312" w:hAnsi="方正仿宋_GB2312" w:eastAsia="方正仿宋_GB2312" w:cs="方正仿宋_GB2312"/>
                <w:color w:val="auto"/>
                <w:szCs w:val="21"/>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方正仿宋_GB2312" w:hAnsi="方正仿宋_GB2312" w:eastAsia="方正仿宋_GB2312" w:cs="方正仿宋_GB2312"/>
                <w:b/>
                <w:color w:val="auto"/>
                <w:szCs w:val="21"/>
                <w:highlight w:val="none"/>
              </w:rPr>
              <w:t>必须提供，否则作无效竞标处理</w:t>
            </w:r>
            <w:r>
              <w:rPr>
                <w:rFonts w:hint="eastAsia" w:ascii="方正仿宋_GB2312" w:hAnsi="方正仿宋_GB2312" w:eastAsia="方正仿宋_GB2312" w:cs="方正仿宋_GB2312"/>
                <w:color w:val="auto"/>
                <w:szCs w:val="21"/>
                <w:highlight w:val="none"/>
              </w:rPr>
              <w:t>）</w:t>
            </w:r>
          </w:p>
          <w:p w14:paraId="128CB341">
            <w:pPr>
              <w:snapToGrid w:val="0"/>
              <w:spacing w:line="44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5.供应商直接控股、管理关系信息表；（</w:t>
            </w:r>
            <w:r>
              <w:rPr>
                <w:rFonts w:hint="eastAsia" w:ascii="方正仿宋_GB2312" w:hAnsi="方正仿宋_GB2312" w:eastAsia="方正仿宋_GB2312" w:cs="方正仿宋_GB2312"/>
                <w:b/>
                <w:color w:val="auto"/>
                <w:szCs w:val="21"/>
                <w:highlight w:val="none"/>
              </w:rPr>
              <w:t>必须提供，否则响应文件按无效响应处理</w:t>
            </w:r>
            <w:r>
              <w:rPr>
                <w:rFonts w:hint="eastAsia" w:ascii="方正仿宋_GB2312" w:hAnsi="方正仿宋_GB2312" w:eastAsia="方正仿宋_GB2312" w:cs="方正仿宋_GB2312"/>
                <w:color w:val="auto"/>
                <w:szCs w:val="21"/>
                <w:highlight w:val="none"/>
              </w:rPr>
              <w:t>）</w:t>
            </w:r>
          </w:p>
          <w:p w14:paraId="5174CC65">
            <w:pPr>
              <w:snapToGrid w:val="0"/>
              <w:spacing w:line="44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6.资格声明函；（</w:t>
            </w:r>
            <w:r>
              <w:rPr>
                <w:rFonts w:hint="eastAsia" w:ascii="方正仿宋_GB2312" w:hAnsi="方正仿宋_GB2312" w:eastAsia="方正仿宋_GB2312" w:cs="方正仿宋_GB2312"/>
                <w:b/>
                <w:color w:val="auto"/>
                <w:szCs w:val="21"/>
                <w:highlight w:val="none"/>
              </w:rPr>
              <w:t>必须提供，否则响应文件按无效响应处理</w:t>
            </w:r>
            <w:r>
              <w:rPr>
                <w:rFonts w:hint="eastAsia" w:ascii="方正仿宋_GB2312" w:hAnsi="方正仿宋_GB2312" w:eastAsia="方正仿宋_GB2312" w:cs="方正仿宋_GB2312"/>
                <w:color w:val="auto"/>
                <w:szCs w:val="21"/>
                <w:highlight w:val="none"/>
              </w:rPr>
              <w:t>）</w:t>
            </w:r>
          </w:p>
          <w:p w14:paraId="0334DC68">
            <w:pPr>
              <w:shd w:val="clear"/>
              <w:snapToGrid w:val="0"/>
              <w:spacing w:line="44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7.</w:t>
            </w:r>
            <w:r>
              <w:rPr>
                <w:rFonts w:hint="eastAsia" w:ascii="方正仿宋_GB2312" w:hAnsi="方正仿宋_GB2312" w:eastAsia="方正仿宋_GB2312" w:cs="方正仿宋_GB2312"/>
                <w:color w:val="auto"/>
                <w:szCs w:val="21"/>
                <w:highlight w:val="none"/>
                <w:lang w:val="en-US" w:eastAsia="zh-CN"/>
              </w:rPr>
              <w:t>特定资格要求：</w:t>
            </w:r>
            <w:r>
              <w:rPr>
                <w:rFonts w:hint="eastAsia" w:ascii="方正仿宋_GB2312" w:hAnsi="方正仿宋_GB2312" w:eastAsia="方正仿宋_GB2312" w:cs="方正仿宋_GB2312"/>
                <w:color w:val="auto"/>
                <w:szCs w:val="21"/>
                <w:highlight w:val="none"/>
              </w:rPr>
              <w:t>国内注册（指按国家有关规定要求注册的）具备法人资格，具有</w:t>
            </w:r>
            <w:r>
              <w:rPr>
                <w:rFonts w:hint="eastAsia" w:ascii="方正仿宋_GB2312" w:hAnsi="方正仿宋_GB2312" w:eastAsia="方正仿宋_GB2312" w:cs="方正仿宋_GB2312"/>
                <w:color w:val="auto"/>
                <w:szCs w:val="21"/>
                <w:highlight w:val="none"/>
                <w:lang w:eastAsia="zh-CN"/>
              </w:rPr>
              <w:t>公路工程</w:t>
            </w:r>
            <w:r>
              <w:rPr>
                <w:rFonts w:hint="eastAsia" w:ascii="方正仿宋_GB2312" w:hAnsi="方正仿宋_GB2312" w:eastAsia="方正仿宋_GB2312" w:cs="方正仿宋_GB2312"/>
                <w:color w:val="auto"/>
                <w:szCs w:val="21"/>
                <w:highlight w:val="none"/>
                <w:lang w:eastAsia="zh-CN"/>
              </w:rPr>
              <w:t>施工总承包贰级(含贰级)</w:t>
            </w:r>
            <w:r>
              <w:rPr>
                <w:rFonts w:hint="eastAsia" w:ascii="方正仿宋_GB2312" w:hAnsi="方正仿宋_GB2312" w:eastAsia="方正仿宋_GB2312" w:cs="方正仿宋_GB2312"/>
                <w:color w:val="auto"/>
                <w:szCs w:val="21"/>
                <w:highlight w:val="none"/>
              </w:rPr>
              <w:t>以上资质，并在人员、设备、资金等方面具有相应能力的施工企业；  拟投入本工程的项目经理必须具有</w:t>
            </w:r>
            <w:r>
              <w:rPr>
                <w:rFonts w:hint="eastAsia" w:ascii="方正仿宋_GB2312" w:hAnsi="方正仿宋_GB2312" w:eastAsia="方正仿宋_GB2312" w:cs="方正仿宋_GB2312"/>
                <w:color w:val="auto"/>
                <w:szCs w:val="21"/>
                <w:highlight w:val="none"/>
                <w:lang w:eastAsia="zh-CN"/>
              </w:rPr>
              <w:t>公路工程</w:t>
            </w:r>
            <w:r>
              <w:rPr>
                <w:rFonts w:hint="eastAsia" w:ascii="方正仿宋_GB2312" w:hAnsi="方正仿宋_GB2312" w:eastAsia="方正仿宋_GB2312" w:cs="方正仿宋_GB2312"/>
                <w:color w:val="auto"/>
                <w:szCs w:val="21"/>
                <w:highlight w:val="none"/>
                <w:lang w:eastAsia="zh-CN"/>
              </w:rPr>
              <w:t>专业贰级</w:t>
            </w:r>
            <w:r>
              <w:rPr>
                <w:rFonts w:hint="eastAsia" w:ascii="方正仿宋_GB2312" w:hAnsi="方正仿宋_GB2312" w:eastAsia="方正仿宋_GB2312" w:cs="方正仿宋_GB2312"/>
                <w:color w:val="auto"/>
                <w:szCs w:val="21"/>
                <w:highlight w:val="none"/>
              </w:rPr>
              <w:t>（含贰级）以上注册建造师执业资格，并具备有效的安全生产考核合格证书（B类）。（</w:t>
            </w:r>
            <w:r>
              <w:rPr>
                <w:rFonts w:hint="eastAsia" w:ascii="方正仿宋_GB2312" w:hAnsi="方正仿宋_GB2312" w:eastAsia="方正仿宋_GB2312" w:cs="方正仿宋_GB2312"/>
                <w:b/>
                <w:color w:val="auto"/>
                <w:szCs w:val="21"/>
                <w:highlight w:val="none"/>
              </w:rPr>
              <w:t>必须提供，否则响应文件按无效响应处理</w:t>
            </w:r>
            <w:r>
              <w:rPr>
                <w:rFonts w:hint="eastAsia" w:ascii="方正仿宋_GB2312" w:hAnsi="方正仿宋_GB2312" w:eastAsia="方正仿宋_GB2312" w:cs="方正仿宋_GB2312"/>
                <w:color w:val="auto"/>
                <w:szCs w:val="21"/>
                <w:highlight w:val="none"/>
              </w:rPr>
              <w:t>）</w:t>
            </w:r>
          </w:p>
          <w:p w14:paraId="53907E92">
            <w:pPr>
              <w:shd w:val="clear"/>
              <w:snapToGrid w:val="0"/>
              <w:spacing w:line="44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8.中小企业声明函或残疾人福利性单位声明函或供应商属于监狱企业的证明材料；（</w:t>
            </w:r>
            <w:r>
              <w:rPr>
                <w:rFonts w:hint="eastAsia" w:ascii="方正仿宋_GB2312" w:hAnsi="方正仿宋_GB2312" w:eastAsia="方正仿宋_GB2312" w:cs="方正仿宋_GB2312"/>
                <w:b/>
                <w:color w:val="auto"/>
                <w:szCs w:val="21"/>
                <w:highlight w:val="none"/>
              </w:rPr>
              <w:t>必须提供，否则响应文件按无效响应处理</w:t>
            </w:r>
            <w:r>
              <w:rPr>
                <w:rFonts w:hint="eastAsia" w:ascii="方正仿宋_GB2312" w:hAnsi="方正仿宋_GB2312" w:eastAsia="方正仿宋_GB2312" w:cs="方正仿宋_GB2312"/>
                <w:color w:val="auto"/>
                <w:szCs w:val="21"/>
                <w:highlight w:val="none"/>
              </w:rPr>
              <w:t>）</w:t>
            </w:r>
          </w:p>
          <w:p w14:paraId="784AA6C8">
            <w:pPr>
              <w:shd w:val="clear"/>
              <w:snapToGrid w:val="0"/>
              <w:spacing w:line="44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9.除磋商文件规定必须提供以外，供应商认为需要提供的其他证明材料。</w:t>
            </w:r>
            <w:r>
              <w:rPr>
                <w:rFonts w:hint="eastAsia" w:ascii="方正仿宋_GB2312" w:hAnsi="方正仿宋_GB2312" w:eastAsia="方正仿宋_GB2312" w:cs="方正仿宋_GB2312"/>
                <w:b/>
                <w:color w:val="auto"/>
                <w:szCs w:val="21"/>
                <w:highlight w:val="none"/>
              </w:rPr>
              <w:t>（如有，请提供）</w:t>
            </w:r>
          </w:p>
          <w:p w14:paraId="461722F6">
            <w:pPr>
              <w:shd w:val="clear"/>
              <w:snapToGrid w:val="0"/>
              <w:spacing w:line="440" w:lineRule="exact"/>
              <w:jc w:val="lef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注：</w:t>
            </w:r>
          </w:p>
          <w:p w14:paraId="6399666B">
            <w:pPr>
              <w:pStyle w:val="11"/>
              <w:spacing w:line="440" w:lineRule="exact"/>
              <w:ind w:firstLine="422" w:firstLineChars="200"/>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1.以上标明“必须提供”的材料属于复印件的扫描件的，必须加盖供应商电子公章，否则响应文件按无效响应处理。</w:t>
            </w:r>
          </w:p>
        </w:tc>
      </w:tr>
      <w:tr w14:paraId="1B2EF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34B5E835">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12.1.2</w:t>
            </w:r>
          </w:p>
        </w:tc>
        <w:tc>
          <w:tcPr>
            <w:tcW w:w="2427" w:type="dxa"/>
            <w:noWrap w:val="0"/>
            <w:vAlign w:val="center"/>
          </w:tcPr>
          <w:p w14:paraId="29599B16">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bCs/>
                <w:color w:val="auto"/>
                <w:szCs w:val="21"/>
                <w:highlight w:val="none"/>
              </w:rPr>
              <w:t>商务技术文件</w:t>
            </w:r>
          </w:p>
        </w:tc>
        <w:tc>
          <w:tcPr>
            <w:tcW w:w="6644" w:type="dxa"/>
            <w:noWrap w:val="0"/>
            <w:vAlign w:val="center"/>
          </w:tcPr>
          <w:p w14:paraId="0AC4C33D">
            <w:pPr>
              <w:spacing w:line="44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1.无串通竞标行为的承诺函；（</w:t>
            </w:r>
            <w:r>
              <w:rPr>
                <w:rFonts w:hint="eastAsia" w:ascii="方正仿宋_GB2312" w:hAnsi="方正仿宋_GB2312" w:eastAsia="方正仿宋_GB2312" w:cs="方正仿宋_GB2312"/>
                <w:b/>
                <w:color w:val="auto"/>
                <w:szCs w:val="21"/>
                <w:highlight w:val="none"/>
              </w:rPr>
              <w:t>必须提供，否则响应文件按无效响应处理</w:t>
            </w:r>
            <w:r>
              <w:rPr>
                <w:rFonts w:hint="eastAsia" w:ascii="方正仿宋_GB2312" w:hAnsi="方正仿宋_GB2312" w:eastAsia="方正仿宋_GB2312" w:cs="方正仿宋_GB2312"/>
                <w:color w:val="auto"/>
                <w:szCs w:val="21"/>
                <w:highlight w:val="none"/>
              </w:rPr>
              <w:t>）</w:t>
            </w:r>
          </w:p>
          <w:p w14:paraId="2CF34639">
            <w:pPr>
              <w:snapToGrid w:val="0"/>
              <w:spacing w:line="44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2.法定代表人身份证明书及法定代表人有效身份证正反面复印件；（</w:t>
            </w:r>
            <w:r>
              <w:rPr>
                <w:rFonts w:hint="eastAsia" w:ascii="方正仿宋_GB2312" w:hAnsi="方正仿宋_GB2312" w:eastAsia="方正仿宋_GB2312" w:cs="方正仿宋_GB2312"/>
                <w:b/>
                <w:bCs/>
                <w:color w:val="auto"/>
                <w:szCs w:val="21"/>
                <w:highlight w:val="none"/>
              </w:rPr>
              <w:t>除自然人竞标外</w:t>
            </w:r>
            <w:r>
              <w:rPr>
                <w:rFonts w:hint="eastAsia" w:ascii="方正仿宋_GB2312" w:hAnsi="方正仿宋_GB2312" w:eastAsia="方正仿宋_GB2312" w:cs="方正仿宋_GB2312"/>
                <w:b/>
                <w:color w:val="auto"/>
                <w:szCs w:val="21"/>
                <w:highlight w:val="none"/>
              </w:rPr>
              <w:t>必须提供，否则响应文件按无效响应处理</w:t>
            </w:r>
            <w:r>
              <w:rPr>
                <w:rFonts w:hint="eastAsia" w:ascii="方正仿宋_GB2312" w:hAnsi="方正仿宋_GB2312" w:eastAsia="方正仿宋_GB2312" w:cs="方正仿宋_GB2312"/>
                <w:color w:val="auto"/>
                <w:szCs w:val="21"/>
                <w:highlight w:val="none"/>
              </w:rPr>
              <w:t>）</w:t>
            </w:r>
          </w:p>
          <w:p w14:paraId="3A3E99DD">
            <w:pPr>
              <w:spacing w:line="440" w:lineRule="exac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color w:val="auto"/>
                <w:szCs w:val="21"/>
                <w:highlight w:val="none"/>
              </w:rPr>
              <w:t>3.法定代表人授权委托书及委托代理人有效身份证正反面复印件；（</w:t>
            </w:r>
            <w:r>
              <w:rPr>
                <w:rFonts w:hint="eastAsia" w:ascii="方正仿宋_GB2312" w:hAnsi="方正仿宋_GB2312" w:eastAsia="方正仿宋_GB2312" w:cs="方正仿宋_GB2312"/>
                <w:b/>
                <w:color w:val="auto"/>
                <w:szCs w:val="21"/>
                <w:highlight w:val="none"/>
              </w:rPr>
              <w:t>委托时必须提供，否则响应文件按无效响应处理</w:t>
            </w:r>
            <w:r>
              <w:rPr>
                <w:rFonts w:hint="eastAsia" w:ascii="方正仿宋_GB2312" w:hAnsi="方正仿宋_GB2312" w:eastAsia="方正仿宋_GB2312" w:cs="方正仿宋_GB2312"/>
                <w:color w:val="auto"/>
                <w:szCs w:val="21"/>
                <w:highlight w:val="none"/>
              </w:rPr>
              <w:t>）</w:t>
            </w:r>
          </w:p>
          <w:p w14:paraId="26AE322F">
            <w:pPr>
              <w:spacing w:line="44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4.商务条款偏离表；（</w:t>
            </w:r>
            <w:r>
              <w:rPr>
                <w:rFonts w:hint="eastAsia" w:ascii="方正仿宋_GB2312" w:hAnsi="方正仿宋_GB2312" w:eastAsia="方正仿宋_GB2312" w:cs="方正仿宋_GB2312"/>
                <w:b/>
                <w:color w:val="auto"/>
                <w:szCs w:val="21"/>
                <w:highlight w:val="none"/>
              </w:rPr>
              <w:t>必须提供，否则响应文件按无效响应处理</w:t>
            </w:r>
            <w:r>
              <w:rPr>
                <w:rFonts w:hint="eastAsia" w:ascii="方正仿宋_GB2312" w:hAnsi="方正仿宋_GB2312" w:eastAsia="方正仿宋_GB2312" w:cs="方正仿宋_GB2312"/>
                <w:color w:val="auto"/>
                <w:szCs w:val="21"/>
                <w:highlight w:val="none"/>
              </w:rPr>
              <w:t>）</w:t>
            </w:r>
          </w:p>
          <w:p w14:paraId="7D3FAA8E">
            <w:pPr>
              <w:spacing w:line="44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5.竞标人情况介绍；</w:t>
            </w:r>
            <w:r>
              <w:rPr>
                <w:rFonts w:hint="eastAsia" w:ascii="方正仿宋_GB2312" w:hAnsi="方正仿宋_GB2312" w:eastAsia="方正仿宋_GB2312" w:cs="方正仿宋_GB2312"/>
                <w:b/>
                <w:bCs/>
                <w:color w:val="auto"/>
                <w:szCs w:val="21"/>
                <w:highlight w:val="none"/>
              </w:rPr>
              <w:t>（必须提供，否则响应文件按无效响应处理</w:t>
            </w:r>
            <w:r>
              <w:rPr>
                <w:rFonts w:hint="eastAsia" w:ascii="方正仿宋_GB2312" w:hAnsi="方正仿宋_GB2312" w:eastAsia="方正仿宋_GB2312" w:cs="方正仿宋_GB2312"/>
                <w:color w:val="auto"/>
                <w:szCs w:val="21"/>
                <w:highlight w:val="none"/>
              </w:rPr>
              <w:t>）</w:t>
            </w:r>
          </w:p>
          <w:p w14:paraId="2D464C41">
            <w:pPr>
              <w:spacing w:line="44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6.</w:t>
            </w:r>
            <w:r>
              <w:rPr>
                <w:rFonts w:hint="eastAsia" w:ascii="方正仿宋_GB2312" w:hAnsi="方正仿宋_GB2312" w:eastAsia="方正仿宋_GB2312" w:cs="方正仿宋_GB2312"/>
                <w:color w:val="auto"/>
                <w:szCs w:val="21"/>
                <w:highlight w:val="none"/>
                <w:lang w:val="zh-CN"/>
              </w:rPr>
              <w:t>供应商类似的业绩证明文件；</w:t>
            </w:r>
            <w:r>
              <w:rPr>
                <w:rFonts w:hint="eastAsia" w:ascii="方正仿宋_GB2312" w:hAnsi="方正仿宋_GB2312" w:eastAsia="方正仿宋_GB2312" w:cs="方正仿宋_GB2312"/>
                <w:b/>
                <w:color w:val="auto"/>
                <w:szCs w:val="21"/>
                <w:highlight w:val="none"/>
              </w:rPr>
              <w:t>（如有，请提供）</w:t>
            </w:r>
          </w:p>
          <w:p w14:paraId="10B426AB">
            <w:pPr>
              <w:spacing w:line="440" w:lineRule="exac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Cs/>
                <w:color w:val="auto"/>
                <w:szCs w:val="21"/>
                <w:highlight w:val="none"/>
              </w:rPr>
              <w:t>7.技术需求偏离表；</w:t>
            </w:r>
            <w:r>
              <w:rPr>
                <w:rFonts w:hint="eastAsia" w:ascii="方正仿宋_GB2312" w:hAnsi="方正仿宋_GB2312" w:eastAsia="方正仿宋_GB2312" w:cs="方正仿宋_GB2312"/>
                <w:b/>
                <w:color w:val="auto"/>
                <w:szCs w:val="21"/>
                <w:highlight w:val="none"/>
              </w:rPr>
              <w:t>（必须提供，否则响应文件按无效响应处理）</w:t>
            </w:r>
          </w:p>
          <w:p w14:paraId="0682B31C">
            <w:pPr>
              <w:spacing w:line="440" w:lineRule="exac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Cs/>
                <w:color w:val="auto"/>
                <w:szCs w:val="21"/>
                <w:highlight w:val="none"/>
              </w:rPr>
              <w:t>8.施工组织设计；</w:t>
            </w:r>
            <w:r>
              <w:rPr>
                <w:rFonts w:hint="eastAsia" w:ascii="方正仿宋_GB2312" w:hAnsi="方正仿宋_GB2312" w:eastAsia="方正仿宋_GB2312" w:cs="方正仿宋_GB2312"/>
                <w:b/>
                <w:color w:val="auto"/>
                <w:szCs w:val="21"/>
                <w:highlight w:val="none"/>
              </w:rPr>
              <w:t>（必须提供，否则响应文件按无效响应处理）</w:t>
            </w:r>
          </w:p>
          <w:p w14:paraId="29BDFDD9">
            <w:pPr>
              <w:spacing w:line="440" w:lineRule="exac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Cs/>
                <w:color w:val="auto"/>
                <w:szCs w:val="21"/>
                <w:highlight w:val="none"/>
              </w:rPr>
              <w:t>9.项目管理机构；</w:t>
            </w:r>
            <w:r>
              <w:rPr>
                <w:rFonts w:hint="eastAsia" w:ascii="方正仿宋_GB2312" w:hAnsi="方正仿宋_GB2312" w:eastAsia="方正仿宋_GB2312" w:cs="方正仿宋_GB2312"/>
                <w:b/>
                <w:color w:val="auto"/>
                <w:szCs w:val="21"/>
                <w:highlight w:val="none"/>
              </w:rPr>
              <w:t>（必须提供，否则响应文件按无效响应处理）</w:t>
            </w:r>
          </w:p>
          <w:p w14:paraId="347B4857">
            <w:pPr>
              <w:spacing w:line="440" w:lineRule="exac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10.供应商认为需要提供的其他有关资料。</w:t>
            </w:r>
            <w:r>
              <w:rPr>
                <w:rFonts w:hint="eastAsia" w:ascii="方正仿宋_GB2312" w:hAnsi="方正仿宋_GB2312" w:eastAsia="方正仿宋_GB2312" w:cs="方正仿宋_GB2312"/>
                <w:b/>
                <w:color w:val="auto"/>
                <w:szCs w:val="21"/>
                <w:highlight w:val="none"/>
              </w:rPr>
              <w:t>（如有，请提供）</w:t>
            </w:r>
          </w:p>
          <w:p w14:paraId="7F064179">
            <w:pPr>
              <w:snapToGrid w:val="0"/>
              <w:spacing w:line="440" w:lineRule="exact"/>
              <w:jc w:val="lef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 xml:space="preserve">注： </w:t>
            </w:r>
          </w:p>
          <w:p w14:paraId="248CC4C3">
            <w:pPr>
              <w:snapToGrid w:val="0"/>
              <w:spacing w:line="440" w:lineRule="exact"/>
              <w:ind w:firstLine="413" w:firstLineChars="196"/>
              <w:jc w:val="lef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1.法定代表人授权委托书必须由法定代表人及委托代理人签字，并加盖供应商公章，否则响应文件按无效响应处理。</w:t>
            </w:r>
          </w:p>
          <w:p w14:paraId="2C988C4A">
            <w:pPr>
              <w:spacing w:line="440" w:lineRule="exact"/>
              <w:ind w:firstLine="413" w:firstLineChars="196"/>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2.以上标明“必须提供”的材料属于复印件的，必须加盖供应商电子公章，否则响应文件按无效响应处理。</w:t>
            </w:r>
          </w:p>
        </w:tc>
      </w:tr>
      <w:tr w14:paraId="781BA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0242F3BF">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12.1.3</w:t>
            </w:r>
          </w:p>
        </w:tc>
        <w:tc>
          <w:tcPr>
            <w:tcW w:w="2427" w:type="dxa"/>
            <w:noWrap w:val="0"/>
            <w:vAlign w:val="center"/>
          </w:tcPr>
          <w:p w14:paraId="4CDBA9C0">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bCs/>
                <w:color w:val="auto"/>
                <w:szCs w:val="21"/>
                <w:highlight w:val="none"/>
              </w:rPr>
              <w:t>报价文件</w:t>
            </w:r>
          </w:p>
        </w:tc>
        <w:tc>
          <w:tcPr>
            <w:tcW w:w="6644" w:type="dxa"/>
            <w:noWrap w:val="0"/>
            <w:vAlign w:val="center"/>
          </w:tcPr>
          <w:p w14:paraId="3A601FC9">
            <w:pPr>
              <w:spacing w:line="440" w:lineRule="exact"/>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color w:val="auto"/>
                <w:szCs w:val="21"/>
                <w:highlight w:val="none"/>
              </w:rPr>
              <w:t>1.响应函；</w:t>
            </w:r>
            <w:r>
              <w:rPr>
                <w:rFonts w:hint="eastAsia" w:ascii="方正仿宋_GB2312" w:hAnsi="方正仿宋_GB2312" w:eastAsia="方正仿宋_GB2312" w:cs="方正仿宋_GB2312"/>
                <w:b/>
                <w:bCs/>
                <w:color w:val="auto"/>
                <w:szCs w:val="21"/>
                <w:highlight w:val="none"/>
              </w:rPr>
              <w:t>（必须提供，否则作无效响应处理）</w:t>
            </w:r>
          </w:p>
          <w:p w14:paraId="66ECA0D7">
            <w:pPr>
              <w:spacing w:line="440" w:lineRule="exact"/>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color w:val="auto"/>
                <w:szCs w:val="21"/>
                <w:highlight w:val="none"/>
              </w:rPr>
              <w:t>2.响应报价表；</w:t>
            </w:r>
            <w:r>
              <w:rPr>
                <w:rFonts w:hint="eastAsia" w:ascii="方正仿宋_GB2312" w:hAnsi="方正仿宋_GB2312" w:eastAsia="方正仿宋_GB2312" w:cs="方正仿宋_GB2312"/>
                <w:b/>
                <w:bCs/>
                <w:color w:val="auto"/>
                <w:szCs w:val="21"/>
                <w:highlight w:val="none"/>
              </w:rPr>
              <w:t>（必须提供，否则作无效响应处理）</w:t>
            </w:r>
          </w:p>
          <w:p w14:paraId="33940401">
            <w:pPr>
              <w:spacing w:line="440" w:lineRule="exact"/>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color w:val="auto"/>
                <w:szCs w:val="21"/>
                <w:highlight w:val="none"/>
              </w:rPr>
              <w:t>3.已标价工程量清单。</w:t>
            </w:r>
            <w:r>
              <w:rPr>
                <w:rFonts w:hint="eastAsia" w:ascii="方正仿宋_GB2312" w:hAnsi="方正仿宋_GB2312" w:eastAsia="方正仿宋_GB2312" w:cs="方正仿宋_GB2312"/>
                <w:b/>
                <w:bCs/>
                <w:color w:val="auto"/>
                <w:szCs w:val="21"/>
                <w:highlight w:val="none"/>
              </w:rPr>
              <w:t>（必须提供，否则响应文件按无效响应处理）</w:t>
            </w:r>
          </w:p>
          <w:p w14:paraId="3DAEA372">
            <w:pPr>
              <w:spacing w:line="440" w:lineRule="exac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bCs/>
                <w:color w:val="auto"/>
                <w:szCs w:val="21"/>
                <w:highlight w:val="none"/>
              </w:rPr>
              <w:t>注：1.上述材料必须在规定盖章处加盖供应商电子公章，否则作无效响应处理。</w:t>
            </w:r>
          </w:p>
        </w:tc>
      </w:tr>
      <w:tr w14:paraId="361BF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6" w:hRule="atLeast"/>
          <w:jc w:val="center"/>
        </w:trPr>
        <w:tc>
          <w:tcPr>
            <w:tcW w:w="859" w:type="dxa"/>
            <w:noWrap w:val="0"/>
            <w:vAlign w:val="center"/>
          </w:tcPr>
          <w:p w14:paraId="08CDC8CC">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12.2</w:t>
            </w:r>
          </w:p>
        </w:tc>
        <w:tc>
          <w:tcPr>
            <w:tcW w:w="2427" w:type="dxa"/>
            <w:noWrap w:val="0"/>
            <w:vAlign w:val="center"/>
          </w:tcPr>
          <w:p w14:paraId="68016588">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响应文件电子版要求</w:t>
            </w:r>
          </w:p>
        </w:tc>
        <w:tc>
          <w:tcPr>
            <w:tcW w:w="6644" w:type="dxa"/>
            <w:noWrap w:val="0"/>
            <w:vAlign w:val="center"/>
          </w:tcPr>
          <w:p w14:paraId="04213492">
            <w:pPr>
              <w:spacing w:line="44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1.响应文件电子版要求：按照本采购文件“第五章 响应文件格式”编写（第五章未附格式的，由供应商自行拟定），不可涂改并在规定加盖公章处加盖电子公章，否则响应文件按无效响应处理。</w:t>
            </w:r>
          </w:p>
          <w:p w14:paraId="450A6494">
            <w:pPr>
              <w:snapToGrid w:val="0"/>
              <w:spacing w:line="44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2.响应文件电子版密封方式：电子响应文件通过平台有效CA加密后在“广西政府采购云”平台投送。（操作方式见公告附件“电子响应文件制作与投送教程” ）</w:t>
            </w:r>
          </w:p>
        </w:tc>
      </w:tr>
      <w:tr w14:paraId="34A30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318F69E0">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15.2</w:t>
            </w:r>
          </w:p>
        </w:tc>
        <w:tc>
          <w:tcPr>
            <w:tcW w:w="2427" w:type="dxa"/>
            <w:noWrap w:val="0"/>
            <w:vAlign w:val="center"/>
          </w:tcPr>
          <w:p w14:paraId="60068DA2">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响应报价要求</w:t>
            </w:r>
          </w:p>
        </w:tc>
        <w:tc>
          <w:tcPr>
            <w:tcW w:w="6644" w:type="dxa"/>
            <w:noWrap w:val="0"/>
            <w:vAlign w:val="center"/>
          </w:tcPr>
          <w:p w14:paraId="4D8C92C7">
            <w:pPr>
              <w:snapToGrid w:val="0"/>
              <w:spacing w:line="44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竞标报价必须包含满足本次竞标全部采购需求所应提供的内容，以及伴随的货物和工程（如有）的价格；包含竞标服务、货物、工程的成本、运输（含保险）、安装（如有）、调试、检验、技术服务、培训、税费等所有费用。</w:t>
            </w:r>
          </w:p>
        </w:tc>
      </w:tr>
      <w:tr w14:paraId="79CC6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78570C90">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16.2</w:t>
            </w:r>
          </w:p>
        </w:tc>
        <w:tc>
          <w:tcPr>
            <w:tcW w:w="2427" w:type="dxa"/>
            <w:noWrap w:val="0"/>
            <w:vAlign w:val="center"/>
          </w:tcPr>
          <w:p w14:paraId="7B4F1F16">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竞标有效期</w:t>
            </w:r>
          </w:p>
        </w:tc>
        <w:tc>
          <w:tcPr>
            <w:tcW w:w="6644" w:type="dxa"/>
            <w:noWrap w:val="0"/>
            <w:vAlign w:val="center"/>
          </w:tcPr>
          <w:p w14:paraId="15B02A7C">
            <w:pPr>
              <w:pStyle w:val="10"/>
              <w:widowControl w:val="0"/>
              <w:tabs>
                <w:tab w:val="clear" w:pos="454"/>
              </w:tabs>
              <w:snapToGrid w:val="0"/>
              <w:spacing w:after="0" w:afterLines="0" w:line="440" w:lineRule="exact"/>
              <w:ind w:left="283" w:hanging="283" w:hangingChars="135"/>
              <w:rPr>
                <w:rFonts w:hint="eastAsia" w:ascii="方正仿宋_GB2312" w:hAnsi="方正仿宋_GB2312" w:eastAsia="方正仿宋_GB2312" w:cs="方正仿宋_GB2312"/>
                <w:color w:val="auto"/>
                <w:kern w:val="2"/>
                <w:sz w:val="21"/>
                <w:szCs w:val="21"/>
                <w:highlight w:val="none"/>
              </w:rPr>
            </w:pPr>
            <w:r>
              <w:rPr>
                <w:rFonts w:hint="eastAsia" w:ascii="方正仿宋_GB2312" w:hAnsi="方正仿宋_GB2312" w:eastAsia="方正仿宋_GB2312" w:cs="方正仿宋_GB2312"/>
                <w:color w:val="auto"/>
                <w:kern w:val="2"/>
                <w:sz w:val="21"/>
                <w:szCs w:val="21"/>
                <w:highlight w:val="none"/>
              </w:rPr>
              <w:t>自首次响应文件提交截止之日起</w:t>
            </w:r>
            <w:bookmarkStart w:id="37" w:name="PO_3000001868_PM046"/>
            <w:r>
              <w:rPr>
                <w:rFonts w:hint="eastAsia" w:ascii="方正仿宋_GB2312" w:hAnsi="方正仿宋_GB2312" w:eastAsia="方正仿宋_GB2312" w:cs="方正仿宋_GB2312"/>
                <w:color w:val="auto"/>
                <w:kern w:val="2"/>
                <w:sz w:val="21"/>
                <w:szCs w:val="21"/>
                <w:highlight w:val="none"/>
                <w:u w:val="single"/>
              </w:rPr>
              <w:t>60日历天</w:t>
            </w:r>
            <w:bookmarkEnd w:id="37"/>
            <w:r>
              <w:rPr>
                <w:rFonts w:hint="eastAsia" w:ascii="方正仿宋_GB2312" w:hAnsi="方正仿宋_GB2312" w:eastAsia="方正仿宋_GB2312" w:cs="方正仿宋_GB2312"/>
                <w:color w:val="auto"/>
                <w:kern w:val="2"/>
                <w:sz w:val="21"/>
                <w:szCs w:val="21"/>
                <w:highlight w:val="none"/>
              </w:rPr>
              <w:t>。</w:t>
            </w:r>
          </w:p>
        </w:tc>
      </w:tr>
      <w:tr w14:paraId="22BA4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4ECCDD63">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17.1</w:t>
            </w:r>
          </w:p>
        </w:tc>
        <w:tc>
          <w:tcPr>
            <w:tcW w:w="2427" w:type="dxa"/>
            <w:noWrap w:val="0"/>
            <w:vAlign w:val="center"/>
          </w:tcPr>
          <w:p w14:paraId="0E36C63D">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磋商保证金</w:t>
            </w:r>
          </w:p>
        </w:tc>
        <w:tc>
          <w:tcPr>
            <w:tcW w:w="6644" w:type="dxa"/>
            <w:noWrap w:val="0"/>
            <w:vAlign w:val="center"/>
          </w:tcPr>
          <w:p w14:paraId="0370ECCC">
            <w:pPr>
              <w:widowControl/>
              <w:spacing w:line="44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kern w:val="0"/>
                <w:szCs w:val="21"/>
                <w:highlight w:val="none"/>
                <w:lang w:bidi="ar"/>
              </w:rPr>
              <w:t>本项目不收取磋商保证金。</w:t>
            </w:r>
          </w:p>
        </w:tc>
      </w:tr>
      <w:tr w14:paraId="60184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59" w:type="dxa"/>
            <w:vMerge w:val="restart"/>
            <w:noWrap w:val="0"/>
            <w:vAlign w:val="center"/>
          </w:tcPr>
          <w:p w14:paraId="2A282BA4">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20.1</w:t>
            </w:r>
          </w:p>
        </w:tc>
        <w:tc>
          <w:tcPr>
            <w:tcW w:w="2427" w:type="dxa"/>
            <w:noWrap w:val="0"/>
            <w:vAlign w:val="center"/>
          </w:tcPr>
          <w:p w14:paraId="5FADE41E">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首次响应文件提交起止时间</w:t>
            </w:r>
          </w:p>
        </w:tc>
        <w:tc>
          <w:tcPr>
            <w:tcW w:w="6644" w:type="dxa"/>
            <w:noWrap w:val="0"/>
            <w:vAlign w:val="center"/>
          </w:tcPr>
          <w:p w14:paraId="0F7F5F57">
            <w:pPr>
              <w:snapToGrid w:val="0"/>
              <w:spacing w:line="440" w:lineRule="exact"/>
              <w:jc w:val="left"/>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详见竞争性磋商公告。</w:t>
            </w:r>
          </w:p>
        </w:tc>
      </w:tr>
      <w:tr w14:paraId="3A5D0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59" w:type="dxa"/>
            <w:vMerge w:val="continue"/>
            <w:noWrap w:val="0"/>
            <w:vAlign w:val="center"/>
          </w:tcPr>
          <w:p w14:paraId="1DAF0A43">
            <w:pPr>
              <w:spacing w:line="440" w:lineRule="exact"/>
              <w:jc w:val="center"/>
              <w:rPr>
                <w:rFonts w:hint="eastAsia" w:ascii="方正仿宋_GB2312" w:hAnsi="方正仿宋_GB2312" w:eastAsia="方正仿宋_GB2312" w:cs="方正仿宋_GB2312"/>
                <w:color w:val="auto"/>
                <w:szCs w:val="21"/>
                <w:highlight w:val="none"/>
              </w:rPr>
            </w:pPr>
          </w:p>
        </w:tc>
        <w:tc>
          <w:tcPr>
            <w:tcW w:w="2427" w:type="dxa"/>
            <w:noWrap w:val="0"/>
            <w:vAlign w:val="center"/>
          </w:tcPr>
          <w:p w14:paraId="055E3F9E">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首次响应文件提交地点</w:t>
            </w:r>
          </w:p>
        </w:tc>
        <w:tc>
          <w:tcPr>
            <w:tcW w:w="6644" w:type="dxa"/>
            <w:noWrap w:val="0"/>
            <w:vAlign w:val="center"/>
          </w:tcPr>
          <w:p w14:paraId="6767BDC6">
            <w:pPr>
              <w:snapToGrid w:val="0"/>
              <w:spacing w:line="440" w:lineRule="exact"/>
              <w:jc w:val="left"/>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详见竞争性磋商公告。</w:t>
            </w:r>
          </w:p>
        </w:tc>
      </w:tr>
      <w:tr w14:paraId="3C9F5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59" w:type="dxa"/>
            <w:noWrap w:val="0"/>
            <w:vAlign w:val="center"/>
          </w:tcPr>
          <w:p w14:paraId="4A9888A0">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20.6</w:t>
            </w:r>
          </w:p>
        </w:tc>
        <w:tc>
          <w:tcPr>
            <w:tcW w:w="2427" w:type="dxa"/>
            <w:noWrap w:val="0"/>
            <w:vAlign w:val="center"/>
          </w:tcPr>
          <w:p w14:paraId="088A362F">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备份响应文件</w:t>
            </w:r>
          </w:p>
        </w:tc>
        <w:tc>
          <w:tcPr>
            <w:tcW w:w="6644" w:type="dxa"/>
            <w:noWrap w:val="0"/>
            <w:vAlign w:val="center"/>
          </w:tcPr>
          <w:p w14:paraId="43E9B231">
            <w:pPr>
              <w:snapToGrid w:val="0"/>
              <w:spacing w:line="44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本项目不接受备份响应文件。</w:t>
            </w:r>
          </w:p>
        </w:tc>
      </w:tr>
      <w:tr w14:paraId="2A426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59" w:type="dxa"/>
            <w:noWrap w:val="0"/>
            <w:vAlign w:val="center"/>
          </w:tcPr>
          <w:p w14:paraId="4CB72C90">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21</w:t>
            </w:r>
          </w:p>
        </w:tc>
        <w:tc>
          <w:tcPr>
            <w:tcW w:w="2427" w:type="dxa"/>
            <w:noWrap w:val="0"/>
            <w:vAlign w:val="center"/>
          </w:tcPr>
          <w:p w14:paraId="3E15143A">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首次响应文件的退回</w:t>
            </w:r>
          </w:p>
        </w:tc>
        <w:tc>
          <w:tcPr>
            <w:tcW w:w="6644" w:type="dxa"/>
            <w:noWrap w:val="0"/>
            <w:vAlign w:val="center"/>
          </w:tcPr>
          <w:p w14:paraId="0E4BAD22">
            <w:pPr>
              <w:snapToGrid w:val="0"/>
              <w:spacing w:line="44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详见竞争性磋商公告。</w:t>
            </w:r>
          </w:p>
        </w:tc>
      </w:tr>
      <w:tr w14:paraId="29C4D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59" w:type="dxa"/>
            <w:vMerge w:val="restart"/>
            <w:noWrap w:val="0"/>
            <w:vAlign w:val="center"/>
          </w:tcPr>
          <w:p w14:paraId="595543F6">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26.2</w:t>
            </w:r>
          </w:p>
        </w:tc>
        <w:tc>
          <w:tcPr>
            <w:tcW w:w="2427" w:type="dxa"/>
            <w:noWrap w:val="0"/>
            <w:vAlign w:val="center"/>
          </w:tcPr>
          <w:p w14:paraId="14A52FC3">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负偏离要求</w:t>
            </w:r>
          </w:p>
        </w:tc>
        <w:tc>
          <w:tcPr>
            <w:tcW w:w="6644" w:type="dxa"/>
            <w:noWrap w:val="0"/>
            <w:vAlign w:val="center"/>
          </w:tcPr>
          <w:p w14:paraId="36A89F5C">
            <w:pPr>
              <w:snapToGrid w:val="0"/>
              <w:spacing w:line="44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商务条款评审中允许负偏离的条款数为</w:t>
            </w:r>
            <w:r>
              <w:rPr>
                <w:rFonts w:hint="eastAsia" w:ascii="方正仿宋_GB2312" w:hAnsi="方正仿宋_GB2312" w:eastAsia="方正仿宋_GB2312" w:cs="方正仿宋_GB2312"/>
                <w:color w:val="auto"/>
                <w:szCs w:val="21"/>
                <w:highlight w:val="none"/>
                <w:u w:val="single"/>
              </w:rPr>
              <w:t xml:space="preserve"> 0 </w:t>
            </w:r>
            <w:r>
              <w:rPr>
                <w:rFonts w:hint="eastAsia" w:ascii="方正仿宋_GB2312" w:hAnsi="方正仿宋_GB2312" w:eastAsia="方正仿宋_GB2312" w:cs="方正仿宋_GB2312"/>
                <w:color w:val="auto"/>
                <w:szCs w:val="21"/>
                <w:highlight w:val="none"/>
              </w:rPr>
              <w:t>项。</w:t>
            </w:r>
          </w:p>
          <w:p w14:paraId="513C997A">
            <w:pPr>
              <w:snapToGrid w:val="0"/>
              <w:spacing w:line="44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技术需求评审中允许负偏离的条款数为</w:t>
            </w:r>
            <w:r>
              <w:rPr>
                <w:rFonts w:hint="eastAsia" w:ascii="方正仿宋_GB2312" w:hAnsi="方正仿宋_GB2312" w:eastAsia="方正仿宋_GB2312" w:cs="方正仿宋_GB2312"/>
                <w:color w:val="auto"/>
                <w:szCs w:val="21"/>
                <w:highlight w:val="none"/>
                <w:u w:val="single"/>
              </w:rPr>
              <w:t xml:space="preserve"> 0 </w:t>
            </w:r>
            <w:r>
              <w:rPr>
                <w:rFonts w:hint="eastAsia" w:ascii="方正仿宋_GB2312" w:hAnsi="方正仿宋_GB2312" w:eastAsia="方正仿宋_GB2312" w:cs="方正仿宋_GB2312"/>
                <w:color w:val="auto"/>
                <w:szCs w:val="21"/>
                <w:highlight w:val="none"/>
              </w:rPr>
              <w:t>项。</w:t>
            </w:r>
          </w:p>
        </w:tc>
      </w:tr>
      <w:tr w14:paraId="69215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vMerge w:val="continue"/>
            <w:noWrap w:val="0"/>
            <w:vAlign w:val="center"/>
          </w:tcPr>
          <w:p w14:paraId="1339D11F">
            <w:pPr>
              <w:spacing w:line="440" w:lineRule="exact"/>
              <w:jc w:val="center"/>
              <w:rPr>
                <w:rFonts w:hint="eastAsia" w:ascii="方正仿宋_GB2312" w:hAnsi="方正仿宋_GB2312" w:eastAsia="方正仿宋_GB2312" w:cs="方正仿宋_GB2312"/>
                <w:color w:val="auto"/>
                <w:szCs w:val="21"/>
                <w:highlight w:val="none"/>
              </w:rPr>
            </w:pPr>
          </w:p>
        </w:tc>
        <w:tc>
          <w:tcPr>
            <w:tcW w:w="2427" w:type="dxa"/>
            <w:noWrap w:val="0"/>
            <w:vAlign w:val="center"/>
          </w:tcPr>
          <w:p w14:paraId="22CE9488">
            <w:pPr>
              <w:snapToGrid w:val="0"/>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磋商的顺序</w:t>
            </w:r>
          </w:p>
        </w:tc>
        <w:tc>
          <w:tcPr>
            <w:tcW w:w="6644" w:type="dxa"/>
            <w:noWrap w:val="0"/>
            <w:vAlign w:val="center"/>
          </w:tcPr>
          <w:p w14:paraId="3FD0A718">
            <w:pPr>
              <w:pStyle w:val="11"/>
              <w:spacing w:line="44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□按照提交首次响应文件的顺序，通知磋商时，若某供应商不在通知现场时，该供应商排序到最后磋商，按照签到的顺序由其下一位供应商先参与磋商。</w:t>
            </w:r>
          </w:p>
          <w:p w14:paraId="3F3949C8">
            <w:pPr>
              <w:snapToGrid w:val="0"/>
              <w:spacing w:line="44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Cs/>
                <w:color w:val="auto"/>
                <w:szCs w:val="21"/>
                <w:highlight w:val="none"/>
              </w:rPr>
              <w:t>☑</w:t>
            </w:r>
            <w:r>
              <w:rPr>
                <w:rFonts w:hint="eastAsia" w:ascii="方正仿宋_GB2312" w:hAnsi="方正仿宋_GB2312" w:eastAsia="方正仿宋_GB2312" w:cs="方正仿宋_GB2312"/>
                <w:color w:val="auto"/>
                <w:szCs w:val="21"/>
                <w:highlight w:val="none"/>
              </w:rPr>
              <w:t>随机排序。</w:t>
            </w:r>
          </w:p>
          <w:p w14:paraId="382FF631">
            <w:pPr>
              <w:pStyle w:val="11"/>
              <w:spacing w:line="440" w:lineRule="exac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4A734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6AC325CC">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28</w:t>
            </w:r>
          </w:p>
        </w:tc>
        <w:tc>
          <w:tcPr>
            <w:tcW w:w="2427" w:type="dxa"/>
            <w:noWrap w:val="0"/>
            <w:vAlign w:val="center"/>
          </w:tcPr>
          <w:p w14:paraId="24C5D438">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履约保证金</w:t>
            </w:r>
          </w:p>
        </w:tc>
        <w:tc>
          <w:tcPr>
            <w:tcW w:w="6644" w:type="dxa"/>
            <w:noWrap w:val="0"/>
            <w:vAlign w:val="center"/>
          </w:tcPr>
          <w:p w14:paraId="76442F87">
            <w:pPr>
              <w:snapToGrid w:val="0"/>
              <w:spacing w:line="44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本项目不收取履约保证金 。</w:t>
            </w:r>
          </w:p>
        </w:tc>
      </w:tr>
      <w:tr w14:paraId="61B7C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241E3E7A">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29.5</w:t>
            </w:r>
          </w:p>
        </w:tc>
        <w:tc>
          <w:tcPr>
            <w:tcW w:w="2427" w:type="dxa"/>
            <w:noWrap w:val="0"/>
            <w:vAlign w:val="center"/>
          </w:tcPr>
          <w:p w14:paraId="0F140032">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签订合同携带的材料</w:t>
            </w:r>
          </w:p>
        </w:tc>
        <w:tc>
          <w:tcPr>
            <w:tcW w:w="6644" w:type="dxa"/>
            <w:noWrap w:val="0"/>
            <w:vAlign w:val="center"/>
          </w:tcPr>
          <w:p w14:paraId="51255EBB">
            <w:pPr>
              <w:snapToGrid w:val="0"/>
              <w:spacing w:line="44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使用的有效CA证书加盖单位电子公章</w:t>
            </w:r>
          </w:p>
        </w:tc>
      </w:tr>
      <w:tr w14:paraId="657DF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vMerge w:val="restart"/>
            <w:noWrap w:val="0"/>
            <w:vAlign w:val="center"/>
          </w:tcPr>
          <w:p w14:paraId="537721D8">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31.2</w:t>
            </w:r>
          </w:p>
        </w:tc>
        <w:tc>
          <w:tcPr>
            <w:tcW w:w="2427" w:type="dxa"/>
            <w:noWrap w:val="0"/>
            <w:vAlign w:val="center"/>
          </w:tcPr>
          <w:p w14:paraId="083C982C">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接收质疑函方式</w:t>
            </w:r>
          </w:p>
        </w:tc>
        <w:tc>
          <w:tcPr>
            <w:tcW w:w="6644" w:type="dxa"/>
            <w:noWrap w:val="0"/>
            <w:vAlign w:val="center"/>
          </w:tcPr>
          <w:p w14:paraId="776A0F7B">
            <w:pPr>
              <w:snapToGrid w:val="0"/>
              <w:spacing w:line="44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以书面形式</w:t>
            </w:r>
          </w:p>
        </w:tc>
      </w:tr>
      <w:tr w14:paraId="44CAA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vMerge w:val="continue"/>
            <w:noWrap w:val="0"/>
            <w:vAlign w:val="center"/>
          </w:tcPr>
          <w:p w14:paraId="6E26D2CA">
            <w:pPr>
              <w:spacing w:line="440" w:lineRule="exact"/>
              <w:jc w:val="center"/>
              <w:rPr>
                <w:rFonts w:hint="eastAsia" w:ascii="方正仿宋_GB2312" w:hAnsi="方正仿宋_GB2312" w:eastAsia="方正仿宋_GB2312" w:cs="方正仿宋_GB2312"/>
                <w:color w:val="auto"/>
                <w:szCs w:val="21"/>
                <w:highlight w:val="none"/>
              </w:rPr>
            </w:pPr>
          </w:p>
        </w:tc>
        <w:tc>
          <w:tcPr>
            <w:tcW w:w="2427" w:type="dxa"/>
            <w:noWrap w:val="0"/>
            <w:vAlign w:val="center"/>
          </w:tcPr>
          <w:p w14:paraId="437A3708">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质疑联系部门及联系方式</w:t>
            </w:r>
          </w:p>
        </w:tc>
        <w:tc>
          <w:tcPr>
            <w:tcW w:w="6644" w:type="dxa"/>
            <w:noWrap w:val="0"/>
            <w:vAlign w:val="center"/>
          </w:tcPr>
          <w:p w14:paraId="07AB34F9">
            <w:pPr>
              <w:snapToGrid w:val="0"/>
              <w:spacing w:line="38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（1）广西同盛工程咨询有限公司</w:t>
            </w:r>
          </w:p>
          <w:p w14:paraId="11939C60">
            <w:pPr>
              <w:snapToGrid w:val="0"/>
              <w:spacing w:line="38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联系电话：0771-3948200</w:t>
            </w:r>
          </w:p>
          <w:p w14:paraId="120848D8">
            <w:pPr>
              <w:snapToGrid w:val="0"/>
              <w:spacing w:line="38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通讯地址：南宁市江南区金凯路26号7楼</w:t>
            </w:r>
          </w:p>
          <w:p w14:paraId="704542BA">
            <w:pPr>
              <w:snapToGrid w:val="0"/>
              <w:spacing w:line="380" w:lineRule="exact"/>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rPr>
              <w:t>（2）</w:t>
            </w:r>
            <w:r>
              <w:rPr>
                <w:rFonts w:hint="eastAsia" w:ascii="方正仿宋_GB2312" w:hAnsi="方正仿宋_GB2312" w:eastAsia="方正仿宋_GB2312" w:cs="方正仿宋_GB2312"/>
                <w:color w:val="auto"/>
                <w:szCs w:val="21"/>
                <w:highlight w:val="none"/>
                <w:lang w:eastAsia="zh-CN"/>
              </w:rPr>
              <w:t>马山县百龙滩镇人民政府</w:t>
            </w:r>
          </w:p>
          <w:p w14:paraId="6EF55DB9">
            <w:pPr>
              <w:snapToGrid w:val="0"/>
              <w:spacing w:line="380" w:lineRule="exact"/>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rPr>
              <w:t>联系电话：</w:t>
            </w:r>
            <w:r>
              <w:rPr>
                <w:rFonts w:hint="eastAsia" w:ascii="方正仿宋_GB2312" w:hAnsi="方正仿宋_GB2312" w:eastAsia="方正仿宋_GB2312" w:cs="方正仿宋_GB2312"/>
                <w:color w:val="auto"/>
                <w:szCs w:val="21"/>
                <w:highlight w:val="none"/>
                <w:lang w:eastAsia="zh-CN"/>
              </w:rPr>
              <w:t>0771-6802018</w:t>
            </w:r>
          </w:p>
          <w:p w14:paraId="2B7DA0EC">
            <w:pPr>
              <w:snapToGrid w:val="0"/>
              <w:spacing w:line="44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通讯地址：</w:t>
            </w:r>
            <w:r>
              <w:rPr>
                <w:rFonts w:hint="eastAsia" w:ascii="方正仿宋_GB2312" w:hAnsi="方正仿宋_GB2312" w:eastAsia="方正仿宋_GB2312" w:cs="方正仿宋_GB2312"/>
                <w:color w:val="auto"/>
                <w:szCs w:val="21"/>
                <w:highlight w:val="none"/>
                <w:lang w:eastAsia="zh-CN"/>
              </w:rPr>
              <w:t>马山县百龙滩镇百龙大道509号</w:t>
            </w:r>
            <w:r>
              <w:rPr>
                <w:rFonts w:hint="eastAsia" w:ascii="方正仿宋_GB2312" w:hAnsi="方正仿宋_GB2312" w:eastAsia="方正仿宋_GB2312" w:cs="方正仿宋_GB2312"/>
                <w:color w:val="auto"/>
                <w:szCs w:val="21"/>
                <w:highlight w:val="none"/>
              </w:rPr>
              <w:t xml:space="preserve">       </w:t>
            </w:r>
            <w:r>
              <w:rPr>
                <w:rFonts w:hint="eastAsia" w:ascii="方正仿宋_GB2312" w:hAnsi="方正仿宋_GB2312" w:eastAsia="方正仿宋_GB2312" w:cs="方正仿宋_GB2312"/>
                <w:color w:val="auto"/>
                <w:szCs w:val="21"/>
                <w:highlight w:val="none"/>
              </w:rPr>
              <w:t xml:space="preserve">    </w:t>
            </w:r>
          </w:p>
        </w:tc>
      </w:tr>
      <w:tr w14:paraId="1ED47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vMerge w:val="continue"/>
            <w:noWrap w:val="0"/>
            <w:vAlign w:val="center"/>
          </w:tcPr>
          <w:p w14:paraId="348A5E70">
            <w:pPr>
              <w:spacing w:line="440" w:lineRule="exact"/>
              <w:jc w:val="center"/>
              <w:rPr>
                <w:rFonts w:hint="eastAsia" w:ascii="方正仿宋_GB2312" w:hAnsi="方正仿宋_GB2312" w:eastAsia="方正仿宋_GB2312" w:cs="方正仿宋_GB2312"/>
                <w:color w:val="auto"/>
                <w:szCs w:val="21"/>
                <w:highlight w:val="none"/>
              </w:rPr>
            </w:pPr>
          </w:p>
        </w:tc>
        <w:tc>
          <w:tcPr>
            <w:tcW w:w="2427" w:type="dxa"/>
            <w:noWrap w:val="0"/>
            <w:vAlign w:val="center"/>
          </w:tcPr>
          <w:p w14:paraId="62DCFDE9">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现场提交质疑办理业务时间</w:t>
            </w:r>
          </w:p>
        </w:tc>
        <w:tc>
          <w:tcPr>
            <w:tcW w:w="6644" w:type="dxa"/>
            <w:noWrap w:val="0"/>
            <w:vAlign w:val="center"/>
          </w:tcPr>
          <w:p w14:paraId="5E30BF83">
            <w:pPr>
              <w:snapToGrid w:val="0"/>
              <w:spacing w:line="44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质疑期内每个工作日</w:t>
            </w:r>
            <w:r>
              <w:rPr>
                <w:rFonts w:hint="eastAsia" w:ascii="方正仿宋_GB2312" w:hAnsi="方正仿宋_GB2312" w:eastAsia="方正仿宋_GB2312" w:cs="方正仿宋_GB2312"/>
                <w:color w:val="auto"/>
                <w:szCs w:val="21"/>
                <w:highlight w:val="none"/>
                <w:u w:val="single"/>
              </w:rPr>
              <w:t>09</w:t>
            </w:r>
            <w:r>
              <w:rPr>
                <w:rFonts w:hint="eastAsia" w:ascii="方正仿宋_GB2312" w:hAnsi="方正仿宋_GB2312" w:eastAsia="方正仿宋_GB2312" w:cs="方正仿宋_GB2312"/>
                <w:color w:val="auto"/>
                <w:szCs w:val="21"/>
                <w:highlight w:val="none"/>
              </w:rPr>
              <w:t>时</w:t>
            </w:r>
            <w:r>
              <w:rPr>
                <w:rFonts w:hint="eastAsia" w:ascii="方正仿宋_GB2312" w:hAnsi="方正仿宋_GB2312" w:eastAsia="方正仿宋_GB2312" w:cs="方正仿宋_GB2312"/>
                <w:color w:val="auto"/>
                <w:szCs w:val="21"/>
                <w:highlight w:val="none"/>
                <w:u w:val="single"/>
              </w:rPr>
              <w:t>0</w:t>
            </w:r>
            <w:r>
              <w:rPr>
                <w:rFonts w:hint="eastAsia" w:ascii="方正仿宋_GB2312" w:hAnsi="方正仿宋_GB2312" w:eastAsia="方正仿宋_GB2312" w:cs="方正仿宋_GB2312"/>
                <w:color w:val="auto"/>
                <w:szCs w:val="21"/>
                <w:highlight w:val="none"/>
                <w:u w:val="single"/>
                <w:lang w:val="en-US" w:eastAsia="zh-CN"/>
              </w:rPr>
              <w:t>0</w:t>
            </w:r>
            <w:r>
              <w:rPr>
                <w:rFonts w:hint="eastAsia" w:ascii="方正仿宋_GB2312" w:hAnsi="方正仿宋_GB2312" w:eastAsia="方正仿宋_GB2312" w:cs="方正仿宋_GB2312"/>
                <w:color w:val="auto"/>
                <w:szCs w:val="21"/>
                <w:highlight w:val="none"/>
              </w:rPr>
              <w:t>分到</w:t>
            </w:r>
            <w:r>
              <w:rPr>
                <w:rFonts w:hint="eastAsia" w:ascii="方正仿宋_GB2312" w:hAnsi="方正仿宋_GB2312" w:eastAsia="方正仿宋_GB2312" w:cs="方正仿宋_GB2312"/>
                <w:color w:val="auto"/>
                <w:szCs w:val="21"/>
                <w:highlight w:val="none"/>
                <w:u w:val="single"/>
              </w:rPr>
              <w:t>12</w:t>
            </w:r>
            <w:r>
              <w:rPr>
                <w:rFonts w:hint="eastAsia" w:ascii="方正仿宋_GB2312" w:hAnsi="方正仿宋_GB2312" w:eastAsia="方正仿宋_GB2312" w:cs="方正仿宋_GB2312"/>
                <w:color w:val="auto"/>
                <w:szCs w:val="21"/>
                <w:highlight w:val="none"/>
              </w:rPr>
              <w:t>时</w:t>
            </w:r>
            <w:r>
              <w:rPr>
                <w:rFonts w:hint="eastAsia" w:ascii="方正仿宋_GB2312" w:hAnsi="方正仿宋_GB2312" w:eastAsia="方正仿宋_GB2312" w:cs="方正仿宋_GB2312"/>
                <w:color w:val="auto"/>
                <w:szCs w:val="21"/>
                <w:highlight w:val="none"/>
                <w:u w:val="single"/>
              </w:rPr>
              <w:t>00</w:t>
            </w:r>
            <w:r>
              <w:rPr>
                <w:rFonts w:hint="eastAsia" w:ascii="方正仿宋_GB2312" w:hAnsi="方正仿宋_GB2312" w:eastAsia="方正仿宋_GB2312" w:cs="方正仿宋_GB2312"/>
                <w:color w:val="auto"/>
                <w:szCs w:val="21"/>
                <w:highlight w:val="none"/>
              </w:rPr>
              <w:t>分，</w:t>
            </w:r>
            <w:r>
              <w:rPr>
                <w:rFonts w:hint="eastAsia" w:ascii="方正仿宋_GB2312" w:hAnsi="方正仿宋_GB2312" w:eastAsia="方正仿宋_GB2312" w:cs="方正仿宋_GB2312"/>
                <w:color w:val="auto"/>
                <w:szCs w:val="21"/>
                <w:highlight w:val="none"/>
                <w:u w:val="single"/>
              </w:rPr>
              <w:t>14</w:t>
            </w:r>
            <w:r>
              <w:rPr>
                <w:rFonts w:hint="eastAsia" w:ascii="方正仿宋_GB2312" w:hAnsi="方正仿宋_GB2312" w:eastAsia="方正仿宋_GB2312" w:cs="方正仿宋_GB2312"/>
                <w:color w:val="auto"/>
                <w:szCs w:val="21"/>
                <w:highlight w:val="none"/>
              </w:rPr>
              <w:t>时</w:t>
            </w:r>
            <w:r>
              <w:rPr>
                <w:rFonts w:hint="eastAsia" w:ascii="方正仿宋_GB2312" w:hAnsi="方正仿宋_GB2312" w:eastAsia="方正仿宋_GB2312" w:cs="方正仿宋_GB2312"/>
                <w:color w:val="auto"/>
                <w:szCs w:val="21"/>
                <w:highlight w:val="none"/>
                <w:u w:val="single"/>
              </w:rPr>
              <w:t>30</w:t>
            </w:r>
            <w:r>
              <w:rPr>
                <w:rFonts w:hint="eastAsia" w:ascii="方正仿宋_GB2312" w:hAnsi="方正仿宋_GB2312" w:eastAsia="方正仿宋_GB2312" w:cs="方正仿宋_GB2312"/>
                <w:color w:val="auto"/>
                <w:szCs w:val="21"/>
                <w:highlight w:val="none"/>
              </w:rPr>
              <w:t>分到</w:t>
            </w:r>
            <w:r>
              <w:rPr>
                <w:rFonts w:hint="eastAsia" w:ascii="方正仿宋_GB2312" w:hAnsi="方正仿宋_GB2312" w:eastAsia="方正仿宋_GB2312" w:cs="方正仿宋_GB2312"/>
                <w:color w:val="auto"/>
                <w:szCs w:val="21"/>
                <w:highlight w:val="none"/>
                <w:u w:val="single"/>
              </w:rPr>
              <w:t>18</w:t>
            </w:r>
            <w:r>
              <w:rPr>
                <w:rFonts w:hint="eastAsia" w:ascii="方正仿宋_GB2312" w:hAnsi="方正仿宋_GB2312" w:eastAsia="方正仿宋_GB2312" w:cs="方正仿宋_GB2312"/>
                <w:color w:val="auto"/>
                <w:szCs w:val="21"/>
                <w:highlight w:val="none"/>
              </w:rPr>
              <w:t>时</w:t>
            </w:r>
            <w:r>
              <w:rPr>
                <w:rFonts w:hint="eastAsia" w:ascii="方正仿宋_GB2312" w:hAnsi="方正仿宋_GB2312" w:eastAsia="方正仿宋_GB2312" w:cs="方正仿宋_GB2312"/>
                <w:color w:val="auto"/>
                <w:szCs w:val="21"/>
                <w:highlight w:val="none"/>
                <w:u w:val="single"/>
              </w:rPr>
              <w:t>00</w:t>
            </w:r>
            <w:r>
              <w:rPr>
                <w:rFonts w:hint="eastAsia" w:ascii="方正仿宋_GB2312" w:hAnsi="方正仿宋_GB2312" w:eastAsia="方正仿宋_GB2312" w:cs="方正仿宋_GB2312"/>
                <w:color w:val="auto"/>
                <w:szCs w:val="21"/>
                <w:highlight w:val="none"/>
              </w:rPr>
              <w:t>分</w:t>
            </w:r>
          </w:p>
        </w:tc>
      </w:tr>
      <w:tr w14:paraId="146C9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6CC9AD34">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31.6</w:t>
            </w:r>
          </w:p>
        </w:tc>
        <w:tc>
          <w:tcPr>
            <w:tcW w:w="2427" w:type="dxa"/>
            <w:noWrap w:val="0"/>
            <w:vAlign w:val="center"/>
          </w:tcPr>
          <w:p w14:paraId="24B5F396">
            <w:pPr>
              <w:snapToGrid w:val="0"/>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受理投诉方式</w:t>
            </w:r>
          </w:p>
        </w:tc>
        <w:tc>
          <w:tcPr>
            <w:tcW w:w="6644" w:type="dxa"/>
            <w:noWrap w:val="0"/>
            <w:vAlign w:val="center"/>
          </w:tcPr>
          <w:p w14:paraId="4C9C5A06">
            <w:pPr>
              <w:snapToGrid w:val="0"/>
              <w:spacing w:line="44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1.受理方式：纸质方式受理，投诉书正、副本（经过质疑的事项才可投诉）。</w:t>
            </w:r>
          </w:p>
          <w:p w14:paraId="3479E4F7">
            <w:pPr>
              <w:snapToGrid w:val="0"/>
              <w:spacing w:line="44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2.邮寄地址：</w:t>
            </w:r>
          </w:p>
          <w:p w14:paraId="71DD48CD">
            <w:pPr>
              <w:snapToGrid w:val="0"/>
              <w:spacing w:line="44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名称：马山县政府采购监督管理办公室</w:t>
            </w:r>
          </w:p>
          <w:p w14:paraId="37B42AEF">
            <w:pPr>
              <w:snapToGrid w:val="0"/>
              <w:spacing w:line="44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地址：马山县白山镇新兴大道169号</w:t>
            </w:r>
          </w:p>
          <w:p w14:paraId="2E3D4FC8">
            <w:pPr>
              <w:snapToGrid w:val="0"/>
              <w:spacing w:line="44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联系电话：0771-6825986</w:t>
            </w:r>
          </w:p>
        </w:tc>
      </w:tr>
      <w:tr w14:paraId="5E4C7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61C49423">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33</w:t>
            </w:r>
          </w:p>
        </w:tc>
        <w:tc>
          <w:tcPr>
            <w:tcW w:w="2427" w:type="dxa"/>
            <w:noWrap w:val="0"/>
            <w:vAlign w:val="center"/>
          </w:tcPr>
          <w:p w14:paraId="75AB6D8D">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采购代理费</w:t>
            </w:r>
          </w:p>
        </w:tc>
        <w:tc>
          <w:tcPr>
            <w:tcW w:w="6644" w:type="dxa"/>
            <w:noWrap w:val="0"/>
            <w:vAlign w:val="center"/>
          </w:tcPr>
          <w:p w14:paraId="145B94C3">
            <w:pPr>
              <w:snapToGrid w:val="0"/>
              <w:spacing w:line="380" w:lineRule="exac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 是否收取采购代理费：</w:t>
            </w:r>
          </w:p>
          <w:p w14:paraId="4EC0005B">
            <w:pPr>
              <w:snapToGrid w:val="0"/>
              <w:spacing w:line="380" w:lineRule="exac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☑是    □ 否</w:t>
            </w:r>
          </w:p>
          <w:p w14:paraId="4FAD60A0">
            <w:pPr>
              <w:snapToGrid w:val="0"/>
              <w:spacing w:line="380" w:lineRule="exac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2.采购代理费支付方式：</w:t>
            </w:r>
          </w:p>
          <w:p w14:paraId="3AB9F33E">
            <w:pPr>
              <w:snapToGrid w:val="0"/>
              <w:spacing w:line="380" w:lineRule="exac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☑本项目代理服务费由成交供应商领取成交通知书前，一次性向采购代理机构支付。</w:t>
            </w:r>
          </w:p>
          <w:p w14:paraId="06004000">
            <w:pPr>
              <w:snapToGrid w:val="0"/>
              <w:spacing w:line="380" w:lineRule="exac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□采购人支付。</w:t>
            </w:r>
          </w:p>
          <w:p w14:paraId="57AB61B1">
            <w:pPr>
              <w:snapToGrid w:val="0"/>
              <w:spacing w:line="380" w:lineRule="exac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3.采购代理费收取标准：</w:t>
            </w:r>
          </w:p>
          <w:p w14:paraId="50888D7E">
            <w:pPr>
              <w:spacing w:line="48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本项目的采购代理服务费按国家发展计划委员会计价格[2002]1980号《招标代理服务费管理暂行办法》收费标准向成交供应商收取，采购代理服务费的计费基数为成交金额，按差额定率累进法计算。如最终结算不足5000元的，按5000元计（含税）。领取成交通知书时，成交供应商应向</w:t>
            </w:r>
            <w:r>
              <w:rPr>
                <w:rFonts w:hint="eastAsia" w:ascii="方正仿宋_GB2312" w:hAnsi="方正仿宋_GB2312" w:eastAsia="方正仿宋_GB2312" w:cs="方正仿宋_GB2312"/>
                <w:color w:val="auto"/>
                <w:szCs w:val="21"/>
                <w:highlight w:val="none"/>
                <w:lang w:val="en-US" w:eastAsia="zh-CN"/>
              </w:rPr>
              <w:t>采购代理机构</w:t>
            </w:r>
            <w:r>
              <w:rPr>
                <w:rFonts w:hint="eastAsia" w:ascii="方正仿宋_GB2312" w:hAnsi="方正仿宋_GB2312" w:eastAsia="方正仿宋_GB2312" w:cs="方正仿宋_GB2312"/>
                <w:color w:val="auto"/>
                <w:szCs w:val="21"/>
                <w:highlight w:val="none"/>
              </w:rPr>
              <w:t>一次付清采购代理服务费。</w:t>
            </w:r>
          </w:p>
          <w:p w14:paraId="04809DDE">
            <w:pPr>
              <w:spacing w:line="48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采购、招标代理服务费收费标准：</w:t>
            </w:r>
          </w:p>
          <w:tbl>
            <w:tblPr>
              <w:tblStyle w:val="28"/>
              <w:tblW w:w="5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2"/>
              <w:gridCol w:w="1356"/>
              <w:gridCol w:w="1348"/>
              <w:gridCol w:w="1232"/>
            </w:tblGrid>
            <w:tr w14:paraId="4F42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042" w:type="dxa"/>
                  <w:noWrap w:val="0"/>
                  <w:vAlign w:val="top"/>
                </w:tcPr>
                <w:p w14:paraId="07A3CEC2">
                  <w:pPr>
                    <w:spacing w:line="48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-20955</wp:posOffset>
                            </wp:positionH>
                            <wp:positionV relativeFrom="paragraph">
                              <wp:posOffset>31750</wp:posOffset>
                            </wp:positionV>
                            <wp:extent cx="1251585" cy="555625"/>
                            <wp:effectExtent l="1905" t="4445" r="3810" b="11430"/>
                            <wp:wrapNone/>
                            <wp:docPr id="3" name="Line 3"/>
                            <wp:cNvGraphicFramePr/>
                            <a:graphic xmlns:a="http://schemas.openxmlformats.org/drawingml/2006/main">
                              <a:graphicData uri="http://schemas.microsoft.com/office/word/2010/wordprocessingShape">
                                <wps:wsp>
                                  <wps:cNvCnPr/>
                                  <wps:spPr>
                                    <a:xfrm>
                                      <a:off x="0" y="0"/>
                                      <a:ext cx="1251585" cy="5556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1.65pt;margin-top:2.5pt;height:43.75pt;width:98.55pt;z-index:251664384;mso-width-relative:page;mso-height-relative:page;" filled="f" stroked="t" coordsize="21600,21600" o:gfxdata="UEsDBAoAAAAAAIdO4kAAAAAAAAAAAAAAAAAEAAAAZHJzL1BLAwQUAAAACACHTuJA8pd3cNYAAAAH&#10;AQAADwAAAGRycy9kb3ducmV2LnhtbE2PvU7DQBCEeyTe4bRINFFyjq2gxPicAnBHQwKi3fg2toVv&#10;z/FdfuDp2VRQjmY0802xvrhenWgMnWcD81kCirj2tuPGwPu2mi5BhYhssfdMBr4pwLq8vSkwt/7M&#10;b3TaxEZJCYccDbQxDrnWoW7JYZj5gVi8vR8dRpFjo+2IZyl3vU6T5EE77FgWWhzoqaX6a3N0BkL1&#10;QYfqZ1JPks+s8ZQenl9f0Jj7u3nyCCrSJf6F4Yov6FAK084f2QbVG5hmmSQNLOTR1V5l8mRnYJUu&#10;QJeF/s9f/gJQSwMEFAAAAAgAh07iQOL5ueXeAQAA3gMAAA4AAABkcnMvZTJvRG9jLnhtbK1Ty27b&#10;MBC8F+g/ELzXshwoSAXLOcRNL0FroO0H0ORKIsAXuLRl/32XlOs06cWH6iAttcPZnVly/Xiyhh0h&#10;ovau4/ViyRk46ZV2Q8d//Xz+9MAZJuGUMN5Bx8+A/HHz8cN6Ci2s/OiNgsiIxGE7hY6PKYW2qlCO&#10;YAUufABHyd5HKxIt41CpKCZit6ZaLZf31eSjCtFLQKS/2znJL4zxFkLf91rC1suDBZdm1ghGJJKE&#10;ow7IN6XbvgeZvvc9QmKm46Q0lTcVoXif39VmLdohijBqeWlB3NLCO01WaEdFr1RbkQQ7RP0PldUy&#10;evR9Wkhvq1lIcYRU1Mt33vwYRYCihazGcDUd/x+t/HbcRaZVx+84c8LSwF+0A3aXnZkCtgR4crt4&#10;WWHYxSzz1EebvySAnYqb56ubcEpM0s961dTNQ8OZpFzTNPerJpNWr7tDxPQVvGU56LihwsVEcXzB&#10;NEP/QHIx49jU8c8N8TAp6Oj1NHIKbaD20Q1lL3qj1bM2Ju/AOOyfTGRHkcdfnksLb2C5yFbgOONK&#10;KsNEO4JQX5xi6RzIGEf3gecWLCjODND1yVFBJqHNLUhSbxyZkK2dzczR3qszjeEQoh5GcqIuXeYM&#10;jb1Ydjmi+Vz9vS5Mr9dy8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yl3dw1gAAAAcBAAAPAAAA&#10;AAAAAAEAIAAAACIAAABkcnMvZG93bnJldi54bWxQSwECFAAUAAAACACHTuJA4vm55d4BAADeAwAA&#10;DgAAAAAAAAABACAAAAAlAQAAZHJzL2Uyb0RvYy54bWxQSwUGAAAAAAYABgBZAQAAdQUAAAAA&#10;">
                            <v:fill on="f" focussize="0,0"/>
                            <v:stroke color="#000000" joinstyle="round"/>
                            <v:imagedata o:title=""/>
                            <o:lock v:ext="edit" aspectratio="f"/>
                          </v:line>
                        </w:pict>
                      </mc:Fallback>
                    </mc:AlternateContent>
                  </w:r>
                  <w:r>
                    <w:rPr>
                      <w:rFonts w:hint="eastAsia" w:ascii="方正仿宋_GB2312" w:hAnsi="方正仿宋_GB2312" w:eastAsia="方正仿宋_GB2312" w:cs="方正仿宋_GB2312"/>
                      <w:color w:val="auto"/>
                      <w:szCs w:val="21"/>
                      <w:highlight w:val="none"/>
                    </w:rPr>
                    <w:t xml:space="preserve">             费率</w:t>
                  </w:r>
                </w:p>
                <w:p w14:paraId="794D96A6">
                  <w:pPr>
                    <w:spacing w:line="48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中标金额</w:t>
                  </w:r>
                </w:p>
              </w:tc>
              <w:tc>
                <w:tcPr>
                  <w:tcW w:w="1356" w:type="dxa"/>
                  <w:noWrap w:val="0"/>
                  <w:vAlign w:val="center"/>
                </w:tcPr>
                <w:p w14:paraId="765507F5">
                  <w:pPr>
                    <w:spacing w:line="480" w:lineRule="exact"/>
                    <w:ind w:firstLine="105" w:firstLineChars="50"/>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货物类项目</w:t>
                  </w:r>
                </w:p>
              </w:tc>
              <w:tc>
                <w:tcPr>
                  <w:tcW w:w="1348" w:type="dxa"/>
                  <w:noWrap w:val="0"/>
                  <w:vAlign w:val="center"/>
                </w:tcPr>
                <w:p w14:paraId="4F9C5718">
                  <w:pPr>
                    <w:spacing w:line="48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服务类项目</w:t>
                  </w:r>
                </w:p>
              </w:tc>
              <w:tc>
                <w:tcPr>
                  <w:tcW w:w="1232" w:type="dxa"/>
                  <w:noWrap w:val="0"/>
                  <w:vAlign w:val="center"/>
                </w:tcPr>
                <w:p w14:paraId="77D04D50">
                  <w:pPr>
                    <w:spacing w:line="48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工程类项目</w:t>
                  </w:r>
                </w:p>
              </w:tc>
            </w:tr>
            <w:tr w14:paraId="20D7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2" w:type="dxa"/>
                  <w:noWrap w:val="0"/>
                  <w:vAlign w:val="center"/>
                </w:tcPr>
                <w:p w14:paraId="6ACC5CD2">
                  <w:pPr>
                    <w:spacing w:line="48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100万元以下</w:t>
                  </w:r>
                </w:p>
              </w:tc>
              <w:tc>
                <w:tcPr>
                  <w:tcW w:w="1356" w:type="dxa"/>
                  <w:noWrap w:val="0"/>
                  <w:vAlign w:val="center"/>
                </w:tcPr>
                <w:p w14:paraId="1906ABBD">
                  <w:pPr>
                    <w:spacing w:line="48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kern w:val="0"/>
                      <w:szCs w:val="21"/>
                      <w:highlight w:val="none"/>
                    </w:rPr>
                    <w:t>1.5%</w:t>
                  </w:r>
                </w:p>
              </w:tc>
              <w:tc>
                <w:tcPr>
                  <w:tcW w:w="1348" w:type="dxa"/>
                  <w:noWrap w:val="0"/>
                  <w:vAlign w:val="center"/>
                </w:tcPr>
                <w:p w14:paraId="7BC5E54A">
                  <w:pPr>
                    <w:spacing w:line="48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kern w:val="0"/>
                      <w:szCs w:val="21"/>
                      <w:highlight w:val="none"/>
                    </w:rPr>
                    <w:t>1.5%</w:t>
                  </w:r>
                </w:p>
              </w:tc>
              <w:tc>
                <w:tcPr>
                  <w:tcW w:w="1232" w:type="dxa"/>
                  <w:noWrap w:val="0"/>
                  <w:vAlign w:val="center"/>
                </w:tcPr>
                <w:p w14:paraId="02446EC8">
                  <w:pPr>
                    <w:spacing w:line="48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kern w:val="0"/>
                      <w:szCs w:val="21"/>
                      <w:highlight w:val="none"/>
                    </w:rPr>
                    <w:t>1.0%</w:t>
                  </w:r>
                </w:p>
              </w:tc>
            </w:tr>
            <w:tr w14:paraId="3E15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2" w:type="dxa"/>
                  <w:noWrap w:val="0"/>
                  <w:vAlign w:val="center"/>
                </w:tcPr>
                <w:p w14:paraId="721261C0">
                  <w:pPr>
                    <w:spacing w:line="48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100～500万元</w:t>
                  </w:r>
                </w:p>
              </w:tc>
              <w:tc>
                <w:tcPr>
                  <w:tcW w:w="1356" w:type="dxa"/>
                  <w:noWrap w:val="0"/>
                  <w:vAlign w:val="center"/>
                </w:tcPr>
                <w:p w14:paraId="0AC3DE38">
                  <w:pPr>
                    <w:spacing w:line="48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kern w:val="0"/>
                      <w:szCs w:val="21"/>
                      <w:highlight w:val="none"/>
                    </w:rPr>
                    <w:t>1.1%</w:t>
                  </w:r>
                </w:p>
              </w:tc>
              <w:tc>
                <w:tcPr>
                  <w:tcW w:w="1348" w:type="dxa"/>
                  <w:noWrap w:val="0"/>
                  <w:vAlign w:val="center"/>
                </w:tcPr>
                <w:p w14:paraId="356C08F8">
                  <w:pPr>
                    <w:spacing w:line="48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kern w:val="0"/>
                      <w:szCs w:val="21"/>
                      <w:highlight w:val="none"/>
                    </w:rPr>
                    <w:t>0.8%</w:t>
                  </w:r>
                </w:p>
              </w:tc>
              <w:tc>
                <w:tcPr>
                  <w:tcW w:w="1232" w:type="dxa"/>
                  <w:noWrap w:val="0"/>
                  <w:vAlign w:val="center"/>
                </w:tcPr>
                <w:p w14:paraId="4E8405EF">
                  <w:pPr>
                    <w:spacing w:line="48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kern w:val="0"/>
                      <w:szCs w:val="21"/>
                      <w:highlight w:val="none"/>
                    </w:rPr>
                    <w:t>0.7%</w:t>
                  </w:r>
                </w:p>
              </w:tc>
            </w:tr>
            <w:tr w14:paraId="67B4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2" w:type="dxa"/>
                  <w:noWrap w:val="0"/>
                  <w:vAlign w:val="center"/>
                </w:tcPr>
                <w:p w14:paraId="242E8A36">
                  <w:pPr>
                    <w:spacing w:line="48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500～1000万元</w:t>
                  </w:r>
                </w:p>
              </w:tc>
              <w:tc>
                <w:tcPr>
                  <w:tcW w:w="1356" w:type="dxa"/>
                  <w:noWrap w:val="0"/>
                  <w:vAlign w:val="center"/>
                </w:tcPr>
                <w:p w14:paraId="351E529C">
                  <w:pPr>
                    <w:spacing w:line="48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kern w:val="0"/>
                      <w:szCs w:val="21"/>
                      <w:highlight w:val="none"/>
                    </w:rPr>
                    <w:t>0.8%</w:t>
                  </w:r>
                </w:p>
              </w:tc>
              <w:tc>
                <w:tcPr>
                  <w:tcW w:w="1348" w:type="dxa"/>
                  <w:noWrap w:val="0"/>
                  <w:vAlign w:val="center"/>
                </w:tcPr>
                <w:p w14:paraId="1A7C9CA7">
                  <w:pPr>
                    <w:spacing w:line="48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kern w:val="0"/>
                      <w:szCs w:val="21"/>
                      <w:highlight w:val="none"/>
                    </w:rPr>
                    <w:t>0.45%</w:t>
                  </w:r>
                </w:p>
              </w:tc>
              <w:tc>
                <w:tcPr>
                  <w:tcW w:w="1232" w:type="dxa"/>
                  <w:noWrap w:val="0"/>
                  <w:vAlign w:val="center"/>
                </w:tcPr>
                <w:p w14:paraId="1832C727">
                  <w:pPr>
                    <w:spacing w:line="48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kern w:val="0"/>
                      <w:szCs w:val="21"/>
                      <w:highlight w:val="none"/>
                    </w:rPr>
                    <w:t>0.55%</w:t>
                  </w:r>
                </w:p>
              </w:tc>
            </w:tr>
            <w:tr w14:paraId="0089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2" w:type="dxa"/>
                  <w:noWrap w:val="0"/>
                  <w:vAlign w:val="center"/>
                </w:tcPr>
                <w:p w14:paraId="1FFF4FAC">
                  <w:pPr>
                    <w:spacing w:line="48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1000～5000万元</w:t>
                  </w:r>
                </w:p>
              </w:tc>
              <w:tc>
                <w:tcPr>
                  <w:tcW w:w="1356" w:type="dxa"/>
                  <w:noWrap w:val="0"/>
                  <w:vAlign w:val="center"/>
                </w:tcPr>
                <w:p w14:paraId="01769E37">
                  <w:pPr>
                    <w:spacing w:line="480" w:lineRule="exact"/>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0.5%</w:t>
                  </w:r>
                </w:p>
              </w:tc>
              <w:tc>
                <w:tcPr>
                  <w:tcW w:w="1348" w:type="dxa"/>
                  <w:noWrap w:val="0"/>
                  <w:vAlign w:val="center"/>
                </w:tcPr>
                <w:p w14:paraId="7B82F0BA">
                  <w:pPr>
                    <w:spacing w:line="480" w:lineRule="exact"/>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0.25%</w:t>
                  </w:r>
                </w:p>
              </w:tc>
              <w:tc>
                <w:tcPr>
                  <w:tcW w:w="1232" w:type="dxa"/>
                  <w:noWrap w:val="0"/>
                  <w:vAlign w:val="center"/>
                </w:tcPr>
                <w:p w14:paraId="2878250A">
                  <w:pPr>
                    <w:spacing w:line="480" w:lineRule="exact"/>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0.35%</w:t>
                  </w:r>
                </w:p>
              </w:tc>
            </w:tr>
            <w:tr w14:paraId="1068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2" w:type="dxa"/>
                  <w:noWrap w:val="0"/>
                  <w:vAlign w:val="center"/>
                </w:tcPr>
                <w:p w14:paraId="6BE3AAC0">
                  <w:pPr>
                    <w:spacing w:line="480" w:lineRule="exac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5000万元～1亿元</w:t>
                  </w:r>
                </w:p>
              </w:tc>
              <w:tc>
                <w:tcPr>
                  <w:tcW w:w="1356" w:type="dxa"/>
                  <w:noWrap w:val="0"/>
                  <w:vAlign w:val="center"/>
                </w:tcPr>
                <w:p w14:paraId="638C1493">
                  <w:pPr>
                    <w:spacing w:line="480" w:lineRule="exact"/>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0.25%</w:t>
                  </w:r>
                </w:p>
              </w:tc>
              <w:tc>
                <w:tcPr>
                  <w:tcW w:w="1348" w:type="dxa"/>
                  <w:noWrap w:val="0"/>
                  <w:vAlign w:val="center"/>
                </w:tcPr>
                <w:p w14:paraId="4B1044A6">
                  <w:pPr>
                    <w:spacing w:line="480" w:lineRule="exact"/>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0.1%</w:t>
                  </w:r>
                </w:p>
              </w:tc>
              <w:tc>
                <w:tcPr>
                  <w:tcW w:w="1232" w:type="dxa"/>
                  <w:noWrap w:val="0"/>
                  <w:vAlign w:val="center"/>
                </w:tcPr>
                <w:p w14:paraId="23EAA31F">
                  <w:pPr>
                    <w:spacing w:line="480" w:lineRule="exact"/>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0.2%</w:t>
                  </w:r>
                </w:p>
              </w:tc>
            </w:tr>
          </w:tbl>
          <w:p w14:paraId="716A2A9F">
            <w:pPr>
              <w:snapToGrid w:val="0"/>
              <w:spacing w:line="380" w:lineRule="exact"/>
              <w:ind w:firstLine="210" w:firstLineChars="1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注：代理服务收费按差额定率累进法计算。</w:t>
            </w:r>
          </w:p>
          <w:p w14:paraId="1765FBBE">
            <w:pPr>
              <w:snapToGrid w:val="0"/>
              <w:spacing w:line="380" w:lineRule="exac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4. 采购代理费收取银行账户</w:t>
            </w:r>
          </w:p>
          <w:p w14:paraId="49DFA797">
            <w:pPr>
              <w:snapToGrid w:val="0"/>
              <w:spacing w:line="380" w:lineRule="exact"/>
              <w:ind w:firstLine="210" w:firstLineChars="1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账户名称：广西同盛工程咨询有限公司 </w:t>
            </w:r>
          </w:p>
          <w:p w14:paraId="6BA36B1F">
            <w:pPr>
              <w:snapToGrid w:val="0"/>
              <w:spacing w:line="380" w:lineRule="exact"/>
              <w:ind w:firstLine="210" w:firstLineChars="1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开户银行：广西北部湾银行股份有限公司南宁市江南支行   </w:t>
            </w:r>
          </w:p>
          <w:p w14:paraId="568045FF">
            <w:pPr>
              <w:snapToGrid w:val="0"/>
              <w:spacing w:line="380" w:lineRule="exact"/>
              <w:ind w:firstLine="210" w:firstLineChars="1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highlight w:val="none"/>
              </w:rPr>
              <w:t>银行账号：805135142700002</w:t>
            </w:r>
          </w:p>
        </w:tc>
      </w:tr>
      <w:tr w14:paraId="75D81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5E617E5E">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34.1</w:t>
            </w:r>
          </w:p>
        </w:tc>
        <w:tc>
          <w:tcPr>
            <w:tcW w:w="2427" w:type="dxa"/>
            <w:noWrap w:val="0"/>
            <w:vAlign w:val="center"/>
          </w:tcPr>
          <w:p w14:paraId="204FC60C">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解释</w:t>
            </w:r>
          </w:p>
        </w:tc>
        <w:tc>
          <w:tcPr>
            <w:tcW w:w="6644" w:type="dxa"/>
            <w:noWrap w:val="0"/>
            <w:vAlign w:val="center"/>
          </w:tcPr>
          <w:p w14:paraId="22AC31C8">
            <w:pPr>
              <w:pStyle w:val="17"/>
              <w:snapToGrid w:val="0"/>
              <w:spacing w:line="360" w:lineRule="exact"/>
              <w:rPr>
                <w:rFonts w:hint="eastAsia" w:ascii="方正仿宋_GB2312" w:hAnsi="方正仿宋_GB2312" w:eastAsia="方正仿宋_GB2312" w:cs="方正仿宋_GB2312"/>
                <w:b/>
                <w:color w:val="auto"/>
                <w:sz w:val="21"/>
                <w:highlight w:val="none"/>
              </w:rPr>
            </w:pPr>
            <w:r>
              <w:rPr>
                <w:rFonts w:hint="eastAsia" w:ascii="方正仿宋_GB2312" w:hAnsi="方正仿宋_GB2312" w:eastAsia="方正仿宋_GB2312" w:cs="方正仿宋_GB2312"/>
                <w:b/>
                <w:color w:val="auto"/>
                <w:sz w:val="21"/>
                <w:highlight w:val="none"/>
              </w:rPr>
              <w:t>解释权：</w:t>
            </w:r>
            <w:r>
              <w:rPr>
                <w:rFonts w:hint="eastAsia" w:ascii="方正仿宋_GB2312" w:hAnsi="方正仿宋_GB2312" w:eastAsia="方正仿宋_GB2312" w:cs="方正仿宋_GB2312"/>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方正仿宋_GB2312" w:hAnsi="方正仿宋_GB2312" w:eastAsia="方正仿宋_GB2312" w:cs="方正仿宋_GB2312"/>
                <w:b/>
                <w:color w:val="auto"/>
                <w:sz w:val="21"/>
                <w:highlight w:val="none"/>
              </w:rPr>
              <w:t>由采购人或者采购代理机构负责解释。</w:t>
            </w:r>
          </w:p>
          <w:p w14:paraId="0A58811F">
            <w:pPr>
              <w:pStyle w:val="17"/>
              <w:snapToGrid w:val="0"/>
              <w:spacing w:line="360" w:lineRule="exact"/>
              <w:rPr>
                <w:rFonts w:hint="eastAsia" w:ascii="方正仿宋_GB2312" w:hAnsi="方正仿宋_GB2312" w:eastAsia="方正仿宋_GB2312" w:cs="方正仿宋_GB2312"/>
                <w:b/>
                <w:color w:val="auto"/>
                <w:sz w:val="21"/>
                <w:highlight w:val="none"/>
              </w:rPr>
            </w:pPr>
            <w:r>
              <w:rPr>
                <w:rFonts w:hint="eastAsia" w:ascii="方正仿宋_GB2312" w:hAnsi="方正仿宋_GB2312" w:eastAsia="方正仿宋_GB2312" w:cs="方正仿宋_GB2312"/>
                <w:b/>
                <w:color w:val="auto"/>
                <w:sz w:val="21"/>
                <w:highlight w:val="none"/>
              </w:rPr>
              <w:t>法律责任：</w:t>
            </w:r>
          </w:p>
          <w:p w14:paraId="2227B368">
            <w:pPr>
              <w:pStyle w:val="17"/>
              <w:snapToGrid w:val="0"/>
              <w:spacing w:line="360" w:lineRule="exact"/>
              <w:rPr>
                <w:rFonts w:hint="eastAsia" w:ascii="方正仿宋_GB2312" w:hAnsi="方正仿宋_GB2312" w:eastAsia="方正仿宋_GB2312" w:cs="方正仿宋_GB2312"/>
                <w:bCs/>
                <w:color w:val="auto"/>
                <w:sz w:val="21"/>
                <w:highlight w:val="none"/>
              </w:rPr>
            </w:pPr>
            <w:r>
              <w:rPr>
                <w:rFonts w:hint="eastAsia" w:ascii="方正仿宋_GB2312" w:hAnsi="方正仿宋_GB2312" w:eastAsia="方正仿宋_GB2312" w:cs="方正仿宋_GB2312"/>
                <w:bCs/>
                <w:color w:val="auto"/>
                <w:sz w:val="21"/>
                <w:highlight w:val="none"/>
              </w:rPr>
              <w:t>1.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189A7D3C">
            <w:pPr>
              <w:pStyle w:val="17"/>
              <w:snapToGrid w:val="0"/>
              <w:spacing w:line="360" w:lineRule="exact"/>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b/>
                <w:color w:val="auto"/>
                <w:sz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6BF9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24A62F36">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34.2</w:t>
            </w:r>
          </w:p>
        </w:tc>
        <w:tc>
          <w:tcPr>
            <w:tcW w:w="2427" w:type="dxa"/>
            <w:noWrap w:val="0"/>
            <w:vAlign w:val="center"/>
          </w:tcPr>
          <w:p w14:paraId="4D82664C">
            <w:pPr>
              <w:spacing w:line="440" w:lineRule="exact"/>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其他</w:t>
            </w:r>
          </w:p>
        </w:tc>
        <w:tc>
          <w:tcPr>
            <w:tcW w:w="6644" w:type="dxa"/>
            <w:noWrap w:val="0"/>
            <w:vAlign w:val="center"/>
          </w:tcPr>
          <w:p w14:paraId="5717D9BA">
            <w:pPr>
              <w:pStyle w:val="17"/>
              <w:snapToGrid w:val="0"/>
              <w:spacing w:line="360" w:lineRule="exact"/>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08D1B0C">
            <w:pPr>
              <w:pStyle w:val="17"/>
              <w:snapToGrid w:val="0"/>
              <w:spacing w:line="360" w:lineRule="exact"/>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FDEF038">
            <w:pPr>
              <w:pStyle w:val="17"/>
              <w:snapToGrid w:val="0"/>
              <w:spacing w:line="360" w:lineRule="exact"/>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7E0D84F5">
            <w:pPr>
              <w:pStyle w:val="17"/>
              <w:snapToGrid w:val="0"/>
              <w:spacing w:line="360" w:lineRule="exact"/>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4.自然人竞标的，磋商文件规定盖公章处由自然人摁手指指印。</w:t>
            </w:r>
          </w:p>
          <w:p w14:paraId="4FDD01C3">
            <w:pPr>
              <w:pStyle w:val="17"/>
              <w:snapToGrid w:val="0"/>
              <w:spacing w:line="360" w:lineRule="exact"/>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5.本磋商文件所称的“以上”“以下”“以内”“届满”，包括本数；所称的“不满”“超过”“以外”，不包括本数。</w:t>
            </w:r>
          </w:p>
        </w:tc>
      </w:tr>
    </w:tbl>
    <w:p w14:paraId="43D1BF76">
      <w:pPr>
        <w:pStyle w:val="3"/>
        <w:spacing w:line="420" w:lineRule="exact"/>
        <w:jc w:val="center"/>
        <w:rPr>
          <w:rFonts w:hint="eastAsia" w:ascii="方正仿宋_GB2312" w:hAnsi="方正仿宋_GB2312" w:eastAsia="方正仿宋_GB2312" w:cs="方正仿宋_GB2312"/>
          <w:b w:val="0"/>
          <w:color w:val="auto"/>
          <w:highlight w:val="none"/>
        </w:rPr>
      </w:pPr>
      <w:r>
        <w:rPr>
          <w:rFonts w:hint="eastAsia" w:ascii="方正仿宋_GB2312" w:hAnsi="方正仿宋_GB2312" w:eastAsia="方正仿宋_GB2312" w:cs="方正仿宋_GB2312"/>
          <w:b w:val="0"/>
          <w:color w:val="auto"/>
          <w:highlight w:val="none"/>
        </w:rPr>
        <w:br w:type="page"/>
      </w:r>
      <w:bookmarkStart w:id="38" w:name="_Toc1767231764"/>
      <w:bookmarkStart w:id="39" w:name="_Toc27452"/>
      <w:bookmarkStart w:id="40" w:name="_Toc10959"/>
      <w:bookmarkStart w:id="41" w:name="_Toc10372"/>
      <w:r>
        <w:rPr>
          <w:rFonts w:hint="eastAsia" w:ascii="方正仿宋_GB2312" w:hAnsi="方正仿宋_GB2312" w:eastAsia="方正仿宋_GB2312" w:cs="方正仿宋_GB2312"/>
          <w:b w:val="0"/>
          <w:color w:val="auto"/>
          <w:highlight w:val="none"/>
        </w:rPr>
        <w:t>第二节 供应商须知正文</w:t>
      </w:r>
      <w:bookmarkEnd w:id="38"/>
      <w:bookmarkEnd w:id="39"/>
      <w:bookmarkEnd w:id="40"/>
      <w:bookmarkEnd w:id="41"/>
    </w:p>
    <w:p w14:paraId="5013668E">
      <w:pPr>
        <w:pStyle w:val="4"/>
        <w:spacing w:before="0" w:after="0" w:line="360" w:lineRule="auto"/>
        <w:jc w:val="center"/>
        <w:rPr>
          <w:rFonts w:hint="eastAsia" w:ascii="方正仿宋_GB2312" w:hAnsi="方正仿宋_GB2312" w:eastAsia="方正仿宋_GB2312" w:cs="方正仿宋_GB2312"/>
          <w:bCs w:val="0"/>
          <w:color w:val="auto"/>
          <w:highlight w:val="none"/>
        </w:rPr>
      </w:pPr>
      <w:bookmarkStart w:id="42" w:name="_Toc11692"/>
      <w:bookmarkStart w:id="43" w:name="_Toc18518"/>
      <w:bookmarkStart w:id="44" w:name="_Toc20107"/>
      <w:r>
        <w:rPr>
          <w:rFonts w:hint="eastAsia" w:ascii="方正仿宋_GB2312" w:hAnsi="方正仿宋_GB2312" w:eastAsia="方正仿宋_GB2312" w:cs="方正仿宋_GB2312"/>
          <w:bCs w:val="0"/>
          <w:color w:val="auto"/>
          <w:highlight w:val="none"/>
        </w:rPr>
        <w:t>一、总则</w:t>
      </w:r>
      <w:bookmarkEnd w:id="42"/>
      <w:bookmarkEnd w:id="43"/>
      <w:bookmarkEnd w:id="44"/>
    </w:p>
    <w:p w14:paraId="5AB91BF5">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1.适用范围</w:t>
      </w:r>
    </w:p>
    <w:p w14:paraId="39425936">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22A7250">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1.2</w:t>
      </w:r>
      <w:r>
        <w:rPr>
          <w:rFonts w:hint="eastAsia" w:ascii="方正仿宋_GB2312" w:hAnsi="方正仿宋_GB2312" w:eastAsia="方正仿宋_GB2312" w:cs="方正仿宋_GB2312"/>
          <w:color w:val="auto"/>
          <w:spacing w:val="-6"/>
          <w:szCs w:val="21"/>
          <w:highlight w:val="none"/>
        </w:rPr>
        <w:t>本竞争性磋商文件（以下简称磋商文件）适用于本项目的所有采购程序和环节（法律、法规另有规定的，从其规定）。</w:t>
      </w:r>
    </w:p>
    <w:p w14:paraId="117F47EE">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2.定义</w:t>
      </w:r>
    </w:p>
    <w:p w14:paraId="1FF4F008">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2.1“采购人”是指依法进行政府采购的国家机关、事业单位、团体组织。</w:t>
      </w:r>
    </w:p>
    <w:p w14:paraId="504E879B">
      <w:pPr>
        <w:spacing w:line="360" w:lineRule="auto"/>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2.2“采购代理机构”是指政府采购集中采购机构和集中采购机构以外的采购代理机构。</w:t>
      </w:r>
    </w:p>
    <w:p w14:paraId="0514E70F">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2.3“供应商”是指向采购人提供货物、工程或者服务的法人、其他组织或者自然人。</w:t>
      </w:r>
    </w:p>
    <w:p w14:paraId="6CB87792">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2.4“工程”是指除货物和服务以外的其他政府采购对象。</w:t>
      </w:r>
    </w:p>
    <w:p w14:paraId="227907C1">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2.5“竞标”是指供应商按照本项目竞争性磋商公告或者邀请函规定的方式获取磋商文件、提交响应文件并希望获得标的的行为。</w:t>
      </w:r>
    </w:p>
    <w:p w14:paraId="3A7594FD">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2.6“响应文件”</w:t>
      </w:r>
      <w:r>
        <w:rPr>
          <w:rFonts w:hint="eastAsia" w:ascii="方正仿宋_GB2312" w:hAnsi="方正仿宋_GB2312" w:eastAsia="方正仿宋_GB2312" w:cs="方正仿宋_GB2312"/>
          <w:color w:val="auto"/>
          <w:spacing w:val="-6"/>
          <w:szCs w:val="21"/>
          <w:highlight w:val="none"/>
        </w:rPr>
        <w:t>是指：供应商根据本磋商文件要求，编制包含资格证明、报价、商务技术等所有内容的文件。</w:t>
      </w:r>
    </w:p>
    <w:p w14:paraId="57806CFE">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2.7“实质性要求”是指磋商文件中已经指明不满足则响应文件按无效响应处理的条款，或者不能负偏离的条款，或者采购需求中带“▲”的条款。</w:t>
      </w:r>
    </w:p>
    <w:p w14:paraId="5F5AAA76">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2.8“正偏离”，是指响应文件对磋商文件“采购需求”中有关条款作出的响应优于条款要求并有利于采购人的情形。</w:t>
      </w:r>
    </w:p>
    <w:p w14:paraId="0094D7B3">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2.9“负偏离”，是指响应文件对磋商文件“采购需求”中有关条款作出的响应不满足条款要求，导致采购人要求不能得到满足的情形。</w:t>
      </w:r>
    </w:p>
    <w:p w14:paraId="6ED039CD">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2.10“允许负偏离的条款”是指采购需求中的不属于“实质性要求”的条款。</w:t>
      </w:r>
    </w:p>
    <w:p w14:paraId="6AB6351C">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2.11“书面形式”是指合同书、信件和数据电文（包括电报、电传、传真、电子数据交换和电子邮件）等可以有形地表现所载内容的形式。</w:t>
      </w:r>
    </w:p>
    <w:p w14:paraId="008CAE65">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2.12“首次报价”是指供应商提交的首次响应文件中的报价。</w:t>
      </w:r>
    </w:p>
    <w:p w14:paraId="43D75B58">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2.13“评审报价”是指供应商提交的最后报价并经修正（如有）和政策功能价格扣除（如有）后的价格。</w:t>
      </w:r>
    </w:p>
    <w:p w14:paraId="0A3DF318">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3.供应商的资格条件</w:t>
      </w:r>
    </w:p>
    <w:p w14:paraId="2E3307F2">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供应商的资格条件详见“供应商须知前附表”。</w:t>
      </w:r>
    </w:p>
    <w:p w14:paraId="0008FCAA">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4.磋商费用</w:t>
      </w:r>
    </w:p>
    <w:p w14:paraId="737CDAD1">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供应商应承担参与本次采购活动有关的所有费用，包括但不限于、勘查现场、编制和提交响应文件、参加磋商与应答、签订合同等，不论竞标结果如何，均应自行承担。</w:t>
      </w:r>
    </w:p>
    <w:p w14:paraId="58A871E7">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5.联合体竞标</w:t>
      </w:r>
    </w:p>
    <w:p w14:paraId="60A52195">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5.1本项目是否接受联合体竞标，详见“供应商须知前附表”。</w:t>
      </w:r>
    </w:p>
    <w:p w14:paraId="64BCE047">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5.2</w:t>
      </w:r>
      <w:r>
        <w:rPr>
          <w:rFonts w:hint="eastAsia" w:ascii="方正仿宋_GB2312" w:hAnsi="方正仿宋_GB2312" w:eastAsia="方正仿宋_GB2312" w:cs="方正仿宋_GB2312"/>
          <w:color w:val="auto"/>
          <w:highlight w:val="none"/>
        </w:rPr>
        <w:t>如接受联合体竞标，</w:t>
      </w:r>
      <w:r>
        <w:rPr>
          <w:rFonts w:hint="eastAsia" w:ascii="方正仿宋_GB2312" w:hAnsi="方正仿宋_GB2312" w:eastAsia="方正仿宋_GB2312" w:cs="方正仿宋_GB2312"/>
          <w:color w:val="auto"/>
          <w:szCs w:val="21"/>
          <w:highlight w:val="none"/>
        </w:rPr>
        <w:t>联合体竞标要求详见“供应商须知前附表”。</w:t>
      </w:r>
    </w:p>
    <w:p w14:paraId="7AEE61A1">
      <w:pPr>
        <w:spacing w:line="360" w:lineRule="auto"/>
        <w:ind w:firstLine="420" w:firstLineChars="200"/>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3271B9AD">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 xml:space="preserve">6.转包与分包             </w:t>
      </w:r>
    </w:p>
    <w:p w14:paraId="1414F90A">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6.1本项目是否允许分包详见“供应商须知前附表”，本项目不允许违法分包。</w:t>
      </w:r>
    </w:p>
    <w:p w14:paraId="5433C6FF">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17493CD">
      <w:pPr>
        <w:spacing w:line="360" w:lineRule="auto"/>
        <w:ind w:firstLine="422" w:firstLineChars="175"/>
        <w:rPr>
          <w:rFonts w:hint="eastAsia" w:ascii="方正仿宋_GB2312" w:hAnsi="方正仿宋_GB2312" w:eastAsia="方正仿宋_GB2312" w:cs="方正仿宋_GB2312"/>
          <w:b/>
          <w:bCs/>
          <w:color w:val="auto"/>
          <w:sz w:val="24"/>
          <w:highlight w:val="none"/>
        </w:rPr>
      </w:pPr>
      <w:bookmarkStart w:id="45" w:name="_Toc254970532"/>
      <w:bookmarkStart w:id="46" w:name="_Toc254970673"/>
      <w:r>
        <w:rPr>
          <w:rFonts w:hint="eastAsia" w:ascii="方正仿宋_GB2312" w:hAnsi="方正仿宋_GB2312" w:eastAsia="方正仿宋_GB2312" w:cs="方正仿宋_GB2312"/>
          <w:b/>
          <w:bCs/>
          <w:color w:val="auto"/>
          <w:sz w:val="24"/>
          <w:highlight w:val="none"/>
        </w:rPr>
        <w:t>7.特别说明</w:t>
      </w:r>
      <w:bookmarkEnd w:id="45"/>
      <w:bookmarkEnd w:id="46"/>
    </w:p>
    <w:p w14:paraId="464806DF">
      <w:pPr>
        <w:spacing w:line="360" w:lineRule="auto"/>
        <w:ind w:firstLine="420" w:firstLineChars="200"/>
        <w:rPr>
          <w:rFonts w:hint="eastAsia" w:ascii="方正仿宋_GB2312" w:hAnsi="方正仿宋_GB2312" w:eastAsia="方正仿宋_GB2312" w:cs="方正仿宋_GB2312"/>
          <w:color w:val="auto"/>
          <w:szCs w:val="21"/>
          <w:highlight w:val="none"/>
        </w:rPr>
      </w:pPr>
      <w:bookmarkStart w:id="47" w:name="_8.1提供相同品牌产品且通过资格审查、符合性审查的不同投标人参加同一合"/>
      <w:bookmarkEnd w:id="47"/>
      <w:r>
        <w:rPr>
          <w:rFonts w:hint="eastAsia" w:ascii="方正仿宋_GB2312" w:hAnsi="方正仿宋_GB2312" w:eastAsia="方正仿宋_GB2312" w:cs="方正仿宋_GB2312"/>
          <w:color w:val="auto"/>
          <w:szCs w:val="21"/>
          <w:highlight w:val="none"/>
        </w:rPr>
        <w:t>7.1</w:t>
      </w:r>
      <w:bookmarkStart w:id="48" w:name="_Hlk65832145"/>
      <w:r>
        <w:rPr>
          <w:rFonts w:hint="eastAsia" w:ascii="方正仿宋_GB2312" w:hAnsi="方正仿宋_GB2312" w:eastAsia="方正仿宋_GB2312" w:cs="方正仿宋_GB2312"/>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8"/>
    <w:p w14:paraId="3DEA759E">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7.2供应商应仔细阅读磋商文件的所有内容，按照磋商文件的要求提交响应文件，并对所提供的全部资料的真实性承担法律责任。</w:t>
      </w:r>
    </w:p>
    <w:p w14:paraId="0329A195">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68A29E5">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7.4在政府采购活动中，采购人员及相关人员与供应商有下列利害关系之一的，应当回避：</w:t>
      </w:r>
    </w:p>
    <w:p w14:paraId="3F045AE6">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（1）参加采购活动前3年内与供应商存在劳动关系；</w:t>
      </w:r>
    </w:p>
    <w:p w14:paraId="6F21EC1C">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（2）参加采购活动前3年内担任供应商的董事、监事；</w:t>
      </w:r>
    </w:p>
    <w:p w14:paraId="5255AD9A">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（3）参加采购活动前3年内是供应商的控股股东或者实际控制人；</w:t>
      </w:r>
    </w:p>
    <w:p w14:paraId="5D56E3BD">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（4）与供应商的法定代表人或者负责人有夫妻、直系血亲、三代以内旁系血亲或者近姻亲关系；</w:t>
      </w:r>
    </w:p>
    <w:p w14:paraId="60D34E01">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（5）与供应商有其他可能影响政府采购活动公平、公正进行的关系。</w:t>
      </w:r>
    </w:p>
    <w:p w14:paraId="004274D6">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3AF7F07">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7.5有下列情形之一的视为供应商相互串通竞标，响应文件将被视为无效：</w:t>
      </w:r>
    </w:p>
    <w:p w14:paraId="40AE1C2E">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（1）不同供应商的响应文件由同一单位或者个人编制； </w:t>
      </w:r>
    </w:p>
    <w:p w14:paraId="31AC484F">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（2）不同供应商委托同一单位或者个人办理竞标事宜；</w:t>
      </w:r>
    </w:p>
    <w:p w14:paraId="170BDC93">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（3）不同的供应商的响应文件载明的项目管理员为同一个人；</w:t>
      </w:r>
    </w:p>
    <w:p w14:paraId="110E1FD0">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（4）不同供应商的响应文件异常一致或者报价呈规律性差异；</w:t>
      </w:r>
    </w:p>
    <w:p w14:paraId="788E9DD6">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（5）不同供应商的响应文件相互混装；</w:t>
      </w:r>
    </w:p>
    <w:p w14:paraId="64709656">
      <w:pPr>
        <w:tabs>
          <w:tab w:val="left" w:pos="6931"/>
        </w:tabs>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（6）不同供应商的磋商保证金从同一单位或者个人账户转出。</w:t>
      </w:r>
      <w:r>
        <w:rPr>
          <w:rFonts w:hint="eastAsia" w:ascii="方正仿宋_GB2312" w:hAnsi="方正仿宋_GB2312" w:eastAsia="方正仿宋_GB2312" w:cs="方正仿宋_GB2312"/>
          <w:color w:val="auto"/>
          <w:szCs w:val="21"/>
          <w:highlight w:val="none"/>
        </w:rPr>
        <w:tab/>
      </w:r>
    </w:p>
    <w:p w14:paraId="0D372C3E">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7.6供应商有下列情形之一的，属于恶意串通行为，将报同级监督管理部门：</w:t>
      </w:r>
    </w:p>
    <w:p w14:paraId="301B4FC0">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（1）供应商直接或者间接从采购人或者采购代理机构处获得其他供应商的相关信息并修改其响应文件；</w:t>
      </w:r>
    </w:p>
    <w:p w14:paraId="058634A6">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（2）供应商按照采购人或者采购代理机构的授意撤换、修改响应文件；</w:t>
      </w:r>
    </w:p>
    <w:p w14:paraId="41D8DA36">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（3）供应商之间协商报价、技术方案等响应文件或者响应文件的实质性内容；</w:t>
      </w:r>
    </w:p>
    <w:p w14:paraId="0E8D0EB4">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（4）属于同一集团、协会、商会等组织成员的供应商按照该组织要求协同参加政府采购活动；</w:t>
      </w:r>
    </w:p>
    <w:p w14:paraId="73C5906E">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FF30935">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（6）供应商之间商定部分供应商放弃参加政府采购活动或者放弃成交；</w:t>
      </w:r>
    </w:p>
    <w:p w14:paraId="3C6C0837">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（7）供应商与采购人或者采购代理机构之间、供应商相互之间，为谋求特定供应商成交或者排斥其他供应商的其他串通行为。</w:t>
      </w:r>
    </w:p>
    <w:p w14:paraId="6823E2D8">
      <w:pPr>
        <w:pStyle w:val="4"/>
        <w:spacing w:before="0" w:after="0" w:line="360" w:lineRule="auto"/>
        <w:jc w:val="center"/>
        <w:rPr>
          <w:rFonts w:hint="eastAsia" w:ascii="方正仿宋_GB2312" w:hAnsi="方正仿宋_GB2312" w:eastAsia="方正仿宋_GB2312" w:cs="方正仿宋_GB2312"/>
          <w:color w:val="auto"/>
          <w:highlight w:val="none"/>
        </w:rPr>
      </w:pPr>
      <w:bookmarkStart w:id="49" w:name="_Toc254970675"/>
      <w:bookmarkStart w:id="50" w:name="_Toc254970534"/>
      <w:bookmarkStart w:id="51" w:name="_Toc8091"/>
      <w:bookmarkStart w:id="52" w:name="_Toc20357"/>
      <w:bookmarkStart w:id="53" w:name="_Toc23018"/>
      <w:r>
        <w:rPr>
          <w:rFonts w:hint="eastAsia" w:ascii="方正仿宋_GB2312" w:hAnsi="方正仿宋_GB2312" w:eastAsia="方正仿宋_GB2312" w:cs="方正仿宋_GB2312"/>
          <w:color w:val="auto"/>
          <w:highlight w:val="none"/>
        </w:rPr>
        <w:t>二、磋商文件</w:t>
      </w:r>
      <w:bookmarkEnd w:id="49"/>
      <w:bookmarkEnd w:id="50"/>
      <w:bookmarkEnd w:id="51"/>
      <w:bookmarkEnd w:id="52"/>
      <w:bookmarkEnd w:id="53"/>
    </w:p>
    <w:p w14:paraId="17D4DD2A">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8.磋商文件的构成</w:t>
      </w:r>
    </w:p>
    <w:p w14:paraId="176C852E">
      <w:pPr>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第一章 竞争性磋商公告；</w:t>
      </w:r>
    </w:p>
    <w:p w14:paraId="144426F9">
      <w:pPr>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第二章 采购需求；</w:t>
      </w:r>
    </w:p>
    <w:p w14:paraId="570556F5">
      <w:pPr>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第三章 供应商须知； </w:t>
      </w:r>
    </w:p>
    <w:p w14:paraId="64C0B8A2">
      <w:pPr>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第四章 评审程序、评审方法和评审标准；</w:t>
      </w:r>
    </w:p>
    <w:p w14:paraId="692E2702">
      <w:pPr>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第五章 响应文件格式；</w:t>
      </w:r>
    </w:p>
    <w:p w14:paraId="00FD0616">
      <w:pPr>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第六章 合同文本；</w:t>
      </w:r>
    </w:p>
    <w:p w14:paraId="54D4FC36">
      <w:pPr>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第七章 质疑、投诉材料格式。</w:t>
      </w:r>
    </w:p>
    <w:p w14:paraId="534DD6C2">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9.供应商的询问</w:t>
      </w:r>
    </w:p>
    <w:p w14:paraId="4E4EC558">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041C9DE4">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10.磋商文件的澄清和修改</w:t>
      </w:r>
    </w:p>
    <w:p w14:paraId="0E60F54E">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3671F77">
      <w:pPr>
        <w:spacing w:line="360" w:lineRule="auto"/>
        <w:ind w:firstLine="422" w:firstLineChars="200"/>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342AD396">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7415822">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10.4</w:t>
      </w:r>
      <w:r>
        <w:rPr>
          <w:rFonts w:hint="eastAsia" w:ascii="方正仿宋_GB2312" w:hAnsi="方正仿宋_GB2312" w:eastAsia="方正仿宋_GB2312" w:cs="方正仿宋_GB2312"/>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2A577B08">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10.5采购人和采购代理机构可以视采购具体情况，变更提交首次响应文件截止时间和竞谈时间，将变更时间将在“采购文件公告”中“七、其他补充事宜3.网上查询地址”规定的政府采购信息发布媒体上发布更正公告。</w:t>
      </w:r>
    </w:p>
    <w:p w14:paraId="082FCF92">
      <w:pPr>
        <w:spacing w:line="360" w:lineRule="auto"/>
        <w:ind w:firstLine="420" w:firstLineChars="200"/>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w:t>
      </w:r>
      <w:r>
        <w:rPr>
          <w:rFonts w:hint="eastAsia" w:ascii="方正仿宋_GB2312" w:hAnsi="方正仿宋_GB2312" w:eastAsia="方正仿宋_GB2312" w:cs="方正仿宋_GB2312"/>
          <w:b/>
          <w:color w:val="auto"/>
          <w:kern w:val="0"/>
          <w:szCs w:val="21"/>
          <w:highlight w:val="none"/>
        </w:rPr>
        <w:t>响应文件未按磋商文件的澄清、修改的内容编制，又不符合实质性要求的，其响应文件作无效处理。</w:t>
      </w:r>
    </w:p>
    <w:p w14:paraId="40166E98">
      <w:pPr>
        <w:pStyle w:val="4"/>
        <w:spacing w:before="0" w:after="0" w:line="360" w:lineRule="auto"/>
        <w:jc w:val="center"/>
        <w:rPr>
          <w:rFonts w:hint="eastAsia" w:ascii="方正仿宋_GB2312" w:hAnsi="方正仿宋_GB2312" w:eastAsia="方正仿宋_GB2312" w:cs="方正仿宋_GB2312"/>
          <w:color w:val="auto"/>
          <w:highlight w:val="none"/>
        </w:rPr>
      </w:pPr>
      <w:bookmarkStart w:id="54" w:name="_Toc3099"/>
      <w:bookmarkStart w:id="55" w:name="_Toc29929"/>
      <w:bookmarkStart w:id="56" w:name="_Toc19638"/>
      <w:r>
        <w:rPr>
          <w:rFonts w:hint="eastAsia" w:ascii="方正仿宋_GB2312" w:hAnsi="方正仿宋_GB2312" w:eastAsia="方正仿宋_GB2312" w:cs="方正仿宋_GB2312"/>
          <w:color w:val="auto"/>
          <w:highlight w:val="none"/>
        </w:rPr>
        <w:t>三、响应文件的编制</w:t>
      </w:r>
      <w:bookmarkEnd w:id="54"/>
      <w:bookmarkEnd w:id="55"/>
      <w:bookmarkEnd w:id="56"/>
    </w:p>
    <w:p w14:paraId="74E5C6E4">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11.响应文件的编制原则</w:t>
      </w:r>
    </w:p>
    <w:p w14:paraId="2ECD236D">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供应商必须按照磋商文件的要求编制响应文件，并对其提交的响应文件的真实性、合法性承担法律责任。响应文件必须对磋商文件作出实质性响应。</w:t>
      </w:r>
    </w:p>
    <w:p w14:paraId="21DCB7F4">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12.响应文件的组成</w:t>
      </w:r>
    </w:p>
    <w:p w14:paraId="61228344">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12.1响应文件由资格证明文件、商务技术文件、报价文件三部分组成。</w:t>
      </w:r>
    </w:p>
    <w:p w14:paraId="4A0BF314">
      <w:pPr>
        <w:spacing w:line="360" w:lineRule="auto"/>
        <w:ind w:left="420" w:leftChars="200"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12.1.1资格证明文件：详见须知前附表</w:t>
      </w:r>
    </w:p>
    <w:p w14:paraId="6E582F1A">
      <w:pPr>
        <w:spacing w:line="360" w:lineRule="auto"/>
        <w:ind w:left="420" w:leftChars="200"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12.1.2商务技术文件：详见须知前附表</w:t>
      </w:r>
    </w:p>
    <w:p w14:paraId="79D6D580">
      <w:pPr>
        <w:spacing w:line="360" w:lineRule="auto"/>
        <w:ind w:left="420" w:leftChars="200"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12.1.3报价文件：详见须知前附表</w:t>
      </w:r>
    </w:p>
    <w:p w14:paraId="4885A3D6">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12.2响应文件电子版：详见须知前附表</w:t>
      </w:r>
    </w:p>
    <w:p w14:paraId="263F8C40">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13.计量单位</w:t>
      </w:r>
    </w:p>
    <w:p w14:paraId="4A498F01">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磋商文件已有明确规定的，使用磋商文件规定的计量单位；磋商文件没有规定的，应采用中华人民共和国法定计量单位，货币种类为人民币，否则视同未响应。</w:t>
      </w:r>
    </w:p>
    <w:p w14:paraId="7C544DF9">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14.竞标的风险</w:t>
      </w:r>
    </w:p>
    <w:p w14:paraId="39884151">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供应商没有按照磋商文件要求提供全部资料，或者供应商没有对磋商文件在各方面作出实质性响应可能导致其响应无效，是供应商应当考虑的风险。</w:t>
      </w:r>
    </w:p>
    <w:p w14:paraId="563C36A2">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15.响应报价要求和构成</w:t>
      </w:r>
    </w:p>
    <w:p w14:paraId="0E0C2DFA">
      <w:pPr>
        <w:tabs>
          <w:tab w:val="left" w:pos="2492"/>
        </w:tabs>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15.1响应报价应按“第五章 响应文件格式”中“响应报价表、已标价工程量清单”格式填写。</w:t>
      </w:r>
    </w:p>
    <w:p w14:paraId="67670B7C">
      <w:pPr>
        <w:tabs>
          <w:tab w:val="left" w:pos="2492"/>
        </w:tabs>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15.2响应报价的价格构成见“供应商须知前附表”。</w:t>
      </w:r>
    </w:p>
    <w:p w14:paraId="23AA957B">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15.3响应报价要求</w:t>
      </w:r>
    </w:p>
    <w:p w14:paraId="1F6E544E">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15.3.1供应商的响应报价应符合以下要求，否则响应文件按无效响应处理：</w:t>
      </w:r>
    </w:p>
    <w:p w14:paraId="18F4E1F5">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（1）供应商必须就“采购需求”中所竞标的每个分标的全部内容分别作完整唯一总价报价，不得存在漏项报价；</w:t>
      </w:r>
    </w:p>
    <w:p w14:paraId="6F83815B">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（2）供应商必须就所竞标的分标的单项内容作唯一报价。</w:t>
      </w:r>
    </w:p>
    <w:p w14:paraId="7A9F85A2">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15.3.2响应报价（包含首次报价、最后报价）超过所竞标分标规定的采购预算金额或者最高限价的，其响应文件将作无效处理。</w:t>
      </w:r>
    </w:p>
    <w:p w14:paraId="12ECE305">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15.3.3</w:t>
      </w:r>
      <w:bookmarkStart w:id="57" w:name="_Hlk42592874"/>
      <w:r>
        <w:rPr>
          <w:rFonts w:hint="eastAsia" w:ascii="方正仿宋_GB2312" w:hAnsi="方正仿宋_GB2312" w:eastAsia="方正仿宋_GB2312" w:cs="方正仿宋_GB2312"/>
          <w:color w:val="auto"/>
          <w:szCs w:val="21"/>
          <w:highlight w:val="none"/>
        </w:rPr>
        <w:t>响应报价（包含首次报价、最后报价）超过分项采购预算金额或者最高限价的，其响应文件将作无效处理。</w:t>
      </w:r>
    </w:p>
    <w:bookmarkEnd w:id="57"/>
    <w:p w14:paraId="446DED4D">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16.竞标有效期</w:t>
      </w:r>
    </w:p>
    <w:p w14:paraId="1C6FB67D">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BF8141F">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16.2 竞标有效期应由供应商按“供应商须知前附表”规定的期限作出响应。</w:t>
      </w:r>
    </w:p>
    <w:p w14:paraId="42177F8C">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16.3供应商的响应文件在竞标有效期内均保持有效。</w:t>
      </w:r>
    </w:p>
    <w:p w14:paraId="2D5FB9AB">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17.磋商保证金</w:t>
      </w:r>
    </w:p>
    <w:p w14:paraId="4331282F">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详见“供应商须知前附表”。</w:t>
      </w:r>
    </w:p>
    <w:p w14:paraId="35474496">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18.响应文件编制的要求</w:t>
      </w:r>
    </w:p>
    <w:p w14:paraId="4AE0F027">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方正仿宋_GB2312" w:hAnsi="方正仿宋_GB2312" w:eastAsia="方正仿宋_GB2312" w:cs="方正仿宋_GB2312"/>
          <w:color w:val="auto"/>
          <w:highlight w:val="none"/>
        </w:rPr>
        <w:t>由此引发的</w:t>
      </w:r>
      <w:r>
        <w:rPr>
          <w:rFonts w:hint="eastAsia" w:ascii="方正仿宋_GB2312" w:hAnsi="方正仿宋_GB2312" w:eastAsia="方正仿宋_GB2312" w:cs="方正仿宋_GB2312"/>
          <w:color w:val="auto"/>
          <w:szCs w:val="21"/>
          <w:highlight w:val="none"/>
        </w:rPr>
        <w:t>后果由供应商承担。</w:t>
      </w:r>
    </w:p>
    <w:p w14:paraId="7DEAB0C8">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18.2响应文件应按资格证明、报价分别编制，商务技术文件合并编制，本磋商只接受电子版响应文件，要求见本章“12.2响应文件电子版要求”。</w:t>
      </w:r>
    </w:p>
    <w:p w14:paraId="213FAABA">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18.</w:t>
      </w:r>
      <w:bookmarkStart w:id="58" w:name="_Hlk65832699"/>
      <w:r>
        <w:rPr>
          <w:rFonts w:hint="eastAsia" w:ascii="方正仿宋_GB2312" w:hAnsi="方正仿宋_GB2312" w:eastAsia="方正仿宋_GB2312" w:cs="方正仿宋_GB2312"/>
          <w:color w:val="auto"/>
          <w:szCs w:val="21"/>
          <w:highlight w:val="none"/>
        </w:rPr>
        <w:t>3响应文件须由供应商在</w:t>
      </w:r>
      <w:r>
        <w:rPr>
          <w:rFonts w:hint="eastAsia" w:ascii="方正仿宋_GB2312" w:hAnsi="方正仿宋_GB2312" w:eastAsia="方正仿宋_GB2312" w:cs="方正仿宋_GB2312"/>
          <w:color w:val="auto"/>
          <w:kern w:val="0"/>
          <w:szCs w:val="21"/>
          <w:highlight w:val="none"/>
          <w:lang w:val="zh-CN"/>
        </w:rPr>
        <w:t>“</w:t>
      </w:r>
      <w:r>
        <w:rPr>
          <w:rFonts w:hint="eastAsia" w:ascii="方正仿宋_GB2312" w:hAnsi="方正仿宋_GB2312" w:eastAsia="方正仿宋_GB2312" w:cs="方正仿宋_GB2312"/>
          <w:color w:val="auto"/>
          <w:szCs w:val="21"/>
          <w:highlight w:val="none"/>
        </w:rPr>
        <w:t>第五章 响应文件格式</w:t>
      </w:r>
      <w:r>
        <w:rPr>
          <w:rFonts w:hint="eastAsia" w:ascii="方正仿宋_GB2312" w:hAnsi="方正仿宋_GB2312" w:eastAsia="方正仿宋_GB2312" w:cs="方正仿宋_GB2312"/>
          <w:color w:val="auto"/>
          <w:kern w:val="0"/>
          <w:szCs w:val="21"/>
          <w:highlight w:val="none"/>
          <w:lang w:val="zh-CN"/>
        </w:rPr>
        <w:t>”</w:t>
      </w:r>
      <w:r>
        <w:rPr>
          <w:rFonts w:hint="eastAsia" w:ascii="方正仿宋_GB2312" w:hAnsi="方正仿宋_GB2312" w:eastAsia="方正仿宋_GB2312" w:cs="方正仿宋_GB2312"/>
          <w:color w:val="auto"/>
          <w:szCs w:val="21"/>
          <w:highlight w:val="none"/>
        </w:rPr>
        <w:t>规定位置进行签署、盖章</w:t>
      </w:r>
      <w:bookmarkEnd w:id="58"/>
      <w:r>
        <w:rPr>
          <w:rFonts w:hint="eastAsia" w:ascii="方正仿宋_GB2312" w:hAnsi="方正仿宋_GB2312" w:eastAsia="方正仿宋_GB2312" w:cs="方正仿宋_GB2312"/>
          <w:color w:val="auto"/>
          <w:szCs w:val="21"/>
          <w:highlight w:val="none"/>
        </w:rPr>
        <w:t>，否则其响应文件按无效响应处理。骑缝盖公章不视为在规定位置盖章。</w:t>
      </w:r>
    </w:p>
    <w:p w14:paraId="60537656">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18.4响应文件中标注的供应商名称应与营业执照（事业单位法人证书、执业许可证、自然人身份证）及电子公章一致，否则其响应文件按无效响应处理。</w:t>
      </w:r>
    </w:p>
    <w:p w14:paraId="3F9BC904">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18.5响应文件应避免涂改、行间插字或者删除，否则其响应文件按无效响应处理。</w:t>
      </w:r>
    </w:p>
    <w:p w14:paraId="4F26D993">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19.响应文件的密封和标记</w:t>
      </w:r>
    </w:p>
    <w:p w14:paraId="3E51C710">
      <w:pPr>
        <w:spacing w:line="360" w:lineRule="auto"/>
        <w:ind w:firstLine="420" w:firstLineChars="200"/>
        <w:rPr>
          <w:rFonts w:hint="eastAsia" w:ascii="方正仿宋_GB2312" w:hAnsi="方正仿宋_GB2312" w:eastAsia="方正仿宋_GB2312" w:cs="方正仿宋_GB2312"/>
          <w:color w:val="auto"/>
          <w:kern w:val="0"/>
          <w:szCs w:val="21"/>
          <w:highlight w:val="none"/>
          <w:lang w:val="zh-CN"/>
        </w:rPr>
      </w:pPr>
      <w:r>
        <w:rPr>
          <w:rFonts w:hint="eastAsia" w:ascii="方正仿宋_GB2312" w:hAnsi="方正仿宋_GB2312" w:eastAsia="方正仿宋_GB2312" w:cs="方正仿宋_GB2312"/>
          <w:color w:val="auto"/>
          <w:kern w:val="0"/>
          <w:szCs w:val="21"/>
          <w:highlight w:val="none"/>
          <w:lang w:val="zh-CN"/>
        </w:rPr>
        <w:t>19.1供应商进行电子交易应安装客户端软件—“广西政府采购云电子交易客户端”，并按照磋商文件和电子交易平台的要求编制并加密响应文件。供应商未按规定加密的响应文件，电子交易平台将拒收并提示。</w:t>
      </w:r>
    </w:p>
    <w:p w14:paraId="2F4C5606">
      <w:pPr>
        <w:spacing w:line="360" w:lineRule="auto"/>
        <w:ind w:firstLine="420" w:firstLineChars="200"/>
        <w:rPr>
          <w:rFonts w:hint="eastAsia" w:ascii="方正仿宋_GB2312" w:hAnsi="方正仿宋_GB2312" w:eastAsia="方正仿宋_GB2312" w:cs="方正仿宋_GB2312"/>
          <w:color w:val="auto"/>
          <w:kern w:val="0"/>
          <w:szCs w:val="21"/>
          <w:highlight w:val="none"/>
          <w:lang w:val="zh-CN"/>
        </w:rPr>
      </w:pPr>
      <w:r>
        <w:rPr>
          <w:rFonts w:hint="eastAsia" w:ascii="方正仿宋_GB2312" w:hAnsi="方正仿宋_GB2312" w:eastAsia="方正仿宋_GB2312" w:cs="方正仿宋_GB2312"/>
          <w:color w:val="auto"/>
          <w:kern w:val="0"/>
          <w:szCs w:val="21"/>
          <w:highlight w:val="none"/>
          <w:lang w:val="zh-CN"/>
        </w:rPr>
        <w:t>19.2使用“广西政府采购云电子交易客户端”需要提前申领CA数字证书，申领流程见该项目采购公告附件。</w:t>
      </w:r>
    </w:p>
    <w:p w14:paraId="548DD254">
      <w:pPr>
        <w:pStyle w:val="17"/>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BBF1EFB">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20.响应文件的提交</w:t>
      </w:r>
    </w:p>
    <w:p w14:paraId="5B80A867">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20.1供应商必须在“供应商须知前附表”规定的时间和地点提交响应文件。</w:t>
      </w:r>
    </w:p>
    <w:p w14:paraId="0B0D7662">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20.2 在响应文件提交截止时间以后，不能补充、修改响应文件。</w:t>
      </w:r>
    </w:p>
    <w:p w14:paraId="705DC9BE">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20.3 在提交“最后报价”后，供应商不能退出磋商。</w:t>
      </w:r>
    </w:p>
    <w:p w14:paraId="25E960EB">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A6609F5">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20.5 采购机构不可视情况延长提交响应文件的截止时间。</w:t>
      </w:r>
    </w:p>
    <w:p w14:paraId="5EAC01F9">
      <w:pPr>
        <w:spacing w:line="360" w:lineRule="auto"/>
        <w:ind w:firstLine="42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Cs w:val="21"/>
          <w:highlight w:val="none"/>
        </w:rPr>
        <w:t>20.6备份响应文件。</w:t>
      </w:r>
      <w:r>
        <w:rPr>
          <w:rFonts w:hint="eastAsia" w:ascii="方正仿宋_GB2312" w:hAnsi="方正仿宋_GB2312" w:eastAsia="方正仿宋_GB2312" w:cs="方正仿宋_GB2312"/>
          <w:bCs/>
          <w:color w:val="auto"/>
          <w:szCs w:val="21"/>
          <w:highlight w:val="none"/>
        </w:rPr>
        <w:t>详见在“供应商须知前附表”。</w:t>
      </w:r>
    </w:p>
    <w:p w14:paraId="02566792">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21.首次响应文件的补充、修改与撤回</w:t>
      </w:r>
    </w:p>
    <w:p w14:paraId="015448D6">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详见“供应商须知前附表”。</w:t>
      </w:r>
    </w:p>
    <w:p w14:paraId="54ABF8C0">
      <w:pPr>
        <w:spacing w:line="360" w:lineRule="auto"/>
        <w:ind w:firstLine="422" w:firstLineChars="175"/>
        <w:rPr>
          <w:rFonts w:hint="eastAsia" w:ascii="方正仿宋_GB2312" w:hAnsi="方正仿宋_GB2312" w:eastAsia="方正仿宋_GB2312" w:cs="方正仿宋_GB2312"/>
          <w:b/>
          <w:bCs/>
          <w:color w:val="auto"/>
          <w:sz w:val="24"/>
          <w:highlight w:val="none"/>
        </w:rPr>
      </w:pPr>
      <w:bookmarkStart w:id="59" w:name="_Hlk45702405"/>
      <w:r>
        <w:rPr>
          <w:rFonts w:hint="eastAsia" w:ascii="方正仿宋_GB2312" w:hAnsi="方正仿宋_GB2312" w:eastAsia="方正仿宋_GB2312" w:cs="方正仿宋_GB2312"/>
          <w:b/>
          <w:bCs/>
          <w:color w:val="auto"/>
          <w:sz w:val="24"/>
          <w:highlight w:val="none"/>
        </w:rPr>
        <w:t>22.首次响应文件的退回</w:t>
      </w:r>
    </w:p>
    <w:p w14:paraId="6EC32258">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6F67BF1B">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23.截止时间后的撤回</w:t>
      </w:r>
    </w:p>
    <w:p w14:paraId="3BD6EDDD">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本项目不收取磋商保证金，供应商在首次响应文件提交截止时间后可向采购人、采购代理机构书面申请撤回电子响应文件。</w:t>
      </w:r>
      <w:bookmarkEnd w:id="59"/>
    </w:p>
    <w:p w14:paraId="7FA6B5BC">
      <w:pPr>
        <w:pStyle w:val="4"/>
        <w:spacing w:before="0" w:after="0" w:line="360" w:lineRule="auto"/>
        <w:jc w:val="center"/>
        <w:rPr>
          <w:rFonts w:hint="eastAsia" w:ascii="方正仿宋_GB2312" w:hAnsi="方正仿宋_GB2312" w:eastAsia="方正仿宋_GB2312" w:cs="方正仿宋_GB2312"/>
          <w:color w:val="auto"/>
          <w:highlight w:val="none"/>
        </w:rPr>
      </w:pPr>
      <w:bookmarkStart w:id="60" w:name="_Toc3515"/>
      <w:bookmarkStart w:id="61" w:name="_Toc25502"/>
      <w:bookmarkStart w:id="62" w:name="_Toc22314"/>
      <w:r>
        <w:rPr>
          <w:rFonts w:hint="eastAsia" w:ascii="方正仿宋_GB2312" w:hAnsi="方正仿宋_GB2312" w:eastAsia="方正仿宋_GB2312" w:cs="方正仿宋_GB2312"/>
          <w:color w:val="auto"/>
          <w:highlight w:val="none"/>
        </w:rPr>
        <w:t>四、评审及磋商</w:t>
      </w:r>
      <w:bookmarkEnd w:id="60"/>
      <w:bookmarkEnd w:id="61"/>
      <w:bookmarkEnd w:id="62"/>
    </w:p>
    <w:p w14:paraId="7552C902">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24.磋商小组成立</w:t>
      </w:r>
    </w:p>
    <w:p w14:paraId="153FA634">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24.1磋商小组由采购人代表和评审专家共3人</w:t>
      </w:r>
      <w:r>
        <w:rPr>
          <w:rFonts w:hint="eastAsia" w:ascii="方正仿宋_GB2312" w:hAnsi="方正仿宋_GB2312" w:eastAsia="方正仿宋_GB2312" w:cs="方正仿宋_GB2312"/>
          <w:color w:val="auto"/>
          <w:szCs w:val="21"/>
          <w:highlight w:val="none"/>
          <w:lang w:eastAsia="zh-CN"/>
        </w:rPr>
        <w:t>（含</w:t>
      </w:r>
      <w:r>
        <w:rPr>
          <w:rFonts w:hint="eastAsia" w:ascii="方正仿宋_GB2312" w:hAnsi="方正仿宋_GB2312" w:eastAsia="方正仿宋_GB2312" w:cs="方正仿宋_GB2312"/>
          <w:color w:val="auto"/>
          <w:szCs w:val="21"/>
          <w:highlight w:val="none"/>
          <w:lang w:val="en-US" w:eastAsia="zh-CN"/>
        </w:rPr>
        <w:t>3人</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w:t>
      </w:r>
      <w:r>
        <w:rPr>
          <w:rFonts w:hint="eastAsia" w:ascii="方正仿宋_GB2312" w:hAnsi="方正仿宋_GB2312" w:eastAsia="方正仿宋_GB2312" w:cs="方正仿宋_GB2312"/>
          <w:color w:val="auto"/>
          <w:szCs w:val="21"/>
          <w:highlight w:val="none"/>
          <w:lang w:eastAsia="zh-CN"/>
        </w:rPr>
        <w:t>（含</w:t>
      </w:r>
      <w:r>
        <w:rPr>
          <w:rFonts w:hint="eastAsia" w:ascii="方正仿宋_GB2312" w:hAnsi="方正仿宋_GB2312" w:eastAsia="方正仿宋_GB2312" w:cs="方正仿宋_GB2312"/>
          <w:color w:val="auto"/>
          <w:szCs w:val="21"/>
          <w:highlight w:val="none"/>
          <w:lang w:val="en-US" w:eastAsia="zh-CN"/>
        </w:rPr>
        <w:t>5人</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以上单数组成。</w:t>
      </w:r>
    </w:p>
    <w:p w14:paraId="051CA8DB">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83524D0">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25.首次响应文件的开启</w:t>
      </w:r>
    </w:p>
    <w:p w14:paraId="3B2FB759">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25.1首次响应文件由磋商小组或者采购代理机构在“供应商须知前附表”规定的时间开启。</w:t>
      </w:r>
    </w:p>
    <w:p w14:paraId="70DFC030">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25.2 响应文件解密</w:t>
      </w:r>
    </w:p>
    <w:p w14:paraId="7510D075">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采购代理机构将在“供应商须知前附表”规定的时间通过电子交易平台组织响应文件开启，采购机构依托电子交易平台发起开始解密指令，供应商的法定代表人或其委托代理人</w:t>
      </w:r>
      <w:r>
        <w:rPr>
          <w:rFonts w:hint="eastAsia" w:ascii="方正仿宋_GB2312" w:hAnsi="方正仿宋_GB2312" w:eastAsia="方正仿宋_GB2312" w:cs="方正仿宋_GB2312"/>
          <w:b/>
          <w:bCs/>
          <w:color w:val="auto"/>
          <w:szCs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方正仿宋_GB2312" w:hAnsi="方正仿宋_GB2312" w:eastAsia="方正仿宋_GB2312" w:cs="方正仿宋_GB2312"/>
          <w:color w:val="auto"/>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方正仿宋_GB2312" w:hAnsi="方正仿宋_GB2312" w:eastAsia="方正仿宋_GB2312" w:cs="方正仿宋_GB2312"/>
          <w:b/>
          <w:bCs/>
          <w:color w:val="auto"/>
          <w:szCs w:val="21"/>
          <w:highlight w:val="none"/>
        </w:rPr>
        <w:t>视为响应文件无效。</w:t>
      </w:r>
      <w:r>
        <w:rPr>
          <w:rFonts w:hint="eastAsia" w:ascii="方正仿宋_GB2312" w:hAnsi="方正仿宋_GB2312" w:eastAsia="方正仿宋_GB2312" w:cs="方正仿宋_GB2312"/>
          <w:color w:val="auto"/>
          <w:szCs w:val="21"/>
          <w:highlight w:val="none"/>
        </w:rPr>
        <w:t>（解密异常情况处理：详见本章26.3 电子交易活动的中止。）</w:t>
      </w:r>
    </w:p>
    <w:p w14:paraId="28B0DA57">
      <w:pPr>
        <w:pStyle w:val="17"/>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如</w:t>
      </w:r>
      <w:r>
        <w:rPr>
          <w:rFonts w:hint="eastAsia" w:ascii="方正仿宋_GB2312" w:hAnsi="方正仿宋_GB2312" w:eastAsia="方正仿宋_GB2312" w:cs="方正仿宋_GB2312"/>
          <w:bCs/>
          <w:color w:val="auto"/>
          <w:sz w:val="21"/>
          <w:highlight w:val="none"/>
        </w:rPr>
        <w:t>供应商成功解密响应文件，但未在“广西政府采购云”电子开标大厅参加磋商的，视同认可磋商过程和结果，</w:t>
      </w:r>
      <w:r>
        <w:rPr>
          <w:rFonts w:hint="eastAsia" w:ascii="方正仿宋_GB2312" w:hAnsi="方正仿宋_GB2312" w:eastAsia="方正仿宋_GB2312" w:cs="方正仿宋_GB2312"/>
          <w:color w:val="auto"/>
          <w:sz w:val="21"/>
          <w:highlight w:val="none"/>
        </w:rPr>
        <w:t>由此产生的后果由供应商自行负责。 参与磋商的供应商不足3家的，不得磋商。</w:t>
      </w:r>
    </w:p>
    <w:p w14:paraId="22A26955">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26.评审程序、评审方法和评审标准</w:t>
      </w:r>
    </w:p>
    <w:p w14:paraId="2698D337">
      <w:pPr>
        <w:spacing w:line="360" w:lineRule="auto"/>
        <w:ind w:firstLine="420" w:firstLineChars="200"/>
        <w:rPr>
          <w:rFonts w:hint="eastAsia" w:ascii="方正仿宋_GB2312" w:hAnsi="方正仿宋_GB2312" w:eastAsia="方正仿宋_GB2312" w:cs="方正仿宋_GB2312"/>
          <w:color w:val="auto"/>
          <w:szCs w:val="21"/>
          <w:highlight w:val="none"/>
        </w:rPr>
      </w:pPr>
      <w:bookmarkStart w:id="63" w:name="_Toc15315"/>
      <w:r>
        <w:rPr>
          <w:rFonts w:hint="eastAsia" w:ascii="方正仿宋_GB2312" w:hAnsi="方正仿宋_GB2312" w:eastAsia="方正仿宋_GB2312" w:cs="方正仿宋_GB2312"/>
          <w:color w:val="auto"/>
          <w:szCs w:val="21"/>
          <w:highlight w:val="none"/>
        </w:rPr>
        <w:t>26.1磋商小组按照“第四章 评审程序、评审方法和评审标准”规定的方法、评审因素、标准和程序对响应文件进行评审。</w:t>
      </w:r>
    </w:p>
    <w:p w14:paraId="7331A6AD">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26.2 磋商文件内容违反国家有关强制性规定的，磋商小组应当停止评审并向采购人或者采购代理机构说明情况，并在评审报告中书面体现。</w:t>
      </w:r>
    </w:p>
    <w:p w14:paraId="674E86AB">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26.3 采购需求负偏离要求及磋商顺序详见“ 供应商须知前附表”。</w:t>
      </w:r>
    </w:p>
    <w:p w14:paraId="4062343B">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26.4电子交易活动的中止。采购过程中出现以下情形，导致电子交易平台无法正常运行，或者无法保证电子交易的公平、公正和安全时，采购机构可中止电子交易活动：</w:t>
      </w:r>
    </w:p>
    <w:p w14:paraId="154C693A">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（1）电子交易平台发生故障而无法登录访问的； </w:t>
      </w:r>
    </w:p>
    <w:p w14:paraId="265EF0D9">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（2）电子交易平台应用或数据库出现错误，不能进行正常操作的；</w:t>
      </w:r>
    </w:p>
    <w:p w14:paraId="7039B810">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（3）电子交易平台发现严重安全漏洞，有潜在泄密危险的；</w:t>
      </w:r>
    </w:p>
    <w:p w14:paraId="19749C40">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（4）病毒发作导致不能进行正常操作的； </w:t>
      </w:r>
    </w:p>
    <w:p w14:paraId="651D1B83">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（5）其他无法保证电子交易的公平、公正和安全的情况。</w:t>
      </w:r>
    </w:p>
    <w:p w14:paraId="5E22FF56">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28EC46C">
      <w:pPr>
        <w:suppressAutoHyphens/>
        <w:spacing w:line="400" w:lineRule="exact"/>
        <w:ind w:firstLine="420" w:firstLineChars="200"/>
        <w:rPr>
          <w:rFonts w:hint="eastAsia" w:ascii="仿宋" w:hAnsi="仿宋" w:eastAsia="仿宋" w:cs="仿宋"/>
          <w:color w:val="000000"/>
          <w:sz w:val="21"/>
          <w:szCs w:val="21"/>
          <w:highlight w:val="none"/>
        </w:rPr>
      </w:pPr>
      <w:bookmarkStart w:id="64" w:name="_Toc16614"/>
      <w:bookmarkStart w:id="65" w:name="_Toc17141"/>
      <w:r>
        <w:rPr>
          <w:rFonts w:hint="eastAsia" w:ascii="仿宋" w:hAnsi="仿宋" w:eastAsia="仿宋" w:cs="仿宋"/>
          <w:color w:val="000000"/>
          <w:sz w:val="21"/>
          <w:szCs w:val="21"/>
          <w:highlight w:val="none"/>
          <w:lang w:val="en-US" w:eastAsia="zh-CN"/>
        </w:rPr>
        <w:t>26.6</w:t>
      </w:r>
      <w:r>
        <w:rPr>
          <w:rFonts w:hint="eastAsia" w:ascii="仿宋" w:hAnsi="仿宋" w:eastAsia="仿宋" w:cs="仿宋"/>
          <w:color w:val="000000"/>
          <w:sz w:val="21"/>
          <w:szCs w:val="21"/>
          <w:highlight w:val="none"/>
        </w:rPr>
        <w:t>政府采购异常低价审查程序</w:t>
      </w:r>
    </w:p>
    <w:p w14:paraId="1A2925EE">
      <w:pPr>
        <w:suppressAutoHyphens/>
        <w:spacing w:line="40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26.6.1</w:t>
      </w:r>
      <w:r>
        <w:rPr>
          <w:rFonts w:hint="eastAsia" w:ascii="仿宋" w:hAnsi="仿宋" w:eastAsia="仿宋" w:cs="仿宋"/>
          <w:color w:val="000000"/>
          <w:sz w:val="21"/>
          <w:szCs w:val="21"/>
          <w:highlight w:val="none"/>
        </w:rPr>
        <w:t>评审中出现下列情形之一的，评审委员会应当启动异常低价响应审查程序：</w:t>
      </w:r>
    </w:p>
    <w:p w14:paraId="609E2F5C">
      <w:pPr>
        <w:suppressAutoHyphens/>
        <w:spacing w:line="40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1</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响应报价低于全部通过符合性审查供应商响应报价平均值50%的，即响应报价&lt;全部通过符合性审查供应商响应报价平均值×50%；</w:t>
      </w:r>
    </w:p>
    <w:p w14:paraId="3DFC2891">
      <w:pPr>
        <w:suppressAutoHyphens/>
        <w:spacing w:line="40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2</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响应报价低于通过符合性审查的次低报价供应商响应报价50%的，即响应报价&lt;通过符合性审查的次低报价供应商响应报价×50%；</w:t>
      </w:r>
    </w:p>
    <w:p w14:paraId="3999D0FD">
      <w:pPr>
        <w:suppressAutoHyphens/>
        <w:spacing w:line="40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响应报价低于采购项目最高限价45%的，即响应报价&lt;采购项目最高限价×45%；</w:t>
      </w:r>
    </w:p>
    <w:p w14:paraId="4CFEB7B8">
      <w:pPr>
        <w:suppressAutoHyphens/>
        <w:spacing w:line="40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4</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评审委员会基于专业判断，认为供应商报价过低，有可能影响产品质量或者不能诚信履约的其他情形。</w:t>
      </w:r>
    </w:p>
    <w:p w14:paraId="593F4E7E">
      <w:pPr>
        <w:suppressAutoHyphens/>
        <w:spacing w:line="40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采购人可以结合具体项目实际情况，提高上述第1项至第3项中启动异常低价响应审查的数值标准，但是最高不得超过65%。</w:t>
      </w:r>
    </w:p>
    <w:p w14:paraId="445119E5">
      <w:pPr>
        <w:suppressAutoHyphens/>
        <w:spacing w:line="40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375B13C3">
      <w:pPr>
        <w:suppressAutoHyphens/>
        <w:spacing w:line="40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26.6.2</w:t>
      </w:r>
      <w:r>
        <w:rPr>
          <w:rFonts w:hint="eastAsia" w:ascii="仿宋" w:hAnsi="仿宋" w:eastAsia="仿宋" w:cs="仿宋"/>
          <w:color w:val="000000"/>
          <w:sz w:val="21"/>
          <w:szCs w:val="21"/>
          <w:highlight w:val="none"/>
        </w:rPr>
        <w:t>评审委员会依据专业经验，参考同类项目</w:t>
      </w:r>
      <w:r>
        <w:rPr>
          <w:rFonts w:hint="eastAsia" w:ascii="仿宋" w:hAnsi="仿宋" w:eastAsia="仿宋" w:cs="仿宋"/>
          <w:color w:val="000000"/>
          <w:sz w:val="21"/>
          <w:szCs w:val="21"/>
          <w:highlight w:val="none"/>
          <w:lang w:eastAsia="zh-CN"/>
        </w:rPr>
        <w:t>成交</w:t>
      </w:r>
      <w:r>
        <w:rPr>
          <w:rFonts w:hint="eastAsia" w:ascii="仿宋" w:hAnsi="仿宋" w:eastAsia="仿宋" w:cs="仿宋"/>
          <w:color w:val="000000"/>
          <w:sz w:val="21"/>
          <w:szCs w:val="21"/>
          <w:highlight w:val="none"/>
        </w:rPr>
        <w:t>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1AB0C321">
      <w:pPr>
        <w:suppressAutoHyphens/>
        <w:spacing w:line="40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26.6.3</w:t>
      </w:r>
      <w:r>
        <w:rPr>
          <w:rFonts w:hint="eastAsia" w:ascii="仿宋" w:hAnsi="仿宋" w:eastAsia="仿宋" w:cs="仿宋"/>
          <w:color w:val="000000"/>
          <w:sz w:val="21"/>
          <w:szCs w:val="21"/>
          <w:highlight w:val="none"/>
        </w:rPr>
        <w:t>采购人、采购代理机构应当为评审委员会在评审现场及时获取同类项目</w:t>
      </w:r>
      <w:r>
        <w:rPr>
          <w:rFonts w:hint="eastAsia" w:ascii="仿宋" w:hAnsi="仿宋" w:eastAsia="仿宋" w:cs="仿宋"/>
          <w:color w:val="000000"/>
          <w:sz w:val="21"/>
          <w:szCs w:val="21"/>
          <w:highlight w:val="none"/>
          <w:lang w:eastAsia="zh-CN"/>
        </w:rPr>
        <w:t>成交</w:t>
      </w:r>
      <w:r>
        <w:rPr>
          <w:rFonts w:hint="eastAsia" w:ascii="仿宋" w:hAnsi="仿宋" w:eastAsia="仿宋" w:cs="仿宋"/>
          <w:color w:val="000000"/>
          <w:sz w:val="21"/>
          <w:szCs w:val="21"/>
          <w:highlight w:val="none"/>
        </w:rPr>
        <w:t>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1D89198">
      <w:pPr>
        <w:suppressAutoHyphens/>
        <w:spacing w:line="40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26.6.4</w:t>
      </w:r>
      <w:r>
        <w:rPr>
          <w:rFonts w:hint="eastAsia" w:ascii="仿宋" w:hAnsi="仿宋" w:eastAsia="仿宋" w:cs="仿宋"/>
          <w:color w:val="000000"/>
          <w:sz w:val="21"/>
          <w:szCs w:val="21"/>
          <w:highlight w:val="none"/>
        </w:rPr>
        <w:t>异常低价响应审查的启动原因、审查意见和审查结果应当在评审报告中记录，并随供应商提供的相关书面说明及证明材料，以及评审委员会有关互联网浏览、查询历史一并归档。</w:t>
      </w:r>
    </w:p>
    <w:p w14:paraId="63FF292F">
      <w:pPr>
        <w:suppressAutoHyphens/>
        <w:spacing w:line="40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26.6.5</w:t>
      </w:r>
      <w:r>
        <w:rPr>
          <w:rFonts w:hint="eastAsia" w:ascii="仿宋" w:hAnsi="仿宋" w:eastAsia="仿宋" w:cs="仿宋"/>
          <w:color w:val="000000"/>
          <w:sz w:val="21"/>
          <w:szCs w:val="21"/>
          <w:highlight w:val="none"/>
        </w:rPr>
        <w:t>采购人将落实履约验收责任，依法组织履约验收工作，验收内容要包括每一项技术和商务要求的履约情况。对报价触发异常低价响应审查程序后仍成交的供应商，重点关注其履约承诺、实际履约情况等。对可以分期实施的采购项目，实行分期考核、分期验收、分期支付，及时掌握供应商履约进展。如供应商成交后无正当理由拒不签订政府采购合同的，依法予以处理；如供应商不履行合同或者未按合同约定履行合同导致验收不合格的，采购人当依法追究其违约责任。</w:t>
      </w:r>
    </w:p>
    <w:p w14:paraId="1AEBC8E9">
      <w:pPr>
        <w:spacing w:before="0" w:after="0" w:line="360" w:lineRule="auto"/>
        <w:jc w:val="center"/>
        <w:outlineLvl w:val="9"/>
        <w:rPr>
          <w:rFonts w:hint="eastAsia" w:ascii="方正仿宋_GB2312" w:hAnsi="方正仿宋_GB2312" w:eastAsia="方正仿宋_GB2312" w:cs="方正仿宋_GB2312"/>
          <w:color w:val="auto"/>
          <w:highlight w:val="none"/>
        </w:rPr>
      </w:pPr>
    </w:p>
    <w:p w14:paraId="41800720">
      <w:pPr>
        <w:pStyle w:val="4"/>
        <w:spacing w:before="0" w:after="0" w:line="360"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五、成交及合同</w:t>
      </w:r>
      <w:bookmarkEnd w:id="63"/>
      <w:bookmarkEnd w:id="64"/>
      <w:bookmarkEnd w:id="65"/>
    </w:p>
    <w:p w14:paraId="752DD95C">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27.确定成交供应商及结果公告</w:t>
      </w:r>
    </w:p>
    <w:p w14:paraId="7672F42D">
      <w:pPr>
        <w:spacing w:line="360" w:lineRule="auto"/>
        <w:ind w:firstLine="420" w:firstLineChars="200"/>
        <w:rPr>
          <w:rFonts w:hint="eastAsia" w:ascii="方正仿宋_GB2312" w:hAnsi="方正仿宋_GB2312" w:eastAsia="方正仿宋_GB2312" w:cs="方正仿宋_GB2312"/>
          <w:color w:val="auto"/>
          <w:kern w:val="0"/>
          <w:szCs w:val="21"/>
          <w:highlight w:val="none"/>
          <w:u w:val="single"/>
        </w:rPr>
      </w:pPr>
      <w:r>
        <w:rPr>
          <w:rFonts w:hint="eastAsia" w:ascii="方正仿宋_GB2312" w:hAnsi="方正仿宋_GB2312" w:eastAsia="方正仿宋_GB2312" w:cs="方正仿宋_GB2312"/>
          <w:color w:val="auto"/>
          <w:szCs w:val="21"/>
          <w:highlight w:val="none"/>
        </w:rPr>
        <w:t>27.1确定成交供应商。</w:t>
      </w:r>
      <w:r>
        <w:rPr>
          <w:rFonts w:hint="eastAsia" w:ascii="方正仿宋_GB2312" w:hAnsi="方正仿宋_GB2312" w:eastAsia="方正仿宋_GB2312" w:cs="方正仿宋_GB2312"/>
          <w:color w:val="auto"/>
          <w:kern w:val="0"/>
          <w:szCs w:val="21"/>
          <w:highlight w:val="none"/>
          <w:u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1724FD9">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27.2成交通知及成交结果公告。成交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2014ECD8">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396C7A4E">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59D82B2">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Cs/>
          <w:color w:val="auto"/>
          <w:szCs w:val="21"/>
          <w:highlight w:val="none"/>
        </w:rPr>
        <w:t>27.5</w:t>
      </w:r>
      <w:r>
        <w:rPr>
          <w:rFonts w:hint="eastAsia" w:ascii="方正仿宋_GB2312" w:hAnsi="方正仿宋_GB2312" w:eastAsia="方正仿宋_GB2312" w:cs="方正仿宋_GB2312"/>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4F40F5B0">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28.履约保证金</w:t>
      </w:r>
    </w:p>
    <w:p w14:paraId="35D0022D">
      <w:pPr>
        <w:spacing w:line="360" w:lineRule="auto"/>
        <w:ind w:firstLine="420" w:firstLineChars="200"/>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color w:val="auto"/>
          <w:szCs w:val="21"/>
          <w:highlight w:val="none"/>
        </w:rPr>
        <w:t>详见 “供应商须知前附表”</w:t>
      </w:r>
    </w:p>
    <w:p w14:paraId="2E3DB1F1">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29.签订合同</w:t>
      </w:r>
    </w:p>
    <w:p w14:paraId="21FDCD65">
      <w:pPr>
        <w:pStyle w:val="82"/>
        <w:snapToGrid w:val="0"/>
        <w:spacing w:before="0"/>
        <w:ind w:firstLine="420"/>
        <w:rPr>
          <w:rFonts w:hint="eastAsia" w:ascii="方正仿宋_GB2312" w:hAnsi="方正仿宋_GB2312" w:eastAsia="方正仿宋_GB2312" w:cs="方正仿宋_GB2312"/>
          <w:color w:val="auto"/>
          <w:sz w:val="21"/>
          <w:szCs w:val="21"/>
          <w:highlight w:val="none"/>
          <w:lang w:val="zh-CN"/>
        </w:rPr>
      </w:pPr>
      <w:r>
        <w:rPr>
          <w:rFonts w:hint="eastAsia" w:ascii="方正仿宋_GB2312" w:hAnsi="方正仿宋_GB2312" w:eastAsia="方正仿宋_GB2312" w:cs="方正仿宋_GB2312"/>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方正仿宋_GB2312" w:hAnsi="方正仿宋_GB2312" w:eastAsia="方正仿宋_GB2312" w:cs="方正仿宋_GB2312"/>
          <w:color w:val="auto"/>
          <w:sz w:val="21"/>
          <w:szCs w:val="21"/>
          <w:highlight w:val="none"/>
          <w:lang w:val="zh-CN"/>
        </w:rPr>
        <w:t>如成交供应商为联合体的，由联合体成员各方法定代表人或其授权代表与采购人代表签订合同。</w:t>
      </w:r>
    </w:p>
    <w:p w14:paraId="72758BB0">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37C5B75">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1E322AD">
      <w:pPr>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29.4如签订合同并生效后，供应商无故拒绝或延期，除按照合同条款处理外，列入不良行为记录，并给予通报。</w:t>
      </w:r>
    </w:p>
    <w:p w14:paraId="167D154D">
      <w:pPr>
        <w:pStyle w:val="82"/>
        <w:spacing w:before="0"/>
        <w:ind w:firstLine="42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方正仿宋_GB2312" w:hAnsi="方正仿宋_GB2312" w:eastAsia="方正仿宋_GB2312" w:cs="方正仿宋_GB2312"/>
          <w:color w:val="auto"/>
          <w:highlight w:val="none"/>
        </w:rPr>
        <w:t xml:space="preserve"> </w:t>
      </w:r>
      <w:r>
        <w:rPr>
          <w:rFonts w:hint="eastAsia" w:ascii="方正仿宋_GB2312" w:hAnsi="方正仿宋_GB2312" w:eastAsia="方正仿宋_GB2312" w:cs="方正仿宋_GB2312"/>
          <w:color w:val="auto"/>
          <w:sz w:val="21"/>
          <w:szCs w:val="21"/>
          <w:highlight w:val="none"/>
        </w:rPr>
        <w:t>供应商须知前附表”。</w:t>
      </w:r>
    </w:p>
    <w:p w14:paraId="42F3057A">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30.政府采购合同公告</w:t>
      </w:r>
    </w:p>
    <w:p w14:paraId="1EA54109">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采购人或者受托采购代理机构应当自政府采购合同签订之日起2个工作日内，将政府采购合同</w:t>
      </w:r>
      <w:r>
        <w:rPr>
          <w:rFonts w:hint="eastAsia" w:ascii="方正仿宋_GB2312" w:hAnsi="方正仿宋_GB2312" w:eastAsia="方正仿宋_GB2312" w:cs="方正仿宋_GB2312"/>
          <w:bCs/>
          <w:color w:val="auto"/>
          <w:highlight w:val="none"/>
        </w:rPr>
        <w:t>在以下媒体上发布</w:t>
      </w:r>
      <w:r>
        <w:rPr>
          <w:rFonts w:hint="eastAsia" w:ascii="方正仿宋_GB2312" w:hAnsi="方正仿宋_GB2312" w:eastAsia="方正仿宋_GB2312" w:cs="方正仿宋_GB2312"/>
          <w:color w:val="auto"/>
          <w:kern w:val="0"/>
          <w:szCs w:val="21"/>
          <w:highlight w:val="none"/>
        </w:rPr>
        <w:t>“广西政府采购网”（http://zfcg.gxzf.gov.cn）</w:t>
      </w:r>
      <w:r>
        <w:rPr>
          <w:rFonts w:hint="eastAsia" w:ascii="方正仿宋_GB2312" w:hAnsi="方正仿宋_GB2312" w:eastAsia="方正仿宋_GB2312" w:cs="方正仿宋_GB2312"/>
          <w:color w:val="auto"/>
          <w:highlight w:val="none"/>
        </w:rPr>
        <w:t>上公告，但政府采购合同中涉及国家秘密、商业秘密的内容除外。</w:t>
      </w:r>
    </w:p>
    <w:p w14:paraId="5C178638">
      <w:pPr>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31.询问、质疑和投诉</w:t>
      </w:r>
    </w:p>
    <w:p w14:paraId="72EA2DCF">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31.1供应商对政府采购活动事项有疑问的，可以向采购人、采购代理机构提出询问，采购人或者采购代理机构应当在3个工作日内对供应商依法提出的询问作出答复。</w:t>
      </w:r>
    </w:p>
    <w:p w14:paraId="1057047A">
      <w:pPr>
        <w:spacing w:line="360" w:lineRule="auto"/>
        <w:ind w:firstLine="420" w:firstLineChars="200"/>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方正仿宋_GB2312" w:hAnsi="方正仿宋_GB2312" w:eastAsia="方正仿宋_GB2312" w:cs="方正仿宋_GB2312"/>
          <w:color w:val="auto"/>
          <w:highlight w:val="none"/>
          <w:shd w:val="clear" w:color="auto" w:fill="FFFFFF"/>
        </w:rPr>
        <w:t>接收质疑函的方式、联系部门、联系电话和通讯地址等信息详见</w:t>
      </w:r>
      <w:r>
        <w:rPr>
          <w:rFonts w:hint="eastAsia" w:ascii="方正仿宋_GB2312" w:hAnsi="方正仿宋_GB2312" w:eastAsia="方正仿宋_GB2312" w:cs="方正仿宋_GB2312"/>
          <w:color w:val="auto"/>
          <w:szCs w:val="21"/>
          <w:highlight w:val="none"/>
        </w:rPr>
        <w:t>“供应商须知前附表”</w:t>
      </w:r>
      <w:r>
        <w:rPr>
          <w:rFonts w:hint="eastAsia" w:ascii="方正仿宋_GB2312" w:hAnsi="方正仿宋_GB2312" w:eastAsia="方正仿宋_GB2312" w:cs="方正仿宋_GB2312"/>
          <w:color w:val="auto"/>
          <w:highlight w:val="none"/>
        </w:rPr>
        <w:t>。</w:t>
      </w:r>
      <w:r>
        <w:rPr>
          <w:rFonts w:hint="eastAsia" w:ascii="方正仿宋_GB2312" w:hAnsi="方正仿宋_GB2312" w:eastAsia="方正仿宋_GB2312" w:cs="方正仿宋_GB2312"/>
          <w:b/>
          <w:color w:val="auto"/>
          <w:szCs w:val="21"/>
          <w:highlight w:val="none"/>
        </w:rPr>
        <w:t xml:space="preserve">具体质疑起算时间及处理方式如下： </w:t>
      </w:r>
    </w:p>
    <w:p w14:paraId="3CCC7B6B">
      <w:pPr>
        <w:spacing w:line="360" w:lineRule="auto"/>
        <w:ind w:firstLine="420" w:firstLineChars="200"/>
        <w:rPr>
          <w:rFonts w:hint="eastAsia" w:ascii="方正仿宋_GB2312" w:hAnsi="方正仿宋_GB2312" w:eastAsia="方正仿宋_GB2312" w:cs="方正仿宋_GB2312"/>
          <w:bCs/>
          <w:color w:val="auto"/>
          <w:highlight w:val="none"/>
        </w:rPr>
      </w:pPr>
      <w:r>
        <w:rPr>
          <w:rFonts w:hint="eastAsia" w:ascii="方正仿宋_GB2312" w:hAnsi="方正仿宋_GB2312" w:eastAsia="方正仿宋_GB2312" w:cs="方正仿宋_GB2312"/>
          <w:bCs/>
          <w:color w:val="auto"/>
          <w:highlight w:val="none"/>
        </w:rPr>
        <w:t>（1）潜在供应商依法获取采购文件后，认为采购文件使自己的权益受到损害的，应当在竞争性磋商文件公告期限届满之日起7个工作日内提出质疑。</w:t>
      </w:r>
      <w:r>
        <w:rPr>
          <w:rFonts w:hint="eastAsia" w:ascii="方正仿宋_GB2312" w:hAnsi="方正仿宋_GB2312" w:eastAsia="方正仿宋_GB2312" w:cs="方正仿宋_GB2312"/>
          <w:color w:val="auto"/>
          <w:highlight w:val="none"/>
        </w:rPr>
        <w:t>委托代理协议无特殊约定的，</w:t>
      </w:r>
      <w:r>
        <w:rPr>
          <w:rFonts w:hint="eastAsia" w:ascii="方正仿宋_GB2312" w:hAnsi="方正仿宋_GB2312" w:eastAsia="方正仿宋_GB2312" w:cs="方正仿宋_GB2312"/>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1F8FA13">
      <w:pPr>
        <w:spacing w:line="360" w:lineRule="auto"/>
        <w:ind w:firstLine="420" w:firstLineChars="200"/>
        <w:rPr>
          <w:rFonts w:hint="eastAsia" w:ascii="方正仿宋_GB2312" w:hAnsi="方正仿宋_GB2312" w:eastAsia="方正仿宋_GB2312" w:cs="方正仿宋_GB2312"/>
          <w:bCs/>
          <w:color w:val="auto"/>
          <w:highlight w:val="none"/>
        </w:rPr>
      </w:pPr>
      <w:r>
        <w:rPr>
          <w:rFonts w:hint="eastAsia" w:ascii="方正仿宋_GB2312" w:hAnsi="方正仿宋_GB2312" w:eastAsia="方正仿宋_GB2312" w:cs="方正仿宋_GB2312"/>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9BACC6D">
      <w:pPr>
        <w:spacing w:line="360" w:lineRule="auto"/>
        <w:ind w:firstLine="420" w:firstLineChars="200"/>
        <w:rPr>
          <w:rFonts w:hint="eastAsia" w:ascii="方正仿宋_GB2312" w:hAnsi="方正仿宋_GB2312" w:eastAsia="方正仿宋_GB2312" w:cs="方正仿宋_GB2312"/>
          <w:bCs/>
          <w:color w:val="auto"/>
          <w:highlight w:val="none"/>
        </w:rPr>
      </w:pPr>
      <w:r>
        <w:rPr>
          <w:rFonts w:hint="eastAsia" w:ascii="方正仿宋_GB2312" w:hAnsi="方正仿宋_GB2312" w:eastAsia="方正仿宋_GB2312" w:cs="方正仿宋_GB2312"/>
          <w:bCs/>
          <w:color w:val="auto"/>
          <w:highlight w:val="none"/>
        </w:rPr>
        <w:t>（3）供应商认为成交结果使自己的权益受到损害的，应当在成交结果公告期限届满之日起7个工作日内提出质疑，由采购人受理并负责答复。</w:t>
      </w:r>
    </w:p>
    <w:p w14:paraId="185BD9A2">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4CAD857">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31.4 供应商提出质疑应当提交质疑函和必要的证明材料，针对同一采购程序环节的质疑必须在法定质疑期内一次性提出。质疑函应当包括下列内容</w:t>
      </w:r>
      <w:r>
        <w:rPr>
          <w:rFonts w:hint="eastAsia" w:ascii="方正仿宋_GB2312" w:hAnsi="方正仿宋_GB2312" w:eastAsia="方正仿宋_GB2312" w:cs="方正仿宋_GB2312"/>
          <w:bCs/>
          <w:color w:val="auto"/>
          <w:highlight w:val="none"/>
        </w:rPr>
        <w:t>（质疑函格式后附）</w:t>
      </w:r>
      <w:r>
        <w:rPr>
          <w:rFonts w:hint="eastAsia" w:ascii="方正仿宋_GB2312" w:hAnsi="方正仿宋_GB2312" w:eastAsia="方正仿宋_GB2312" w:cs="方正仿宋_GB2312"/>
          <w:color w:val="auto"/>
          <w:highlight w:val="none"/>
        </w:rPr>
        <w:t>：</w:t>
      </w:r>
    </w:p>
    <w:p w14:paraId="7DDEE334">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（1）供应商的姓名或者名称、地址、邮编、联系人及联系电话；</w:t>
      </w:r>
    </w:p>
    <w:p w14:paraId="05FE505C">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（2）质疑项目的名称、编号；</w:t>
      </w:r>
    </w:p>
    <w:p w14:paraId="2275F387">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（3）具体、明确的质疑事项和与质疑事项相关的请求；</w:t>
      </w:r>
    </w:p>
    <w:p w14:paraId="6A7A8684">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（4）事实依据；</w:t>
      </w:r>
    </w:p>
    <w:p w14:paraId="0C58289D">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（5）必要的法律依据；</w:t>
      </w:r>
    </w:p>
    <w:p w14:paraId="7659991E">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（6）提出质疑的日期。</w:t>
      </w:r>
    </w:p>
    <w:p w14:paraId="34091062">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供应商为自然人的，应当由本人签字；供应商为法人或者其他组织的，应当由法定代表人、主要负责人，或者其委托代理人签字或者盖章，并加盖公章。</w:t>
      </w:r>
    </w:p>
    <w:p w14:paraId="7889967A">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13894962">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（一）对采购文件提出的质疑，依法通过澄清或者修改可以继续开展采购活动的，澄清或者修改采购文件后继续开展采购活动；否则应当修改采购文件后重新开展采购活动。</w:t>
      </w:r>
    </w:p>
    <w:p w14:paraId="79FA9BC9">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6762521">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质疑答复导致成交结果改变的，采购人或者采购代理机构应当将有关情况书面报告本级财政部门。</w:t>
      </w:r>
    </w:p>
    <w:p w14:paraId="7D0EF8CF">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6" w:name="_Toc80205930"/>
    </w:p>
    <w:p w14:paraId="0C3FF7C7">
      <w:pPr>
        <w:pStyle w:val="4"/>
        <w:spacing w:before="0" w:after="0" w:line="360" w:lineRule="auto"/>
        <w:jc w:val="center"/>
        <w:rPr>
          <w:rFonts w:hint="eastAsia" w:ascii="方正仿宋_GB2312" w:hAnsi="方正仿宋_GB2312" w:eastAsia="方正仿宋_GB2312" w:cs="方正仿宋_GB2312"/>
          <w:color w:val="auto"/>
          <w:highlight w:val="none"/>
        </w:rPr>
      </w:pPr>
      <w:bookmarkStart w:id="67" w:name="_Toc790"/>
      <w:bookmarkStart w:id="68" w:name="_Toc9397"/>
      <w:bookmarkStart w:id="69" w:name="_Toc13734"/>
      <w:r>
        <w:rPr>
          <w:rFonts w:hint="eastAsia" w:ascii="方正仿宋_GB2312" w:hAnsi="方正仿宋_GB2312" w:eastAsia="方正仿宋_GB2312" w:cs="方正仿宋_GB2312"/>
          <w:color w:val="auto"/>
          <w:highlight w:val="none"/>
        </w:rPr>
        <w:t>六、验收</w:t>
      </w:r>
      <w:bookmarkEnd w:id="66"/>
      <w:bookmarkEnd w:id="67"/>
      <w:bookmarkEnd w:id="68"/>
      <w:bookmarkEnd w:id="69"/>
    </w:p>
    <w:p w14:paraId="6CCCE810">
      <w:pPr>
        <w:tabs>
          <w:tab w:val="left" w:pos="0"/>
        </w:tabs>
        <w:spacing w:line="360" w:lineRule="auto"/>
        <w:ind w:firstLine="422" w:firstLineChars="175"/>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32.验收</w:t>
      </w:r>
    </w:p>
    <w:p w14:paraId="1F635BC9">
      <w:pPr>
        <w:tabs>
          <w:tab w:val="left" w:pos="0"/>
        </w:tabs>
        <w:spacing w:line="360" w:lineRule="auto"/>
        <w:ind w:firstLine="420" w:firstLineChars="200"/>
        <w:rPr>
          <w:rFonts w:hint="eastAsia" w:ascii="方正仿宋_GB2312" w:hAnsi="方正仿宋_GB2312" w:eastAsia="方正仿宋_GB2312" w:cs="方正仿宋_GB2312"/>
          <w:color w:val="auto"/>
          <w:kern w:val="0"/>
          <w:szCs w:val="21"/>
          <w:highlight w:val="none"/>
        </w:rPr>
      </w:pPr>
      <w:bookmarkStart w:id="70" w:name="_Toc12940"/>
      <w:r>
        <w:rPr>
          <w:rFonts w:hint="eastAsia" w:ascii="方正仿宋_GB2312" w:hAnsi="方正仿宋_GB2312" w:eastAsia="方正仿宋_GB2312" w:cs="方正仿宋_GB2312"/>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238BB39">
      <w:pPr>
        <w:tabs>
          <w:tab w:val="left" w:pos="0"/>
        </w:tabs>
        <w:spacing w:line="360" w:lineRule="auto"/>
        <w:ind w:firstLine="420" w:firstLineChars="200"/>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32.2采购人可以邀请参加本项目的其他供应商或者第三方机构参与验收。参与验收的供应商或者第三方机构的意见作为验收书的参考资料一并存档。</w:t>
      </w:r>
    </w:p>
    <w:p w14:paraId="6076E059">
      <w:pPr>
        <w:tabs>
          <w:tab w:val="left" w:pos="0"/>
        </w:tabs>
        <w:spacing w:line="360" w:lineRule="auto"/>
        <w:ind w:firstLine="420" w:firstLineChars="200"/>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DC4D258">
      <w:pPr>
        <w:tabs>
          <w:tab w:val="left" w:pos="0"/>
        </w:tabs>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7DF07CF">
      <w:pPr>
        <w:pStyle w:val="4"/>
        <w:spacing w:before="0" w:after="0" w:line="360" w:lineRule="auto"/>
        <w:jc w:val="center"/>
        <w:rPr>
          <w:rFonts w:hint="eastAsia" w:ascii="方正仿宋_GB2312" w:hAnsi="方正仿宋_GB2312" w:eastAsia="方正仿宋_GB2312" w:cs="方正仿宋_GB2312"/>
          <w:color w:val="auto"/>
          <w:highlight w:val="none"/>
        </w:rPr>
      </w:pPr>
      <w:bookmarkStart w:id="71" w:name="_Toc2394"/>
      <w:bookmarkStart w:id="72" w:name="_Toc20742"/>
      <w:r>
        <w:rPr>
          <w:rFonts w:hint="eastAsia" w:ascii="方正仿宋_GB2312" w:hAnsi="方正仿宋_GB2312" w:eastAsia="方正仿宋_GB2312" w:cs="方正仿宋_GB2312"/>
          <w:color w:val="auto"/>
          <w:highlight w:val="none"/>
        </w:rPr>
        <w:t>七、其他事项</w:t>
      </w:r>
      <w:bookmarkEnd w:id="70"/>
      <w:bookmarkEnd w:id="71"/>
      <w:bookmarkEnd w:id="72"/>
    </w:p>
    <w:p w14:paraId="4132EB0B">
      <w:pPr>
        <w:spacing w:line="460" w:lineRule="exact"/>
        <w:ind w:firstLine="422" w:firstLineChars="175"/>
        <w:rPr>
          <w:rFonts w:hint="eastAsia" w:ascii="仿宋" w:hAnsi="仿宋" w:eastAsia="仿宋" w:cs="仿宋"/>
          <w:b/>
          <w:bCs/>
          <w:color w:val="auto"/>
          <w:sz w:val="24"/>
          <w:highlight w:val="none"/>
        </w:rPr>
      </w:pPr>
      <w:bookmarkStart w:id="73" w:name="_Toc26544"/>
      <w:bookmarkStart w:id="74" w:name="_Toc5573"/>
      <w:bookmarkStart w:id="75" w:name="_Toc28421"/>
      <w:r>
        <w:rPr>
          <w:rFonts w:hint="eastAsia" w:ascii="仿宋" w:hAnsi="仿宋" w:eastAsia="仿宋" w:cs="仿宋"/>
          <w:b/>
          <w:bCs/>
          <w:color w:val="auto"/>
          <w:sz w:val="24"/>
          <w:highlight w:val="none"/>
        </w:rPr>
        <w:t>33.代理服务费</w:t>
      </w:r>
    </w:p>
    <w:p w14:paraId="7E525B01">
      <w:pPr>
        <w:tabs>
          <w:tab w:val="left" w:pos="2835"/>
        </w:tabs>
        <w:spacing w:line="4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33.1代理服务收费标准及缴费账户详见“供应商须知前附表”，供应商为联合体的，可以由联合体中的一方或者多方共同交纳代理服务费。</w:t>
      </w:r>
    </w:p>
    <w:p w14:paraId="0235F96D">
      <w:pPr>
        <w:spacing w:line="460" w:lineRule="exact"/>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34.需要补充的其他内容</w:t>
      </w:r>
    </w:p>
    <w:p w14:paraId="70D7916D">
      <w:pPr>
        <w:pStyle w:val="17"/>
        <w:spacing w:line="460" w:lineRule="exact"/>
        <w:ind w:firstLine="420" w:firstLineChars="200"/>
        <w:textAlignment w:val="center"/>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34.1本磋商文件解释规则详见“供应商须知前附表”。</w:t>
      </w:r>
    </w:p>
    <w:p w14:paraId="7FD45590">
      <w:pPr>
        <w:pStyle w:val="17"/>
        <w:spacing w:line="460" w:lineRule="exact"/>
        <w:ind w:firstLine="420" w:firstLineChars="200"/>
        <w:textAlignment w:val="center"/>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34.2 其他事项详见“供应商须知前附表”。</w:t>
      </w:r>
    </w:p>
    <w:p w14:paraId="06C8BD6E">
      <w:pPr>
        <w:pStyle w:val="17"/>
        <w:spacing w:line="360" w:lineRule="auto"/>
        <w:ind w:firstLine="420" w:firstLineChars="200"/>
        <w:textAlignment w:val="center"/>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34.3本文件所称</w:t>
      </w:r>
      <w:r>
        <w:rPr>
          <w:rFonts w:hint="eastAsia" w:ascii="仿宋" w:hAnsi="仿宋" w:eastAsia="仿宋" w:cs="仿宋"/>
          <w:color w:val="auto"/>
          <w:kern w:val="2"/>
          <w:sz w:val="21"/>
          <w:highlight w:val="none"/>
          <w:lang w:eastAsia="zh-CN"/>
        </w:rPr>
        <w:t>小微</w:t>
      </w:r>
      <w:r>
        <w:rPr>
          <w:rFonts w:hint="eastAsia" w:ascii="仿宋" w:hAnsi="仿宋" w:eastAsia="仿宋" w:cs="仿宋"/>
          <w:color w:val="auto"/>
          <w:kern w:val="2"/>
          <w:sz w:val="21"/>
          <w:highlight w:val="none"/>
        </w:rPr>
        <w:t>企业，是指在中华人民共和国境内依法设立，依据国务院批准的</w:t>
      </w:r>
      <w:r>
        <w:rPr>
          <w:rFonts w:hint="eastAsia" w:ascii="仿宋" w:hAnsi="仿宋" w:eastAsia="仿宋" w:cs="仿宋"/>
          <w:color w:val="auto"/>
          <w:kern w:val="2"/>
          <w:sz w:val="21"/>
          <w:highlight w:val="none"/>
          <w:lang w:eastAsia="zh-CN"/>
        </w:rPr>
        <w:t>小微</w:t>
      </w:r>
      <w:r>
        <w:rPr>
          <w:rFonts w:hint="eastAsia" w:ascii="仿宋" w:hAnsi="仿宋" w:eastAsia="仿宋" w:cs="仿宋"/>
          <w:color w:val="auto"/>
          <w:kern w:val="2"/>
          <w:sz w:val="21"/>
          <w:highlight w:val="none"/>
        </w:rPr>
        <w:t>企业划分标准确定的小型企业和微型企业，但与大企业的负责人为同一人，或者与大企业存在直接控股、管理关系的除外。符合</w:t>
      </w:r>
      <w:r>
        <w:rPr>
          <w:rFonts w:hint="eastAsia" w:ascii="仿宋" w:hAnsi="仿宋" w:eastAsia="仿宋" w:cs="仿宋"/>
          <w:color w:val="auto"/>
          <w:kern w:val="2"/>
          <w:sz w:val="21"/>
          <w:highlight w:val="none"/>
          <w:lang w:eastAsia="zh-CN"/>
        </w:rPr>
        <w:t>小微</w:t>
      </w:r>
      <w:r>
        <w:rPr>
          <w:rFonts w:hint="eastAsia" w:ascii="仿宋" w:hAnsi="仿宋" w:eastAsia="仿宋" w:cs="仿宋"/>
          <w:color w:val="auto"/>
          <w:kern w:val="2"/>
          <w:sz w:val="21"/>
          <w:highlight w:val="none"/>
        </w:rPr>
        <w:t>企业划分标准的个体工商户，在政府采购活动中视同</w:t>
      </w:r>
      <w:r>
        <w:rPr>
          <w:rFonts w:hint="eastAsia" w:ascii="仿宋" w:hAnsi="仿宋" w:eastAsia="仿宋" w:cs="仿宋"/>
          <w:color w:val="auto"/>
          <w:kern w:val="2"/>
          <w:sz w:val="21"/>
          <w:highlight w:val="none"/>
          <w:lang w:eastAsia="zh-CN"/>
        </w:rPr>
        <w:t>小微</w:t>
      </w:r>
      <w:r>
        <w:rPr>
          <w:rFonts w:hint="eastAsia" w:ascii="仿宋" w:hAnsi="仿宋" w:eastAsia="仿宋" w:cs="仿宋"/>
          <w:color w:val="auto"/>
          <w:kern w:val="2"/>
          <w:sz w:val="21"/>
          <w:highlight w:val="none"/>
        </w:rPr>
        <w:t>企业。在政府采购活动中，供应商提供的</w:t>
      </w:r>
      <w:r>
        <w:rPr>
          <w:rFonts w:hint="eastAsia" w:ascii="仿宋" w:hAnsi="仿宋" w:eastAsia="仿宋" w:cs="仿宋"/>
          <w:color w:val="auto"/>
          <w:sz w:val="21"/>
          <w:highlight w:val="none"/>
          <w:lang w:eastAsia="zh-CN"/>
        </w:rPr>
        <w:t>工程</w:t>
      </w:r>
      <w:r>
        <w:rPr>
          <w:rFonts w:hint="eastAsia" w:ascii="仿宋" w:hAnsi="仿宋" w:eastAsia="仿宋" w:cs="仿宋"/>
          <w:color w:val="auto"/>
          <w:sz w:val="21"/>
          <w:highlight w:val="none"/>
        </w:rPr>
        <w:t>由</w:t>
      </w:r>
      <w:r>
        <w:rPr>
          <w:rFonts w:hint="eastAsia" w:ascii="仿宋" w:hAnsi="仿宋" w:eastAsia="仿宋" w:cs="仿宋"/>
          <w:color w:val="auto"/>
          <w:kern w:val="2"/>
          <w:sz w:val="21"/>
          <w:highlight w:val="none"/>
          <w:lang w:eastAsia="zh-CN"/>
        </w:rPr>
        <w:t>小微</w:t>
      </w:r>
      <w:r>
        <w:rPr>
          <w:rFonts w:hint="eastAsia" w:ascii="仿宋" w:hAnsi="仿宋" w:eastAsia="仿宋" w:cs="仿宋"/>
          <w:color w:val="auto"/>
          <w:sz w:val="21"/>
          <w:highlight w:val="none"/>
        </w:rPr>
        <w:t>企业承接，即提供</w:t>
      </w:r>
      <w:r>
        <w:rPr>
          <w:rFonts w:hint="eastAsia" w:ascii="仿宋" w:hAnsi="仿宋" w:eastAsia="仿宋" w:cs="仿宋"/>
          <w:color w:val="auto"/>
          <w:sz w:val="21"/>
          <w:highlight w:val="none"/>
          <w:lang w:eastAsia="zh-CN"/>
        </w:rPr>
        <w:t>工程</w:t>
      </w:r>
      <w:r>
        <w:rPr>
          <w:rFonts w:hint="eastAsia" w:ascii="仿宋" w:hAnsi="仿宋" w:eastAsia="仿宋" w:cs="仿宋"/>
          <w:color w:val="auto"/>
          <w:sz w:val="21"/>
          <w:highlight w:val="none"/>
        </w:rPr>
        <w:t>的人员为</w:t>
      </w:r>
      <w:r>
        <w:rPr>
          <w:rFonts w:hint="eastAsia" w:ascii="仿宋" w:hAnsi="仿宋" w:eastAsia="仿宋" w:cs="仿宋"/>
          <w:color w:val="auto"/>
          <w:kern w:val="2"/>
          <w:sz w:val="21"/>
          <w:highlight w:val="none"/>
          <w:lang w:eastAsia="zh-CN"/>
        </w:rPr>
        <w:t>中小</w:t>
      </w:r>
      <w:r>
        <w:rPr>
          <w:rFonts w:hint="eastAsia" w:ascii="仿宋" w:hAnsi="仿宋" w:eastAsia="仿宋" w:cs="仿宋"/>
          <w:color w:val="auto"/>
          <w:sz w:val="21"/>
          <w:highlight w:val="none"/>
        </w:rPr>
        <w:t>企业依照《中华人民共和国劳动合同法》订立劳动合同的从业人员，不对其中涉及的货物的制造商和工程承建商作出要求的</w:t>
      </w:r>
      <w:r>
        <w:rPr>
          <w:rFonts w:hint="eastAsia" w:ascii="仿宋" w:hAnsi="仿宋" w:eastAsia="仿宋" w:cs="仿宋"/>
          <w:color w:val="auto"/>
          <w:kern w:val="2"/>
          <w:sz w:val="21"/>
          <w:highlight w:val="none"/>
        </w:rPr>
        <w:t>，享受本文件规定的</w:t>
      </w:r>
      <w:r>
        <w:rPr>
          <w:rFonts w:hint="eastAsia" w:ascii="仿宋" w:hAnsi="仿宋" w:eastAsia="仿宋" w:cs="仿宋"/>
          <w:color w:val="auto"/>
          <w:kern w:val="2"/>
          <w:sz w:val="21"/>
          <w:highlight w:val="none"/>
          <w:lang w:eastAsia="zh-CN"/>
        </w:rPr>
        <w:t>小微</w:t>
      </w:r>
      <w:r>
        <w:rPr>
          <w:rFonts w:hint="eastAsia" w:ascii="仿宋" w:hAnsi="仿宋" w:eastAsia="仿宋" w:cs="仿宋"/>
          <w:color w:val="auto"/>
          <w:kern w:val="2"/>
          <w:sz w:val="21"/>
          <w:highlight w:val="none"/>
        </w:rPr>
        <w:t>企业扶持政策。</w:t>
      </w:r>
    </w:p>
    <w:p w14:paraId="328E01F9">
      <w:pPr>
        <w:pStyle w:val="17"/>
        <w:spacing w:line="360" w:lineRule="auto"/>
        <w:ind w:firstLine="420" w:firstLineChars="200"/>
        <w:textAlignment w:val="center"/>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以联合体形式参加政府采购活动，联合体各方均为</w:t>
      </w:r>
      <w:r>
        <w:rPr>
          <w:rFonts w:hint="eastAsia" w:ascii="仿宋" w:hAnsi="仿宋" w:eastAsia="仿宋" w:cs="仿宋"/>
          <w:color w:val="auto"/>
          <w:kern w:val="2"/>
          <w:sz w:val="21"/>
          <w:highlight w:val="none"/>
          <w:lang w:eastAsia="zh-CN"/>
        </w:rPr>
        <w:t>小微</w:t>
      </w:r>
      <w:r>
        <w:rPr>
          <w:rFonts w:hint="eastAsia" w:ascii="仿宋" w:hAnsi="仿宋" w:eastAsia="仿宋" w:cs="仿宋"/>
          <w:color w:val="auto"/>
          <w:kern w:val="2"/>
          <w:sz w:val="21"/>
          <w:highlight w:val="none"/>
        </w:rPr>
        <w:t>企业的，联合体视同</w:t>
      </w:r>
      <w:r>
        <w:rPr>
          <w:rFonts w:hint="eastAsia" w:ascii="仿宋" w:hAnsi="仿宋" w:eastAsia="仿宋" w:cs="仿宋"/>
          <w:color w:val="auto"/>
          <w:kern w:val="2"/>
          <w:sz w:val="21"/>
          <w:highlight w:val="none"/>
          <w:lang w:eastAsia="zh-CN"/>
        </w:rPr>
        <w:t>小微</w:t>
      </w:r>
      <w:r>
        <w:rPr>
          <w:rFonts w:hint="eastAsia" w:ascii="仿宋" w:hAnsi="仿宋" w:eastAsia="仿宋" w:cs="仿宋"/>
          <w:color w:val="auto"/>
          <w:kern w:val="2"/>
          <w:sz w:val="21"/>
          <w:highlight w:val="none"/>
        </w:rPr>
        <w:t>企业。</w:t>
      </w:r>
    </w:p>
    <w:p w14:paraId="53CE364A">
      <w:pPr>
        <w:pStyle w:val="17"/>
        <w:spacing w:line="360" w:lineRule="auto"/>
        <w:ind w:firstLine="420" w:firstLineChars="200"/>
        <w:textAlignment w:val="center"/>
        <w:rPr>
          <w:rFonts w:hint="eastAsia" w:ascii="仿宋" w:hAnsi="仿宋" w:eastAsia="仿宋" w:cs="仿宋"/>
          <w:color w:val="auto"/>
          <w:kern w:val="2"/>
          <w:sz w:val="21"/>
          <w:highlight w:val="none"/>
          <w:lang w:eastAsia="zh-CN"/>
        </w:rPr>
      </w:pPr>
      <w:r>
        <w:rPr>
          <w:rFonts w:hint="eastAsia" w:ascii="仿宋" w:hAnsi="仿宋" w:eastAsia="仿宋" w:cs="仿宋"/>
          <w:color w:val="auto"/>
          <w:kern w:val="2"/>
          <w:sz w:val="21"/>
          <w:highlight w:val="none"/>
        </w:rPr>
        <w:t>依据本文件规定享受扶持政策获得政府采购合同的，小微企业不得将合同分包给大中型企业</w:t>
      </w:r>
      <w:r>
        <w:rPr>
          <w:rFonts w:hint="eastAsia" w:ascii="仿宋" w:hAnsi="仿宋" w:eastAsia="仿宋" w:cs="仿宋"/>
          <w:color w:val="auto"/>
          <w:kern w:val="2"/>
          <w:sz w:val="21"/>
          <w:highlight w:val="none"/>
          <w:lang w:eastAsia="zh-CN"/>
        </w:rPr>
        <w:t>。</w:t>
      </w:r>
    </w:p>
    <w:p w14:paraId="1B168947">
      <w:pPr>
        <w:spacing w:line="460" w:lineRule="exact"/>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35.政采贷相关说明</w:t>
      </w:r>
    </w:p>
    <w:p w14:paraId="01B823CF">
      <w:pPr>
        <w:pStyle w:val="17"/>
        <w:spacing w:line="360" w:lineRule="auto"/>
        <w:ind w:firstLine="420" w:firstLineChars="200"/>
        <w:textAlignment w:val="center"/>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为优化政府采购营商环境，缓解供应商资金难题，南宁市政府采购试行政府采购信用融资制度，中标供应商如有融资需求，可凭政府采购合同通过以下方式申请政府采购信用融资贷款：</w:t>
      </w:r>
    </w:p>
    <w:p w14:paraId="500E4F10">
      <w:pPr>
        <w:pStyle w:val="17"/>
        <w:spacing w:line="360" w:lineRule="auto"/>
        <w:ind w:firstLine="420" w:firstLineChars="200"/>
        <w:textAlignment w:val="center"/>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线下渠道：在“南宁市公共资源交易中心”官网（网址：</w:t>
      </w:r>
      <w:r>
        <w:rPr>
          <w:rFonts w:hint="eastAsia" w:ascii="仿宋" w:hAnsi="仿宋" w:eastAsia="仿宋" w:cs="仿宋"/>
          <w:color w:val="auto"/>
          <w:kern w:val="2"/>
          <w:sz w:val="21"/>
          <w:highlight w:val="none"/>
        </w:rPr>
        <w:fldChar w:fldCharType="begin"/>
      </w:r>
      <w:r>
        <w:rPr>
          <w:rFonts w:hint="eastAsia" w:ascii="仿宋" w:hAnsi="仿宋" w:eastAsia="仿宋" w:cs="仿宋"/>
          <w:color w:val="auto"/>
          <w:kern w:val="2"/>
          <w:sz w:val="21"/>
          <w:highlight w:val="none"/>
        </w:rPr>
        <w:instrText xml:space="preserve"> HYPERLINK "http://www.nnggzy.org.cn）\“交易信息-政府采购-政府采购信用融资\”中融资银行和南宁市企业融资服务中心专栏信息申请政府采购信用融资。" </w:instrText>
      </w:r>
      <w:r>
        <w:rPr>
          <w:rFonts w:hint="eastAsia" w:ascii="仿宋" w:hAnsi="仿宋" w:eastAsia="仿宋" w:cs="仿宋"/>
          <w:color w:val="auto"/>
          <w:kern w:val="2"/>
          <w:sz w:val="21"/>
          <w:highlight w:val="none"/>
        </w:rPr>
        <w:fldChar w:fldCharType="separate"/>
      </w:r>
      <w:r>
        <w:rPr>
          <w:rFonts w:hint="eastAsia" w:ascii="仿宋" w:hAnsi="仿宋" w:eastAsia="仿宋" w:cs="仿宋"/>
          <w:color w:val="auto"/>
          <w:kern w:val="2"/>
          <w:sz w:val="21"/>
          <w:highlight w:val="none"/>
        </w:rPr>
        <w:t>http://www.nnggzy.org.cn）“交易信息-政府采购-政府采购信用融资”中融资银行和南宁市企业融资服务中心专栏信息申请政府采购信用融资。</w:t>
      </w:r>
      <w:r>
        <w:rPr>
          <w:rFonts w:hint="eastAsia" w:ascii="仿宋" w:hAnsi="仿宋" w:eastAsia="仿宋" w:cs="仿宋"/>
          <w:color w:val="auto"/>
          <w:kern w:val="2"/>
          <w:sz w:val="21"/>
          <w:highlight w:val="none"/>
        </w:rPr>
        <w:fldChar w:fldCharType="end"/>
      </w:r>
    </w:p>
    <w:p w14:paraId="1ACBC720">
      <w:pPr>
        <w:pStyle w:val="17"/>
        <w:spacing w:line="360" w:lineRule="auto"/>
        <w:ind w:firstLine="420" w:firstLineChars="200"/>
        <w:textAlignment w:val="center"/>
        <w:rPr>
          <w:rFonts w:hint="eastAsia" w:ascii="方正仿宋_GB2312" w:hAnsi="方正仿宋_GB2312" w:eastAsia="方正仿宋_GB2312" w:cs="方正仿宋_GB2312"/>
          <w:color w:val="auto"/>
          <w:szCs w:val="21"/>
          <w:highlight w:val="none"/>
        </w:rPr>
        <w:sectPr>
          <w:headerReference r:id="rId9" w:type="default"/>
          <w:footerReference r:id="rId10" w:type="default"/>
          <w:pgSz w:w="11905" w:h="16838"/>
          <w:pgMar w:top="1440" w:right="1080" w:bottom="1440" w:left="1080" w:header="720" w:footer="720" w:gutter="0"/>
          <w:pgNumType w:fmt="decimal"/>
          <w:cols w:space="720" w:num="1"/>
          <w:docGrid w:type="lines" w:linePitch="331" w:charSpace="0"/>
        </w:sectPr>
      </w:pPr>
      <w:r>
        <w:rPr>
          <w:rFonts w:hint="eastAsia" w:ascii="仿宋" w:hAnsi="仿宋" w:eastAsia="仿宋" w:cs="仿宋"/>
          <w:color w:val="auto"/>
          <w:kern w:val="2"/>
          <w:sz w:val="21"/>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38481D57">
      <w:pPr>
        <w:pStyle w:val="2"/>
        <w:spacing w:before="0" w:after="0" w:line="360"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第四章 评审程序、评审方法和评审标准</w:t>
      </w:r>
      <w:bookmarkEnd w:id="73"/>
      <w:bookmarkEnd w:id="74"/>
      <w:bookmarkEnd w:id="75"/>
    </w:p>
    <w:p w14:paraId="20AFB029">
      <w:pPr>
        <w:pStyle w:val="86"/>
        <w:widowControl/>
        <w:snapToGrid w:val="0"/>
        <w:spacing w:line="240" w:lineRule="auto"/>
        <w:jc w:val="center"/>
        <w:outlineLvl w:val="1"/>
        <w:rPr>
          <w:rStyle w:val="87"/>
          <w:rFonts w:hint="eastAsia" w:ascii="方正仿宋_GB2312" w:hAnsi="方正仿宋_GB2312" w:eastAsia="方正仿宋_GB2312" w:cs="方正仿宋_GB2312"/>
          <w:b w:val="0"/>
          <w:color w:val="auto"/>
          <w:sz w:val="32"/>
          <w:szCs w:val="32"/>
          <w:highlight w:val="none"/>
        </w:rPr>
      </w:pPr>
      <w:bookmarkStart w:id="76" w:name="_Toc12111"/>
      <w:bookmarkStart w:id="77" w:name="_Toc14243"/>
      <w:bookmarkStart w:id="78" w:name="PO_TDCUS_ITEM_SM_TABLE_1"/>
      <w:r>
        <w:rPr>
          <w:rStyle w:val="87"/>
          <w:rFonts w:hint="eastAsia" w:ascii="方正仿宋_GB2312" w:hAnsi="方正仿宋_GB2312" w:eastAsia="方正仿宋_GB2312" w:cs="方正仿宋_GB2312"/>
          <w:b w:val="0"/>
          <w:color w:val="auto"/>
          <w:sz w:val="32"/>
          <w:szCs w:val="32"/>
          <w:highlight w:val="none"/>
        </w:rPr>
        <w:t>第一节 评审程序和评审方法</w:t>
      </w:r>
      <w:bookmarkEnd w:id="76"/>
      <w:bookmarkEnd w:id="77"/>
    </w:p>
    <w:p w14:paraId="6A57F6F7">
      <w:pPr>
        <w:snapToGrid w:val="0"/>
        <w:spacing w:line="360" w:lineRule="auto"/>
        <w:ind w:firstLine="422" w:firstLineChars="175"/>
        <w:textAlignment w:val="baseline"/>
        <w:rPr>
          <w:rStyle w:val="87"/>
          <w:rFonts w:hint="eastAsia" w:ascii="方正仿宋_GB2312" w:hAnsi="方正仿宋_GB2312" w:eastAsia="方正仿宋_GB2312" w:cs="方正仿宋_GB2312"/>
          <w:b/>
          <w:bCs/>
          <w:color w:val="auto"/>
          <w:sz w:val="24"/>
          <w:highlight w:val="none"/>
        </w:rPr>
      </w:pPr>
      <w:r>
        <w:rPr>
          <w:rStyle w:val="87"/>
          <w:rFonts w:hint="eastAsia" w:ascii="方正仿宋_GB2312" w:hAnsi="方正仿宋_GB2312" w:eastAsia="方正仿宋_GB2312" w:cs="方正仿宋_GB2312"/>
          <w:b/>
          <w:bCs/>
          <w:color w:val="auto"/>
          <w:sz w:val="24"/>
          <w:highlight w:val="none"/>
        </w:rPr>
        <w:t>1.确认磋商文件</w:t>
      </w:r>
    </w:p>
    <w:p w14:paraId="6499FD80">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由磋商小组确认磋商文件。</w:t>
      </w:r>
    </w:p>
    <w:p w14:paraId="6E94384E">
      <w:pPr>
        <w:snapToGrid w:val="0"/>
        <w:spacing w:line="360" w:lineRule="auto"/>
        <w:ind w:firstLine="422" w:firstLineChars="175"/>
        <w:textAlignment w:val="baseline"/>
        <w:rPr>
          <w:rStyle w:val="87"/>
          <w:rFonts w:hint="eastAsia" w:ascii="方正仿宋_GB2312" w:hAnsi="方正仿宋_GB2312" w:eastAsia="方正仿宋_GB2312" w:cs="方正仿宋_GB2312"/>
          <w:b/>
          <w:bCs/>
          <w:color w:val="auto"/>
          <w:sz w:val="24"/>
          <w:highlight w:val="none"/>
        </w:rPr>
      </w:pPr>
      <w:r>
        <w:rPr>
          <w:rStyle w:val="87"/>
          <w:rFonts w:hint="eastAsia" w:ascii="方正仿宋_GB2312" w:hAnsi="方正仿宋_GB2312" w:eastAsia="方正仿宋_GB2312" w:cs="方正仿宋_GB2312"/>
          <w:b/>
          <w:bCs/>
          <w:color w:val="auto"/>
          <w:sz w:val="24"/>
          <w:highlight w:val="none"/>
        </w:rPr>
        <w:t>2.资格审查</w:t>
      </w:r>
    </w:p>
    <w:p w14:paraId="65689E89">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2.1响应文件开启后，磋商小组依法对供应商的资格证明文件进行审查。</w:t>
      </w:r>
    </w:p>
    <w:p w14:paraId="2C61C22C">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注：采购人代表或者采购代理机构在资格审查结束前，对供应商进行信用查询。</w:t>
      </w:r>
    </w:p>
    <w:p w14:paraId="2D1DAFA0">
      <w:pPr>
        <w:snapToGrid w:val="0"/>
        <w:spacing w:line="360" w:lineRule="auto"/>
        <w:ind w:firstLine="420" w:firstLineChars="200"/>
        <w:jc w:val="left"/>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（1）查询渠道：“广西政府采购云”平台“信用中国”网站(www.creditchina.gov.cn)、中国政府采购网(www.ccgp.gov.cn)链接入口。</w:t>
      </w:r>
    </w:p>
    <w:p w14:paraId="721DBD35">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（2）信用查询截止时点：资格审查结束前。</w:t>
      </w:r>
    </w:p>
    <w:p w14:paraId="350F9716">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查询记录和证据留存方式：在查询网站中直接打印查询记录，截图另存为电子文档作为评审资料保存。</w:t>
      </w:r>
    </w:p>
    <w:p w14:paraId="0333E90D">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65CF35E">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2.2资格审查标准为本磋商文件中载明对供应商资格要求的条件。资格审查采用合格制，凡符合磋商文件规定的供应商资格要求的响应文件均通过资格审查。</w:t>
      </w:r>
    </w:p>
    <w:p w14:paraId="688812ED">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2.3供应商有下列情形之一的，资格审查不通过，其响应文件按无效响应处理：</w:t>
      </w:r>
    </w:p>
    <w:p w14:paraId="7F4F9C5B">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（1）不具备磋商文件中规定的资格要求的；</w:t>
      </w:r>
    </w:p>
    <w:p w14:paraId="5E026672">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（2）响应文件未提供任一项“供应商须知前附表”资格证明文件规定的“必须提供”的文件资料的；</w:t>
      </w:r>
    </w:p>
    <w:p w14:paraId="5697CE9D">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（3）响应文件提供的资格证明文件出现任一项不符合“供应商须知前附表”资格证明文件规定的“必须提供”的文件资料要求或者无效的。</w:t>
      </w:r>
    </w:p>
    <w:p w14:paraId="6E531530">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（4）同一合同项下的不同供应商，单位负责人为同一人或者存在直接控股、管理关系的；为本项目提供过整体设计、规范编制或者项目管理、监理、检测等服务的。</w:t>
      </w:r>
    </w:p>
    <w:p w14:paraId="6B69B843">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2.4通过资格审查的合格供应商不足3家的，不得进入符合性审查环节，采购人或者采购代理机构应当重新开展采购活动。</w:t>
      </w:r>
    </w:p>
    <w:p w14:paraId="12ED473C">
      <w:pPr>
        <w:snapToGrid w:val="0"/>
        <w:spacing w:line="360" w:lineRule="auto"/>
        <w:ind w:firstLine="422" w:firstLineChars="175"/>
        <w:textAlignment w:val="baseline"/>
        <w:rPr>
          <w:rStyle w:val="87"/>
          <w:rFonts w:hint="eastAsia" w:ascii="方正仿宋_GB2312" w:hAnsi="方正仿宋_GB2312" w:eastAsia="方正仿宋_GB2312" w:cs="方正仿宋_GB2312"/>
          <w:b/>
          <w:bCs/>
          <w:color w:val="auto"/>
          <w:sz w:val="24"/>
          <w:highlight w:val="none"/>
        </w:rPr>
      </w:pPr>
      <w:r>
        <w:rPr>
          <w:rStyle w:val="87"/>
          <w:rFonts w:hint="eastAsia" w:ascii="方正仿宋_GB2312" w:hAnsi="方正仿宋_GB2312" w:eastAsia="方正仿宋_GB2312" w:cs="方正仿宋_GB2312"/>
          <w:b/>
          <w:bCs/>
          <w:color w:val="auto"/>
          <w:sz w:val="24"/>
          <w:highlight w:val="none"/>
        </w:rPr>
        <w:t>3.符合性审查</w:t>
      </w:r>
    </w:p>
    <w:p w14:paraId="635889A0">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3.1由磋商小组对通过资格审查的合格供应商的响应文件的响应报价、商务、技术等实质性要求进行符合性审查，以确定其是否满足磋商文件的实质性要求。</w:t>
      </w:r>
    </w:p>
    <w:p w14:paraId="687F3D74">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07A8BDD">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pacing w:val="-6"/>
          <w:szCs w:val="21"/>
          <w:highlight w:val="none"/>
        </w:rPr>
      </w:pPr>
      <w:r>
        <w:rPr>
          <w:rStyle w:val="87"/>
          <w:rFonts w:hint="eastAsia" w:ascii="方正仿宋_GB2312" w:hAnsi="方正仿宋_GB2312" w:eastAsia="方正仿宋_GB2312" w:cs="方正仿宋_GB2312"/>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Style w:val="87"/>
          <w:rFonts w:hint="eastAsia" w:ascii="方正仿宋_GB2312" w:hAnsi="方正仿宋_GB2312" w:eastAsia="方正仿宋_GB2312" w:cs="方正仿宋_GB2312"/>
          <w:color w:val="auto"/>
          <w:spacing w:val="-6"/>
          <w:szCs w:val="21"/>
          <w:highlight w:val="none"/>
        </w:rPr>
        <w:t>。供应商为自然人的，必须由本人签字并附身份证明。</w:t>
      </w:r>
    </w:p>
    <w:p w14:paraId="6CE484DD">
      <w:pPr>
        <w:snapToGrid w:val="0"/>
        <w:spacing w:line="360" w:lineRule="auto"/>
        <w:ind w:firstLine="396"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pacing w:val="-6"/>
          <w:szCs w:val="21"/>
          <w:highlight w:val="none"/>
        </w:rPr>
        <w:t>3.4</w:t>
      </w:r>
      <w:r>
        <w:rPr>
          <w:rStyle w:val="87"/>
          <w:rFonts w:hint="eastAsia" w:ascii="方正仿宋_GB2312" w:hAnsi="方正仿宋_GB2312" w:eastAsia="方正仿宋_GB2312" w:cs="方正仿宋_GB2312"/>
          <w:color w:val="auto"/>
          <w:szCs w:val="21"/>
          <w:highlight w:val="none"/>
        </w:rPr>
        <w:t xml:space="preserve">首次响应文件报价出现前后不一致的，按照下列规定修正： </w:t>
      </w:r>
    </w:p>
    <w:p w14:paraId="2017C45A">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（1）响应文件中报价表内容与响应文件中相应内容不一致的，以报价表为准；</w:t>
      </w:r>
    </w:p>
    <w:p w14:paraId="6FD89EC7">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（2）大写金额和小写金额不一致的，以大写金额为准；</w:t>
      </w:r>
    </w:p>
    <w:p w14:paraId="4685D6EE">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（3）单价金额小数点或者百分比有明显错位的，以报价表的总价为准，并修改单价；</w:t>
      </w:r>
    </w:p>
    <w:p w14:paraId="52AD74F1">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（4）总价金额与按单价汇总金额不一致的，以单价金额计算结果为准。</w:t>
      </w:r>
    </w:p>
    <w:p w14:paraId="0EC16FEE">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同时出现两种以上不一致的，按照以上（1）-（4）规定的顺序逐条进行修正。修正后的报价经供应商确认后产生约束力，供应商不确认的，其响应文件按无效响应处理。</w:t>
      </w:r>
    </w:p>
    <w:p w14:paraId="682A8D07">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3.5商务技术、报价评审</w:t>
      </w:r>
    </w:p>
    <w:p w14:paraId="4C95220F">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在评审时，如发现下列情形之一的，将被视为响应文件无效处理：</w:t>
      </w:r>
    </w:p>
    <w:p w14:paraId="039CFB25">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（1）商务技术评审</w:t>
      </w:r>
    </w:p>
    <w:p w14:paraId="241E0416">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1）响应文件未按磋商文件要求签署、盖章；</w:t>
      </w:r>
    </w:p>
    <w:p w14:paraId="50E6CEE2">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 xml:space="preserve">2）委托代理人未能出具有效身份证明或者出具的身份证明与授权委托书中的信息不符； </w:t>
      </w:r>
    </w:p>
    <w:p w14:paraId="3F85D4C3">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405EF01">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4）商务条款中标“▲”的条款发生负偏离的或者允许负偏离的条款数超过“供应商须知前附表”规定项数的或者标明实质性的要求发生负偏离；</w:t>
      </w:r>
    </w:p>
    <w:p w14:paraId="08CA6AEB">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5）未对竞标有效期作出响应或者响应文件承诺的竞标有效期不满足磋商文件要求；</w:t>
      </w:r>
    </w:p>
    <w:p w14:paraId="70643ABD">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6）响应文件的实质性内容未使用中文表述、使用计量单位不符合磋商文件要求；</w:t>
      </w:r>
    </w:p>
    <w:p w14:paraId="214DAF55">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7）响应文件中的文件资料因填写不齐全或者内容虚假或者出现其他情形而导致被磋商小组认定无效；</w:t>
      </w:r>
    </w:p>
    <w:p w14:paraId="22E6071C">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8）响应文件含有采购人不能接受的附加条件；</w:t>
      </w:r>
    </w:p>
    <w:p w14:paraId="6B56B12E">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9）属于“供应商须知正文”第7.5条情形；</w:t>
      </w:r>
    </w:p>
    <w:p w14:paraId="699C40C7">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10）技术需求允许负偏离的条款数超过“供应商须知前附表”规定项数；</w:t>
      </w:r>
    </w:p>
    <w:p w14:paraId="70B39DEA">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11）虚假竞标，或者出现其他情形而导致被磋商小组认定无效；</w:t>
      </w:r>
    </w:p>
    <w:p w14:paraId="3F773A95">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12）竞标技术方案不明确，磋商文件未允许但响应文件中存在一个或者一个以上备选（替代）竞标方案；</w:t>
      </w:r>
    </w:p>
    <w:p w14:paraId="7B8C851D">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13）响应文件标注的项目名称或者项目编号与竞争性磋商文件标注的项目名称或者项目编号不一致的；</w:t>
      </w:r>
    </w:p>
    <w:p w14:paraId="44F988F0">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14）未响应磋商文件实质性要求；</w:t>
      </w:r>
    </w:p>
    <w:p w14:paraId="3C77D094">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15）法律、法规和磋商文件规定的其他无效情形。</w:t>
      </w:r>
    </w:p>
    <w:p w14:paraId="34975C0F">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（2）报价评审</w:t>
      </w:r>
    </w:p>
    <w:p w14:paraId="7A545C2E">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1) 响应文件未提供“供应商须知前附表” 报价文件中规定的“响应报价表、已标价工程量清单”；</w:t>
      </w:r>
    </w:p>
    <w:p w14:paraId="034ECD85">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2）未采用人民币报价或者未按照磋商文件标明的币种报价；</w:t>
      </w:r>
    </w:p>
    <w:p w14:paraId="7A8F042C">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EBAA159">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50734AA1">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46E707D">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6）响应文件响应的标的数量及单位与竞争性磋商采购文件要求实质性不一致的。</w:t>
      </w:r>
    </w:p>
    <w:p w14:paraId="3D03EA92">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3468FB8">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4F45CCB1">
      <w:pPr>
        <w:snapToGrid w:val="0"/>
        <w:spacing w:line="360" w:lineRule="auto"/>
        <w:ind w:firstLine="422" w:firstLineChars="175"/>
        <w:textAlignment w:val="baseline"/>
        <w:rPr>
          <w:rStyle w:val="87"/>
          <w:rFonts w:hint="eastAsia" w:ascii="方正仿宋_GB2312" w:hAnsi="方正仿宋_GB2312" w:eastAsia="方正仿宋_GB2312" w:cs="方正仿宋_GB2312"/>
          <w:b/>
          <w:bCs/>
          <w:color w:val="auto"/>
          <w:sz w:val="24"/>
          <w:highlight w:val="none"/>
        </w:rPr>
      </w:pPr>
      <w:r>
        <w:rPr>
          <w:rStyle w:val="87"/>
          <w:rFonts w:hint="eastAsia" w:ascii="方正仿宋_GB2312" w:hAnsi="方正仿宋_GB2312" w:eastAsia="方正仿宋_GB2312" w:cs="方正仿宋_GB2312"/>
          <w:b/>
          <w:bCs/>
          <w:color w:val="auto"/>
          <w:sz w:val="24"/>
          <w:highlight w:val="none"/>
        </w:rPr>
        <w:t>4.磋商程序</w:t>
      </w:r>
    </w:p>
    <w:p w14:paraId="1E75D1C9">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kern w:val="0"/>
          <w:szCs w:val="21"/>
          <w:highlight w:val="none"/>
        </w:rPr>
      </w:pPr>
      <w:r>
        <w:rPr>
          <w:rStyle w:val="87"/>
          <w:rFonts w:hint="eastAsia" w:ascii="方正仿宋_GB2312" w:hAnsi="方正仿宋_GB2312" w:eastAsia="方正仿宋_GB2312" w:cs="方正仿宋_GB2312"/>
          <w:color w:val="auto"/>
          <w:kern w:val="0"/>
          <w:szCs w:val="21"/>
          <w:highlight w:val="none"/>
        </w:rPr>
        <w:t>4.1磋商小组按照“供应商须知前附表”</w:t>
      </w:r>
      <w:r>
        <w:rPr>
          <w:rStyle w:val="87"/>
          <w:rFonts w:hint="eastAsia" w:ascii="方正仿宋_GB2312" w:hAnsi="方正仿宋_GB2312" w:eastAsia="方正仿宋_GB2312" w:cs="方正仿宋_GB2312"/>
          <w:color w:val="auto"/>
          <w:szCs w:val="21"/>
          <w:highlight w:val="none"/>
        </w:rPr>
        <w:t xml:space="preserve"> </w:t>
      </w:r>
      <w:r>
        <w:rPr>
          <w:rStyle w:val="87"/>
          <w:rFonts w:hint="eastAsia" w:ascii="方正仿宋_GB2312" w:hAnsi="方正仿宋_GB2312" w:eastAsia="方正仿宋_GB2312" w:cs="方正仿宋_GB2312"/>
          <w:color w:val="auto"/>
          <w:kern w:val="0"/>
          <w:szCs w:val="21"/>
          <w:highlight w:val="none"/>
        </w:rPr>
        <w:t>确定的</w:t>
      </w:r>
      <w:r>
        <w:rPr>
          <w:rStyle w:val="87"/>
          <w:rFonts w:hint="eastAsia" w:ascii="方正仿宋_GB2312" w:hAnsi="方正仿宋_GB2312" w:eastAsia="方正仿宋_GB2312" w:cs="方正仿宋_GB2312"/>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D882EE6">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7D0AEB5">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4.3对磋商文件作出的实质性变动是磋商文件的有效组成部分，由磋商小组及时以电子澄清函形式同时通知所有参加磋商的供应商。</w:t>
      </w:r>
    </w:p>
    <w:p w14:paraId="05F5D232">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EF31BF8">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4.5磋商中，</w:t>
      </w:r>
      <w:r>
        <w:rPr>
          <w:rStyle w:val="87"/>
          <w:rFonts w:hint="eastAsia" w:ascii="方正仿宋_GB2312" w:hAnsi="方正仿宋_GB2312" w:eastAsia="方正仿宋_GB2312" w:cs="方正仿宋_GB2312"/>
          <w:color w:val="auto"/>
          <w:spacing w:val="-6"/>
          <w:szCs w:val="21"/>
          <w:highlight w:val="none"/>
        </w:rPr>
        <w:t>磋商的任何一方不得透露与磋商有关的其他供应商的技术资料、价格和其他信息。</w:t>
      </w:r>
    </w:p>
    <w:p w14:paraId="2FBC4AB6">
      <w:pPr>
        <w:widowControl/>
        <w:tabs>
          <w:tab w:val="left" w:pos="540"/>
        </w:tabs>
        <w:snapToGrid w:val="0"/>
        <w:spacing w:line="360" w:lineRule="auto"/>
        <w:ind w:firstLine="420" w:firstLineChars="200"/>
        <w:jc w:val="left"/>
        <w:textAlignment w:val="baseline"/>
        <w:rPr>
          <w:rStyle w:val="87"/>
          <w:rFonts w:hint="eastAsia" w:ascii="方正仿宋_GB2312" w:hAnsi="方正仿宋_GB2312" w:eastAsia="方正仿宋_GB2312" w:cs="方正仿宋_GB2312"/>
          <w:b/>
          <w:color w:val="auto"/>
          <w:szCs w:val="21"/>
          <w:highlight w:val="none"/>
        </w:rPr>
      </w:pPr>
      <w:r>
        <w:rPr>
          <w:rStyle w:val="87"/>
          <w:rFonts w:hint="eastAsia" w:ascii="方正仿宋_GB2312" w:hAnsi="方正仿宋_GB2312" w:eastAsia="方正仿宋_GB2312" w:cs="方正仿宋_GB2312"/>
          <w:color w:val="auto"/>
          <w:szCs w:val="21"/>
          <w:highlight w:val="none"/>
        </w:rPr>
        <w:t>4.6磋商小组应对磋商过程和重要磋商内容进行记录，作为评标报告一部分，磋商小组在记录上签字确认。</w:t>
      </w:r>
      <w:r>
        <w:rPr>
          <w:rStyle w:val="87"/>
          <w:rFonts w:hint="eastAsia" w:ascii="方正仿宋_GB2312" w:hAnsi="方正仿宋_GB2312" w:eastAsia="方正仿宋_GB2312" w:cs="方正仿宋_GB2312"/>
          <w:b/>
          <w:color w:val="auto"/>
          <w:szCs w:val="21"/>
          <w:highlight w:val="none"/>
        </w:rPr>
        <w:t>主要内容包括：</w:t>
      </w:r>
    </w:p>
    <w:p w14:paraId="12D6609D">
      <w:pPr>
        <w:pStyle w:val="88"/>
        <w:widowControl/>
        <w:snapToGrid w:val="0"/>
        <w:spacing w:before="0"/>
        <w:ind w:firstLine="396"/>
        <w:rPr>
          <w:rStyle w:val="87"/>
          <w:rFonts w:hint="eastAsia" w:ascii="方正仿宋_GB2312" w:hAnsi="方正仿宋_GB2312" w:eastAsia="方正仿宋_GB2312" w:cs="方正仿宋_GB2312"/>
          <w:color w:val="auto"/>
          <w:spacing w:val="-6"/>
          <w:szCs w:val="21"/>
          <w:highlight w:val="none"/>
        </w:rPr>
      </w:pPr>
      <w:r>
        <w:rPr>
          <w:rStyle w:val="87"/>
          <w:rFonts w:hint="eastAsia" w:ascii="方正仿宋_GB2312" w:hAnsi="方正仿宋_GB2312" w:eastAsia="方正仿宋_GB2312" w:cs="方正仿宋_GB2312"/>
          <w:color w:val="auto"/>
          <w:spacing w:val="-6"/>
          <w:szCs w:val="21"/>
          <w:highlight w:val="none"/>
        </w:rPr>
        <w:t>（1）按照相关规定进行公示的，公示情况说明；</w:t>
      </w:r>
    </w:p>
    <w:p w14:paraId="0F7FC10B">
      <w:pPr>
        <w:pStyle w:val="88"/>
        <w:widowControl/>
        <w:snapToGrid w:val="0"/>
        <w:spacing w:before="0"/>
        <w:ind w:firstLine="396"/>
        <w:rPr>
          <w:rStyle w:val="87"/>
          <w:rFonts w:hint="eastAsia" w:ascii="方正仿宋_GB2312" w:hAnsi="方正仿宋_GB2312" w:eastAsia="方正仿宋_GB2312" w:cs="方正仿宋_GB2312"/>
          <w:color w:val="auto"/>
          <w:spacing w:val="-6"/>
          <w:szCs w:val="21"/>
          <w:highlight w:val="none"/>
        </w:rPr>
      </w:pPr>
      <w:r>
        <w:rPr>
          <w:rStyle w:val="87"/>
          <w:rFonts w:hint="eastAsia" w:ascii="方正仿宋_GB2312" w:hAnsi="方正仿宋_GB2312" w:eastAsia="方正仿宋_GB2312" w:cs="方正仿宋_GB2312"/>
          <w:color w:val="auto"/>
          <w:spacing w:val="-6"/>
          <w:szCs w:val="21"/>
          <w:highlight w:val="none"/>
        </w:rPr>
        <w:t>（2）磋商日期和地点，磋商人员名单；</w:t>
      </w:r>
    </w:p>
    <w:p w14:paraId="527BBEA1">
      <w:pPr>
        <w:pStyle w:val="88"/>
        <w:widowControl/>
        <w:snapToGrid w:val="0"/>
        <w:spacing w:before="0"/>
        <w:ind w:firstLine="396"/>
        <w:rPr>
          <w:rStyle w:val="87"/>
          <w:rFonts w:hint="eastAsia" w:ascii="方正仿宋_GB2312" w:hAnsi="方正仿宋_GB2312" w:eastAsia="方正仿宋_GB2312" w:cs="方正仿宋_GB2312"/>
          <w:color w:val="auto"/>
          <w:spacing w:val="-6"/>
          <w:szCs w:val="21"/>
          <w:highlight w:val="none"/>
        </w:rPr>
      </w:pPr>
      <w:r>
        <w:rPr>
          <w:rStyle w:val="87"/>
          <w:rFonts w:hint="eastAsia" w:ascii="方正仿宋_GB2312" w:hAnsi="方正仿宋_GB2312" w:eastAsia="方正仿宋_GB2312" w:cs="方正仿宋_GB2312"/>
          <w:color w:val="auto"/>
          <w:spacing w:val="-6"/>
          <w:szCs w:val="21"/>
          <w:highlight w:val="none"/>
        </w:rPr>
        <w:t>（3）合同主要条款及价格商定情况。</w:t>
      </w:r>
    </w:p>
    <w:p w14:paraId="296C4C8D">
      <w:pPr>
        <w:widowControl/>
        <w:tabs>
          <w:tab w:val="left" w:pos="540"/>
        </w:tabs>
        <w:snapToGrid w:val="0"/>
        <w:spacing w:line="360" w:lineRule="auto"/>
        <w:ind w:firstLine="420" w:firstLineChars="200"/>
        <w:jc w:val="left"/>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4.7磋商过程中重新提交的响应文件，供应商可以在开启前补充、修改。</w:t>
      </w:r>
    </w:p>
    <w:p w14:paraId="4E3006EB">
      <w:pPr>
        <w:tabs>
          <w:tab w:val="left" w:pos="2835"/>
        </w:tabs>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4.8对磋商过程提交的响应文件进行有效性、完整性和响应程度审查，通过审查的合格供应商不足3家的，采购人或者采购代理机构应当重新开展采购活动。</w:t>
      </w:r>
    </w:p>
    <w:p w14:paraId="4CF6D674">
      <w:pPr>
        <w:snapToGrid w:val="0"/>
        <w:spacing w:line="360" w:lineRule="auto"/>
        <w:ind w:firstLine="422" w:firstLineChars="175"/>
        <w:textAlignment w:val="baseline"/>
        <w:rPr>
          <w:rStyle w:val="87"/>
          <w:rFonts w:hint="eastAsia" w:ascii="方正仿宋_GB2312" w:hAnsi="方正仿宋_GB2312" w:eastAsia="方正仿宋_GB2312" w:cs="方正仿宋_GB2312"/>
          <w:b/>
          <w:bCs/>
          <w:color w:val="auto"/>
          <w:sz w:val="24"/>
          <w:highlight w:val="none"/>
        </w:rPr>
      </w:pPr>
      <w:r>
        <w:rPr>
          <w:rStyle w:val="87"/>
          <w:rFonts w:hint="eastAsia" w:ascii="方正仿宋_GB2312" w:hAnsi="方正仿宋_GB2312" w:eastAsia="方正仿宋_GB2312" w:cs="方正仿宋_GB2312"/>
          <w:b/>
          <w:bCs/>
          <w:color w:val="auto"/>
          <w:sz w:val="24"/>
          <w:highlight w:val="none"/>
        </w:rPr>
        <w:t>5.最后报价</w:t>
      </w:r>
    </w:p>
    <w:p w14:paraId="61C69169">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49FF2769">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5.2磋商文件不能详细列明采购标的的技术、服务要求，需经磋商由供应商提供最后设计方案或者解决方案的，磋商结束后，由磋商小组按照少数服从多数的原则投票推荐3家供应商的设计方案或者解决方案，并要求其在规定时间内密封提交最后报价。</w:t>
      </w:r>
    </w:p>
    <w:p w14:paraId="5D11108A">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FEF7428">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5.4已经提交响应文件的供应商，在提交最后报价之前，可以根据磋商情况退出磋商，退出磋商的供应商的响应文件按无效响应处理。</w:t>
      </w:r>
    </w:p>
    <w:p w14:paraId="0D13BFE1">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5.5供应商未在规定时间内提交最后报价的，视同退出磋商。</w:t>
      </w:r>
    </w:p>
    <w:p w14:paraId="5D84D40B">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5.6磋商小组收齐某一分标最后报价后统一开启，磋商小组对最后报价进行有效性、完整性和响应程度的审查。</w:t>
      </w:r>
    </w:p>
    <w:p w14:paraId="49ABBC7B">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 xml:space="preserve">5.7最终响应文件的报价出现前后不一致的，按照本章第3.4条的规定修正。 </w:t>
      </w:r>
    </w:p>
    <w:p w14:paraId="1B861F03">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5.8修正后的最终报价出现下列情形的，按无效响应处理：</w:t>
      </w:r>
    </w:p>
    <w:p w14:paraId="2F7D5303">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（1）供应商不确认的（全流程电子化评标采取在线确认）；</w:t>
      </w:r>
    </w:p>
    <w:p w14:paraId="255B8BB7">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（2）经供应商确认修正后的响应报价（包含首次报价、最后报价）超过所竞标分标规定的采购预算金额或者最高限价的（如本项目公布了最高限价）；</w:t>
      </w:r>
    </w:p>
    <w:p w14:paraId="0D9C48D2">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（3）经供应商确认修正后的响应报价（包含首次报价、最后报价）超过分项采购预算金额或者最高限价的（如本项目公布了最高限价）。</w:t>
      </w:r>
    </w:p>
    <w:p w14:paraId="63C506EB">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5.9经供应商确认修正后的最后报价作为评审及签订合同的依据。</w:t>
      </w:r>
    </w:p>
    <w:p w14:paraId="0157F3DA">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5.10供应商出现最后报价按无效响应处理或者响应文件按无效处理时，磋商小组应当告知有关供应商。</w:t>
      </w:r>
    </w:p>
    <w:p w14:paraId="10F30C2A">
      <w:pPr>
        <w:spacing w:line="360" w:lineRule="auto"/>
        <w:ind w:firstLine="420" w:firstLineChars="200"/>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5.11最后报价结束后，磋商小组不得再与供应商进行任何形式的商谈。</w:t>
      </w:r>
    </w:p>
    <w:p w14:paraId="6CC95BE0">
      <w:pPr>
        <w:suppressAutoHyphens/>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5.12</w:t>
      </w:r>
      <w:r>
        <w:rPr>
          <w:rFonts w:hint="eastAsia" w:ascii="仿宋" w:hAnsi="仿宋" w:eastAsia="仿宋" w:cs="仿宋"/>
          <w:color w:val="000000"/>
          <w:sz w:val="21"/>
          <w:szCs w:val="21"/>
          <w:highlight w:val="none"/>
        </w:rPr>
        <w:t>政府采购异常低价审查程序</w:t>
      </w:r>
    </w:p>
    <w:p w14:paraId="21F65501">
      <w:pPr>
        <w:suppressAutoHyphens/>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12.1</w:t>
      </w:r>
      <w:r>
        <w:rPr>
          <w:rFonts w:hint="eastAsia" w:ascii="仿宋" w:hAnsi="仿宋" w:eastAsia="仿宋" w:cs="仿宋"/>
          <w:color w:val="000000"/>
          <w:sz w:val="21"/>
          <w:szCs w:val="21"/>
          <w:highlight w:val="none"/>
        </w:rPr>
        <w:t>评审中出现下列情形之一的，评审委员会应当启动异常低价响应审查程序：</w:t>
      </w:r>
    </w:p>
    <w:p w14:paraId="270E73A6">
      <w:pPr>
        <w:suppressAutoHyphens/>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（1）响应报价低于全部通过符合性审查供应商响应报价平均值50%的，即响应报价&lt;全部通过符合性审查供应商响应报价平均值×50%；</w:t>
      </w:r>
    </w:p>
    <w:p w14:paraId="65124644">
      <w:pPr>
        <w:suppressAutoHyphens/>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（2）响应报价低于通过符合性审查的次低报价供应商响应报价50%的，即响应报价&lt;通过符合性审查的次低报价供应商响应报价×50%；</w:t>
      </w:r>
    </w:p>
    <w:p w14:paraId="21952476">
      <w:pPr>
        <w:suppressAutoHyphens/>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（3）响应报价低于采购项目最高限价45%的，即响应报价&lt;采购项目最高限价×45%；</w:t>
      </w:r>
    </w:p>
    <w:p w14:paraId="60FDF3C5">
      <w:pPr>
        <w:suppressAutoHyphens/>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（4）评审委员会基于专业判断，认为供应商报价过低，有可能影响产品质量或者不能诚信履约的其他情形。</w:t>
      </w:r>
    </w:p>
    <w:p w14:paraId="7BCCE5E0">
      <w:pPr>
        <w:suppressAutoHyphens/>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采购人可以结合具体项目实际情况，提高上述第1项至第3项中启动异常低价响应审查的数值标准，但是最高不得超过65%。</w:t>
      </w:r>
    </w:p>
    <w:p w14:paraId="7C5EE75C">
      <w:pPr>
        <w:suppressAutoHyphens/>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034EF2F8">
      <w:pPr>
        <w:suppressAutoHyphens/>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12.2</w:t>
      </w:r>
      <w:r>
        <w:rPr>
          <w:rFonts w:hint="eastAsia" w:ascii="仿宋" w:hAnsi="仿宋" w:eastAsia="仿宋" w:cs="仿宋"/>
          <w:color w:val="000000"/>
          <w:sz w:val="21"/>
          <w:szCs w:val="21"/>
          <w:highlight w:val="none"/>
        </w:rPr>
        <w:t>评审委员会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2EE2F0A3">
      <w:pPr>
        <w:suppressAutoHyphens/>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12.3</w:t>
      </w:r>
      <w:r>
        <w:rPr>
          <w:rFonts w:hint="eastAsia" w:ascii="仿宋" w:hAnsi="仿宋" w:eastAsia="仿宋" w:cs="仿宋"/>
          <w:color w:val="000000"/>
          <w:sz w:val="21"/>
          <w:szCs w:val="21"/>
          <w:highlight w:val="none"/>
        </w:rPr>
        <w:t>采购人、采购代理机构应当为评审委员会在评审现场及时获取同类项目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E00340A">
      <w:pPr>
        <w:suppressAutoHyphens/>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12.4</w:t>
      </w:r>
      <w:r>
        <w:rPr>
          <w:rFonts w:hint="eastAsia" w:ascii="仿宋" w:hAnsi="仿宋" w:eastAsia="仿宋" w:cs="仿宋"/>
          <w:color w:val="000000"/>
          <w:sz w:val="21"/>
          <w:szCs w:val="21"/>
          <w:highlight w:val="none"/>
        </w:rPr>
        <w:t>异常低价响应审查的启动原因、审查意见和审查结果应当在评审报告中记录，并随供应商提供的相关书面说明及证明材料，以及评审委员会有关互联网浏览、查询历史一并归档。</w:t>
      </w:r>
    </w:p>
    <w:p w14:paraId="3CF3FE24">
      <w:pPr>
        <w:suppressAutoHyphens/>
        <w:spacing w:line="360" w:lineRule="auto"/>
        <w:ind w:firstLine="420" w:firstLineChars="200"/>
        <w:rPr>
          <w:rStyle w:val="87"/>
          <w:rFonts w:hint="eastAsia" w:ascii="方正仿宋_GB2312" w:hAnsi="方正仿宋_GB2312" w:eastAsia="方正仿宋_GB2312" w:cs="方正仿宋_GB2312"/>
          <w:b/>
          <w:bCs/>
          <w:color w:val="auto"/>
          <w:szCs w:val="21"/>
          <w:highlight w:val="none"/>
        </w:rPr>
      </w:pP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12.5</w:t>
      </w:r>
      <w:r>
        <w:rPr>
          <w:rFonts w:hint="eastAsia" w:ascii="仿宋" w:hAnsi="仿宋" w:eastAsia="仿宋" w:cs="仿宋"/>
          <w:color w:val="000000"/>
          <w:sz w:val="21"/>
          <w:szCs w:val="21"/>
          <w:highlight w:val="none"/>
        </w:rPr>
        <w:t>采购人将落实履约验收责任，依法组织履约验收工作，验收内容要包括每一项技术和商务要求的履约情况。对报价触发异常低价响应审查程序后仍成交的供应商，重点关注其履约承诺、实际履约情况等。对可以分期实施的采购项目，实行分期考核、分期验收、分期支付，及时掌握供应商履约进展。如供应商成交后无正当理由拒不签订政府采购合同的，依法予以处理；如供应商不履行合同或者未按合同约定履行合同导致验收不合格的，采购人当依法追究其违约责任。</w:t>
      </w:r>
    </w:p>
    <w:p w14:paraId="5C0CF4D5">
      <w:pPr>
        <w:snapToGrid w:val="0"/>
        <w:spacing w:line="360" w:lineRule="auto"/>
        <w:ind w:firstLine="422" w:firstLineChars="200"/>
        <w:textAlignment w:val="baseline"/>
        <w:rPr>
          <w:rStyle w:val="87"/>
          <w:rFonts w:hint="eastAsia" w:ascii="方正仿宋_GB2312" w:hAnsi="方正仿宋_GB2312" w:eastAsia="方正仿宋_GB2312" w:cs="方正仿宋_GB2312"/>
          <w:b/>
          <w:bCs/>
          <w:color w:val="auto"/>
          <w:szCs w:val="21"/>
          <w:highlight w:val="none"/>
        </w:rPr>
      </w:pPr>
      <w:r>
        <w:rPr>
          <w:rStyle w:val="87"/>
          <w:rFonts w:hint="eastAsia" w:ascii="方正仿宋_GB2312" w:hAnsi="方正仿宋_GB2312" w:eastAsia="方正仿宋_GB2312" w:cs="方正仿宋_GB2312"/>
          <w:b/>
          <w:bCs/>
          <w:color w:val="auto"/>
          <w:szCs w:val="21"/>
          <w:highlight w:val="none"/>
        </w:rPr>
        <w:t>5.1</w:t>
      </w:r>
      <w:r>
        <w:rPr>
          <w:rStyle w:val="87"/>
          <w:rFonts w:hint="eastAsia" w:ascii="方正仿宋_GB2312" w:hAnsi="方正仿宋_GB2312" w:eastAsia="方正仿宋_GB2312" w:cs="方正仿宋_GB2312"/>
          <w:b/>
          <w:bCs/>
          <w:color w:val="auto"/>
          <w:szCs w:val="21"/>
          <w:highlight w:val="none"/>
          <w:lang w:val="en-US"/>
        </w:rPr>
        <w:t>3</w:t>
      </w:r>
      <w:r>
        <w:rPr>
          <w:rStyle w:val="87"/>
          <w:rFonts w:hint="eastAsia" w:ascii="方正仿宋_GB2312" w:hAnsi="方正仿宋_GB2312" w:eastAsia="方正仿宋_GB2312" w:cs="方正仿宋_GB2312"/>
          <w:b/>
          <w:bCs/>
          <w:color w:val="auto"/>
          <w:szCs w:val="21"/>
          <w:highlight w:val="none"/>
        </w:rPr>
        <w:t>供应商的最终竞标报价总额与首次递交响应文件中竞标报价总额不一致，须重新提交一份已标价工程量清单。</w:t>
      </w:r>
    </w:p>
    <w:p w14:paraId="38203E3E">
      <w:pPr>
        <w:snapToGrid w:val="0"/>
        <w:spacing w:line="360" w:lineRule="auto"/>
        <w:ind w:firstLine="422" w:firstLineChars="175"/>
        <w:textAlignment w:val="baseline"/>
        <w:rPr>
          <w:rStyle w:val="87"/>
          <w:rFonts w:hint="eastAsia" w:ascii="方正仿宋_GB2312" w:hAnsi="方正仿宋_GB2312" w:eastAsia="方正仿宋_GB2312" w:cs="方正仿宋_GB2312"/>
          <w:b/>
          <w:bCs/>
          <w:color w:val="auto"/>
          <w:sz w:val="24"/>
          <w:highlight w:val="none"/>
        </w:rPr>
      </w:pPr>
      <w:r>
        <w:rPr>
          <w:rStyle w:val="87"/>
          <w:rFonts w:hint="eastAsia" w:ascii="方正仿宋_GB2312" w:hAnsi="方正仿宋_GB2312" w:eastAsia="方正仿宋_GB2312" w:cs="方正仿宋_GB2312"/>
          <w:b/>
          <w:bCs/>
          <w:color w:val="auto"/>
          <w:sz w:val="24"/>
          <w:highlight w:val="none"/>
        </w:rPr>
        <w:t>6.比较与评价</w:t>
      </w:r>
    </w:p>
    <w:p w14:paraId="40E50195">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6.1评审方法：综合评分法。</w:t>
      </w:r>
    </w:p>
    <w:p w14:paraId="18B96247">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6.2经磋商确定最终采购需求和提交最后报价的供应商后，由磋商小组采用综合评分法对提交最后报价的供应商的响应文件和最后报价进行综合评分。</w:t>
      </w:r>
    </w:p>
    <w:p w14:paraId="5E51F031">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6.3评审时，磋商小组各成员应当独立对每个有效响应的文件进行评价、打分，然后汇总每个供应商每项评分因素的得分。</w:t>
      </w:r>
    </w:p>
    <w:p w14:paraId="66A023EF">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EBFA427">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（2）磋商小组按照磋商文件中规定的评审标准计算各供应商的报价得分。项目评审过程中，不得去掉最后报价中的最高报价和最低报价。</w:t>
      </w:r>
    </w:p>
    <w:p w14:paraId="7878407C">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（3）各供应商的得分为磋商小组所有成员的有效评分的算术平均数。</w:t>
      </w:r>
    </w:p>
    <w:p w14:paraId="6E867065">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3E9DDEB6">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6.5由磋商小组根据综合评分情况，按照评审得分由高到低顺序推荐3名成交候选供应商，并编写评审报告。符合本章第4.3条情形的，可以推荐2家成交候选供应商。评审得分相同的，按照最后报价由低到高的顺序推荐。评审得分且最后报价相同的，按照技术指标优劣顺序推荐。</w:t>
      </w:r>
    </w:p>
    <w:p w14:paraId="13EF1316">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Cs w:val="21"/>
          <w:highlight w:val="none"/>
        </w:rPr>
      </w:pPr>
      <w:r>
        <w:rPr>
          <w:rStyle w:val="87"/>
          <w:rFonts w:hint="eastAsia" w:ascii="方正仿宋_GB2312" w:hAnsi="方正仿宋_GB2312" w:eastAsia="方正仿宋_GB2312" w:cs="方正仿宋_GB2312"/>
          <w:color w:val="auto"/>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14C3D34">
      <w:pPr>
        <w:snapToGrid w:val="0"/>
        <w:spacing w:line="360" w:lineRule="auto"/>
        <w:ind w:firstLine="422" w:firstLineChars="175"/>
        <w:textAlignment w:val="baseline"/>
        <w:rPr>
          <w:rStyle w:val="87"/>
          <w:rFonts w:hint="eastAsia" w:ascii="方正仿宋_GB2312" w:hAnsi="方正仿宋_GB2312" w:eastAsia="方正仿宋_GB2312" w:cs="方正仿宋_GB2312"/>
          <w:b/>
          <w:bCs/>
          <w:color w:val="auto"/>
          <w:sz w:val="24"/>
          <w:highlight w:val="none"/>
        </w:rPr>
      </w:pPr>
      <w:r>
        <w:rPr>
          <w:rStyle w:val="87"/>
          <w:rFonts w:hint="eastAsia" w:ascii="方正仿宋_GB2312" w:hAnsi="方正仿宋_GB2312" w:eastAsia="方正仿宋_GB2312" w:cs="方正仿宋_GB2312"/>
          <w:b/>
          <w:bCs/>
          <w:color w:val="auto"/>
          <w:sz w:val="24"/>
          <w:highlight w:val="none"/>
        </w:rPr>
        <w:t>7.评审复核</w:t>
      </w:r>
    </w:p>
    <w:p w14:paraId="6D24CEB4">
      <w:pPr>
        <w:snapToGrid w:val="0"/>
        <w:spacing w:line="360" w:lineRule="auto"/>
        <w:ind w:firstLine="420" w:firstLineChars="200"/>
        <w:textAlignment w:val="baseline"/>
        <w:rPr>
          <w:rStyle w:val="87"/>
          <w:rFonts w:hint="eastAsia" w:ascii="方正仿宋_GB2312" w:hAnsi="方正仿宋_GB2312" w:eastAsia="方正仿宋_GB2312" w:cs="方正仿宋_GB2312"/>
          <w:bCs/>
          <w:color w:val="auto"/>
          <w:szCs w:val="21"/>
          <w:highlight w:val="none"/>
        </w:rPr>
      </w:pPr>
      <w:r>
        <w:rPr>
          <w:rStyle w:val="87"/>
          <w:rFonts w:hint="eastAsia" w:ascii="方正仿宋_GB2312" w:hAnsi="方正仿宋_GB2312" w:eastAsia="方正仿宋_GB2312" w:cs="方正仿宋_GB2312"/>
          <w:bCs/>
          <w:color w:val="auto"/>
          <w:szCs w:val="21"/>
          <w:highlight w:val="none"/>
        </w:rPr>
        <w:t>7.1评审报告签署前，评审委员会要对评审结果进行复核，复核意见要体现在评审报告中。</w:t>
      </w:r>
    </w:p>
    <w:p w14:paraId="45005164">
      <w:pPr>
        <w:snapToGrid w:val="0"/>
        <w:spacing w:line="360" w:lineRule="auto"/>
        <w:ind w:firstLine="420" w:firstLineChars="200"/>
        <w:textAlignment w:val="baseline"/>
        <w:rPr>
          <w:rStyle w:val="87"/>
          <w:rFonts w:hint="eastAsia" w:ascii="方正仿宋_GB2312" w:hAnsi="方正仿宋_GB2312" w:eastAsia="方正仿宋_GB2312" w:cs="方正仿宋_GB2312"/>
          <w:bCs/>
          <w:color w:val="auto"/>
          <w:szCs w:val="21"/>
          <w:highlight w:val="none"/>
        </w:rPr>
      </w:pPr>
      <w:r>
        <w:rPr>
          <w:rStyle w:val="87"/>
          <w:rFonts w:hint="eastAsia" w:ascii="方正仿宋_GB2312" w:hAnsi="方正仿宋_GB2312" w:eastAsia="方正仿宋_GB2312" w:cs="方正仿宋_GB2312"/>
          <w:bCs/>
          <w:color w:val="auto"/>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5810DAFA">
      <w:pPr>
        <w:snapToGrid w:val="0"/>
        <w:spacing w:line="360" w:lineRule="auto"/>
        <w:ind w:firstLine="422" w:firstLineChars="175"/>
        <w:textAlignment w:val="baseline"/>
        <w:rPr>
          <w:rStyle w:val="87"/>
          <w:rFonts w:hint="eastAsia" w:ascii="方正仿宋_GB2312" w:hAnsi="方正仿宋_GB2312" w:eastAsia="方正仿宋_GB2312" w:cs="方正仿宋_GB2312"/>
          <w:b/>
          <w:bCs/>
          <w:color w:val="auto"/>
          <w:sz w:val="24"/>
          <w:highlight w:val="none"/>
        </w:rPr>
      </w:pPr>
      <w:r>
        <w:rPr>
          <w:rStyle w:val="87"/>
          <w:rFonts w:hint="eastAsia" w:ascii="方正仿宋_GB2312" w:hAnsi="方正仿宋_GB2312" w:eastAsia="方正仿宋_GB2312" w:cs="方正仿宋_GB2312"/>
          <w:b/>
          <w:bCs/>
          <w:color w:val="auto"/>
          <w:sz w:val="24"/>
          <w:highlight w:val="none"/>
        </w:rPr>
        <w:t>8.评审标准</w:t>
      </w:r>
    </w:p>
    <w:p w14:paraId="57034FC3">
      <w:pPr>
        <w:snapToGrid w:val="0"/>
        <w:spacing w:line="360" w:lineRule="auto"/>
        <w:ind w:firstLine="420" w:firstLineChars="200"/>
        <w:textAlignment w:val="baseline"/>
        <w:rPr>
          <w:rStyle w:val="87"/>
          <w:rFonts w:hint="eastAsia" w:ascii="方正仿宋_GB2312" w:hAnsi="方正仿宋_GB2312" w:eastAsia="方正仿宋_GB2312" w:cs="方正仿宋_GB2312"/>
          <w:bCs/>
          <w:color w:val="auto"/>
          <w:szCs w:val="21"/>
          <w:highlight w:val="none"/>
        </w:rPr>
      </w:pPr>
      <w:r>
        <w:rPr>
          <w:rStyle w:val="87"/>
          <w:rFonts w:hint="eastAsia" w:ascii="方正仿宋_GB2312" w:hAnsi="方正仿宋_GB2312" w:eastAsia="方正仿宋_GB2312" w:cs="方正仿宋_GB2312"/>
          <w:bCs/>
          <w:color w:val="auto"/>
          <w:szCs w:val="21"/>
          <w:highlight w:val="none"/>
        </w:rPr>
        <w:t>8.1评审依据：磋商小组将以磋商响应文件为评审依据，对供应商的报价、技术、商务等方面内容按百分制打分。（计分方法按四舍五入取至百分位）</w:t>
      </w:r>
    </w:p>
    <w:bookmarkEnd w:id="78"/>
    <w:p w14:paraId="1008702E">
      <w:pPr>
        <w:snapToGrid w:val="0"/>
        <w:spacing w:line="360" w:lineRule="auto"/>
        <w:ind w:firstLine="420" w:firstLineChars="200"/>
        <w:textAlignment w:val="baseline"/>
        <w:rPr>
          <w:rStyle w:val="87"/>
          <w:rFonts w:hint="eastAsia" w:ascii="方正仿宋_GB2312" w:hAnsi="方正仿宋_GB2312" w:eastAsia="方正仿宋_GB2312" w:cs="方正仿宋_GB2312"/>
          <w:bCs/>
          <w:color w:val="auto"/>
          <w:szCs w:val="21"/>
          <w:highlight w:val="none"/>
        </w:rPr>
      </w:pPr>
      <w:bookmarkStart w:id="79" w:name="_Toc80205935"/>
      <w:r>
        <w:rPr>
          <w:rFonts w:hint="eastAsia" w:ascii="方正仿宋_GB2312" w:hAnsi="方正仿宋_GB2312" w:eastAsia="方正仿宋_GB2312" w:cs="方正仿宋_GB2312"/>
          <w:bCs/>
          <w:color w:val="auto"/>
          <w:szCs w:val="21"/>
          <w:highlight w:val="none"/>
        </w:rPr>
        <w:t>总得分=</w:t>
      </w:r>
      <w:r>
        <w:rPr>
          <w:rFonts w:hint="eastAsia" w:ascii="方正仿宋_GB2312" w:hAnsi="方正仿宋_GB2312" w:eastAsia="方正仿宋_GB2312" w:cs="方正仿宋_GB2312"/>
          <w:bCs/>
          <w:color w:val="auto"/>
          <w:szCs w:val="21"/>
          <w:highlight w:val="none"/>
          <w:u w:val="single"/>
        </w:rPr>
        <w:t xml:space="preserve">   1+2+3   </w:t>
      </w:r>
    </w:p>
    <w:tbl>
      <w:tblPr>
        <w:tblStyle w:val="28"/>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487"/>
        <w:gridCol w:w="6174"/>
        <w:gridCol w:w="851"/>
      </w:tblGrid>
      <w:tr w14:paraId="09DC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693" w:type="dxa"/>
            <w:noWrap w:val="0"/>
            <w:vAlign w:val="center"/>
          </w:tcPr>
          <w:p w14:paraId="091CFBC2">
            <w:pPr>
              <w:spacing w:line="360" w:lineRule="auto"/>
              <w:jc w:val="center"/>
              <w:rPr>
                <w:rFonts w:hint="eastAsia" w:ascii="方正仿宋_GB2312" w:hAnsi="方正仿宋_GB2312" w:eastAsia="方正仿宋_GB2312" w:cs="方正仿宋_GB2312"/>
                <w:b/>
                <w:bCs/>
                <w:color w:val="auto"/>
                <w:kern w:val="0"/>
                <w:szCs w:val="21"/>
                <w:highlight w:val="none"/>
              </w:rPr>
            </w:pPr>
            <w:r>
              <w:rPr>
                <w:rFonts w:hint="eastAsia" w:ascii="方正仿宋_GB2312" w:hAnsi="方正仿宋_GB2312" w:eastAsia="方正仿宋_GB2312" w:cs="方正仿宋_GB2312"/>
                <w:bCs/>
                <w:color w:val="auto"/>
                <w:szCs w:val="21"/>
                <w:highlight w:val="none"/>
              </w:rPr>
              <w:t>序号</w:t>
            </w:r>
          </w:p>
        </w:tc>
        <w:tc>
          <w:tcPr>
            <w:tcW w:w="1487" w:type="dxa"/>
            <w:noWrap w:val="0"/>
            <w:vAlign w:val="center"/>
          </w:tcPr>
          <w:p w14:paraId="1FA33230">
            <w:pPr>
              <w:spacing w:line="360" w:lineRule="auto"/>
              <w:jc w:val="center"/>
              <w:rPr>
                <w:rFonts w:hint="eastAsia" w:ascii="方正仿宋_GB2312" w:hAnsi="方正仿宋_GB2312" w:eastAsia="方正仿宋_GB2312" w:cs="方正仿宋_GB2312"/>
                <w:b/>
                <w:bCs/>
                <w:color w:val="auto"/>
                <w:kern w:val="0"/>
                <w:szCs w:val="21"/>
                <w:highlight w:val="none"/>
              </w:rPr>
            </w:pPr>
            <w:r>
              <w:rPr>
                <w:rFonts w:hint="eastAsia" w:ascii="方正仿宋_GB2312" w:hAnsi="方正仿宋_GB2312" w:eastAsia="方正仿宋_GB2312" w:cs="方正仿宋_GB2312"/>
                <w:bCs/>
                <w:color w:val="auto"/>
                <w:szCs w:val="21"/>
                <w:highlight w:val="none"/>
              </w:rPr>
              <w:t>评分类型</w:t>
            </w:r>
          </w:p>
        </w:tc>
        <w:tc>
          <w:tcPr>
            <w:tcW w:w="6174" w:type="dxa"/>
            <w:noWrap w:val="0"/>
            <w:vAlign w:val="center"/>
          </w:tcPr>
          <w:p w14:paraId="3544A512">
            <w:pPr>
              <w:spacing w:line="360" w:lineRule="auto"/>
              <w:jc w:val="center"/>
              <w:rPr>
                <w:rFonts w:hint="eastAsia" w:ascii="方正仿宋_GB2312" w:hAnsi="方正仿宋_GB2312" w:eastAsia="方正仿宋_GB2312" w:cs="方正仿宋_GB2312"/>
                <w:b/>
                <w:bCs/>
                <w:color w:val="auto"/>
                <w:kern w:val="0"/>
                <w:szCs w:val="21"/>
                <w:highlight w:val="none"/>
              </w:rPr>
            </w:pPr>
            <w:r>
              <w:rPr>
                <w:rFonts w:hint="eastAsia" w:ascii="方正仿宋_GB2312" w:hAnsi="方正仿宋_GB2312" w:eastAsia="方正仿宋_GB2312" w:cs="方正仿宋_GB2312"/>
                <w:bCs/>
                <w:color w:val="auto"/>
                <w:highlight w:val="none"/>
              </w:rPr>
              <w:t>评审标准</w:t>
            </w:r>
          </w:p>
        </w:tc>
        <w:tc>
          <w:tcPr>
            <w:tcW w:w="851" w:type="dxa"/>
            <w:noWrap w:val="0"/>
            <w:vAlign w:val="center"/>
          </w:tcPr>
          <w:p w14:paraId="2C4C8809">
            <w:pPr>
              <w:spacing w:line="360" w:lineRule="auto"/>
              <w:jc w:val="center"/>
              <w:rPr>
                <w:rFonts w:hint="eastAsia" w:ascii="方正仿宋_GB2312" w:hAnsi="方正仿宋_GB2312" w:eastAsia="方正仿宋_GB2312" w:cs="方正仿宋_GB2312"/>
                <w:b/>
                <w:bCs/>
                <w:color w:val="auto"/>
                <w:kern w:val="0"/>
                <w:szCs w:val="21"/>
                <w:highlight w:val="none"/>
              </w:rPr>
            </w:pPr>
            <w:r>
              <w:rPr>
                <w:rFonts w:hint="eastAsia" w:ascii="方正仿宋_GB2312" w:hAnsi="方正仿宋_GB2312" w:eastAsia="方正仿宋_GB2312" w:cs="方正仿宋_GB2312"/>
                <w:bCs/>
                <w:color w:val="auto"/>
                <w:szCs w:val="21"/>
                <w:highlight w:val="none"/>
              </w:rPr>
              <w:t>分值</w:t>
            </w:r>
          </w:p>
        </w:tc>
      </w:tr>
      <w:tr w14:paraId="22B3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3" w:type="dxa"/>
            <w:noWrap w:val="0"/>
            <w:vAlign w:val="center"/>
          </w:tcPr>
          <w:p w14:paraId="7DCE69B7">
            <w:pPr>
              <w:spacing w:line="360" w:lineRule="auto"/>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bCs/>
                <w:color w:val="auto"/>
                <w:szCs w:val="21"/>
                <w:highlight w:val="none"/>
              </w:rPr>
              <w:t>1</w:t>
            </w:r>
          </w:p>
        </w:tc>
        <w:tc>
          <w:tcPr>
            <w:tcW w:w="1487" w:type="dxa"/>
            <w:noWrap w:val="0"/>
            <w:vAlign w:val="center"/>
          </w:tcPr>
          <w:p w14:paraId="764B44F8">
            <w:pPr>
              <w:spacing w:line="360" w:lineRule="auto"/>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bCs/>
                <w:color w:val="auto"/>
                <w:szCs w:val="21"/>
                <w:highlight w:val="none"/>
              </w:rPr>
              <w:t>报价</w:t>
            </w:r>
            <w:r>
              <w:rPr>
                <w:rFonts w:hint="eastAsia" w:ascii="方正仿宋_GB2312" w:hAnsi="方正仿宋_GB2312" w:eastAsia="方正仿宋_GB2312" w:cs="方正仿宋_GB2312"/>
                <w:bCs/>
                <w:color w:val="auto"/>
                <w:kern w:val="0"/>
                <w:szCs w:val="21"/>
                <w:highlight w:val="none"/>
              </w:rPr>
              <w:t>分</w:t>
            </w:r>
          </w:p>
        </w:tc>
        <w:tc>
          <w:tcPr>
            <w:tcW w:w="6174" w:type="dxa"/>
            <w:noWrap w:val="0"/>
            <w:vAlign w:val="top"/>
          </w:tcPr>
          <w:p w14:paraId="16120E01">
            <w:pPr>
              <w:spacing w:line="48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Cs/>
                <w:color w:val="auto"/>
                <w:szCs w:val="21"/>
                <w:highlight w:val="none"/>
              </w:rPr>
              <w:t>1.</w:t>
            </w:r>
            <w:r>
              <w:rPr>
                <w:rFonts w:hint="eastAsia" w:ascii="方正仿宋_GB2312" w:hAnsi="方正仿宋_GB2312" w:eastAsia="方正仿宋_GB2312" w:cs="方正仿宋_GB2312"/>
                <w:color w:val="auto"/>
                <w:szCs w:val="21"/>
                <w:highlight w:val="none"/>
              </w:rPr>
              <w:t>评审报价为供应商的最后报价进行政策性扣除后的价格，评审报价只是作为评审时使用。最终成交供应商的成交金额等于最后报价（如有修正，以确认修正后的最后报价为准）。</w:t>
            </w:r>
          </w:p>
          <w:p w14:paraId="65E8FB2E">
            <w:pPr>
              <w:pStyle w:val="17"/>
              <w:spacing w:line="480" w:lineRule="exact"/>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bCs/>
                <w:color w:val="auto"/>
                <w:kern w:val="2"/>
                <w:sz w:val="21"/>
                <w:highlight w:val="none"/>
              </w:rPr>
              <w:t>2.政府采购政策性扣除计算方法</w:t>
            </w:r>
          </w:p>
          <w:p w14:paraId="5EC8BA36">
            <w:pPr>
              <w:snapToGrid w:val="0"/>
              <w:spacing w:line="480" w:lineRule="exact"/>
              <w:ind w:firstLine="422" w:firstLineChars="200"/>
              <w:jc w:val="left"/>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按照《政府采购促进中小企业发展管理办法》（财库[2020]46号）及《广西壮族自治区财政厅关于进一步发挥政府采购政策功能促进企业发展的通知》（桂财采〔2022〕30号），本项目专门面向</w:t>
            </w:r>
            <w:r>
              <w:rPr>
                <w:rFonts w:hint="eastAsia" w:ascii="方正仿宋_GB2312" w:hAnsi="方正仿宋_GB2312" w:eastAsia="方正仿宋_GB2312" w:cs="方正仿宋_GB2312"/>
                <w:b/>
                <w:bCs/>
                <w:color w:val="auto"/>
                <w:szCs w:val="21"/>
                <w:highlight w:val="none"/>
                <w:lang w:eastAsia="zh-CN"/>
              </w:rPr>
              <w:t>小微</w:t>
            </w:r>
            <w:r>
              <w:rPr>
                <w:rFonts w:hint="eastAsia" w:ascii="方正仿宋_GB2312" w:hAnsi="方正仿宋_GB2312" w:eastAsia="方正仿宋_GB2312" w:cs="方正仿宋_GB2312"/>
                <w:b/>
                <w:bCs/>
                <w:color w:val="auto"/>
                <w:szCs w:val="21"/>
                <w:highlight w:val="none"/>
              </w:rPr>
              <w:t>企业采购，不再执行价格评审优惠的扶持政策；监狱企业或残疾人福利性单位视同小型、微型企业。</w:t>
            </w:r>
          </w:p>
          <w:p w14:paraId="558FD5D1">
            <w:pPr>
              <w:snapToGrid w:val="0"/>
              <w:spacing w:line="480" w:lineRule="exact"/>
              <w:ind w:firstLine="420" w:firstLineChars="200"/>
              <w:jc w:val="left"/>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color w:val="auto"/>
                <w:szCs w:val="21"/>
                <w:highlight w:val="none"/>
              </w:rPr>
              <w:t>评审报价＝最后报价</w:t>
            </w:r>
          </w:p>
          <w:p w14:paraId="5F165BBA">
            <w:pPr>
              <w:pStyle w:val="17"/>
              <w:spacing w:line="480" w:lineRule="exact"/>
              <w:ind w:firstLine="420" w:firstLineChars="200"/>
              <w:rPr>
                <w:rFonts w:hint="eastAsia" w:ascii="方正仿宋_GB2312" w:hAnsi="方正仿宋_GB2312" w:eastAsia="方正仿宋_GB2312" w:cs="方正仿宋_GB2312"/>
                <w:bCs/>
                <w:color w:val="auto"/>
                <w:kern w:val="2"/>
                <w:sz w:val="21"/>
                <w:highlight w:val="none"/>
              </w:rPr>
            </w:pPr>
            <w:r>
              <w:rPr>
                <w:rFonts w:hint="eastAsia" w:ascii="方正仿宋_GB2312" w:hAnsi="方正仿宋_GB2312" w:eastAsia="方正仿宋_GB2312" w:cs="方正仿宋_GB2312"/>
                <w:bCs/>
                <w:color w:val="auto"/>
                <w:kern w:val="2"/>
                <w:sz w:val="21"/>
                <w:highlight w:val="none"/>
              </w:rPr>
              <w:t>3.以进入比较与评价环节的最低的评审报价为基准价，基准价得分为</w:t>
            </w:r>
            <w:r>
              <w:rPr>
                <w:rFonts w:hint="eastAsia" w:ascii="方正仿宋_GB2312" w:hAnsi="方正仿宋_GB2312" w:eastAsia="方正仿宋_GB2312" w:cs="方正仿宋_GB2312"/>
                <w:bCs/>
                <w:color w:val="auto"/>
                <w:kern w:val="2"/>
                <w:sz w:val="21"/>
                <w:highlight w:val="none"/>
                <w:u w:val="single"/>
              </w:rPr>
              <w:t>10分</w:t>
            </w:r>
            <w:r>
              <w:rPr>
                <w:rFonts w:hint="eastAsia" w:ascii="方正仿宋_GB2312" w:hAnsi="方正仿宋_GB2312" w:eastAsia="方正仿宋_GB2312" w:cs="方正仿宋_GB2312"/>
                <w:bCs/>
                <w:color w:val="auto"/>
                <w:kern w:val="2"/>
                <w:sz w:val="21"/>
                <w:highlight w:val="none"/>
              </w:rPr>
              <w:t>。</w:t>
            </w:r>
          </w:p>
          <w:p w14:paraId="40BB5C43">
            <w:pPr>
              <w:pStyle w:val="17"/>
              <w:spacing w:line="480" w:lineRule="exact"/>
              <w:ind w:firstLine="420" w:firstLineChars="200"/>
              <w:rPr>
                <w:rFonts w:hint="eastAsia" w:ascii="方正仿宋_GB2312" w:hAnsi="方正仿宋_GB2312" w:eastAsia="方正仿宋_GB2312" w:cs="方正仿宋_GB2312"/>
                <w:bCs/>
                <w:color w:val="auto"/>
                <w:kern w:val="2"/>
                <w:sz w:val="21"/>
                <w:highlight w:val="none"/>
              </w:rPr>
            </w:pPr>
            <w:r>
              <w:rPr>
                <w:rFonts w:hint="eastAsia" w:ascii="方正仿宋_GB2312" w:hAnsi="方正仿宋_GB2312" w:eastAsia="方正仿宋_GB2312" w:cs="方正仿宋_GB2312"/>
                <w:bCs/>
                <w:color w:val="auto"/>
                <w:kern w:val="2"/>
                <w:sz w:val="21"/>
                <w:highlight w:val="none"/>
              </w:rPr>
              <w:t>4.价格分计算公式：</w:t>
            </w:r>
          </w:p>
          <w:p w14:paraId="209CE95B">
            <w:pPr>
              <w:spacing w:line="400" w:lineRule="exact"/>
              <w:ind w:firstLine="420" w:firstLineChars="200"/>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报价得分=（基准价/评审报价）×</w:t>
            </w:r>
            <w:r>
              <w:rPr>
                <w:rFonts w:hint="eastAsia" w:ascii="方正仿宋_GB2312" w:hAnsi="方正仿宋_GB2312" w:eastAsia="方正仿宋_GB2312" w:cs="方正仿宋_GB2312"/>
                <w:bCs/>
                <w:color w:val="auto"/>
                <w:szCs w:val="21"/>
                <w:highlight w:val="none"/>
                <w:u w:val="single"/>
              </w:rPr>
              <w:t>10分</w:t>
            </w:r>
          </w:p>
        </w:tc>
        <w:tc>
          <w:tcPr>
            <w:tcW w:w="851" w:type="dxa"/>
            <w:noWrap w:val="0"/>
            <w:vAlign w:val="center"/>
          </w:tcPr>
          <w:p w14:paraId="180B99AA">
            <w:pPr>
              <w:spacing w:line="360" w:lineRule="auto"/>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xml:space="preserve"> 10分</w:t>
            </w:r>
          </w:p>
        </w:tc>
      </w:tr>
      <w:tr w14:paraId="3E48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626B2E26">
            <w:pPr>
              <w:spacing w:line="360" w:lineRule="auto"/>
              <w:jc w:val="center"/>
              <w:rPr>
                <w:rFonts w:hint="eastAsia" w:ascii="方正仿宋_GB2312" w:hAnsi="方正仿宋_GB2312" w:eastAsia="方正仿宋_GB2312" w:cs="方正仿宋_GB2312"/>
                <w:b/>
                <w:color w:val="auto"/>
                <w:kern w:val="0"/>
                <w:szCs w:val="21"/>
                <w:highlight w:val="none"/>
              </w:rPr>
            </w:pPr>
            <w:r>
              <w:rPr>
                <w:rFonts w:hint="eastAsia" w:ascii="方正仿宋_GB2312" w:hAnsi="方正仿宋_GB2312" w:eastAsia="方正仿宋_GB2312" w:cs="方正仿宋_GB2312"/>
                <w:bCs/>
                <w:color w:val="auto"/>
                <w:szCs w:val="21"/>
                <w:highlight w:val="none"/>
              </w:rPr>
              <w:t>2</w:t>
            </w:r>
          </w:p>
        </w:tc>
        <w:tc>
          <w:tcPr>
            <w:tcW w:w="1487" w:type="dxa"/>
            <w:noWrap w:val="0"/>
            <w:vAlign w:val="center"/>
          </w:tcPr>
          <w:p w14:paraId="29E6C17F">
            <w:pPr>
              <w:widowControl/>
              <w:spacing w:line="360" w:lineRule="auto"/>
              <w:jc w:val="center"/>
              <w:rPr>
                <w:rFonts w:hint="eastAsia" w:ascii="方正仿宋_GB2312" w:hAnsi="方正仿宋_GB2312" w:eastAsia="方正仿宋_GB2312" w:cs="方正仿宋_GB2312"/>
                <w:b/>
                <w:color w:val="auto"/>
                <w:kern w:val="0"/>
                <w:szCs w:val="21"/>
                <w:highlight w:val="none"/>
              </w:rPr>
            </w:pPr>
            <w:r>
              <w:rPr>
                <w:rFonts w:hint="eastAsia" w:ascii="方正仿宋_GB2312" w:hAnsi="方正仿宋_GB2312" w:eastAsia="方正仿宋_GB2312" w:cs="方正仿宋_GB2312"/>
                <w:bCs/>
                <w:color w:val="auto"/>
                <w:kern w:val="0"/>
                <w:szCs w:val="21"/>
                <w:highlight w:val="none"/>
              </w:rPr>
              <w:t>技术分</w:t>
            </w:r>
          </w:p>
        </w:tc>
        <w:tc>
          <w:tcPr>
            <w:tcW w:w="6174" w:type="dxa"/>
            <w:noWrap w:val="0"/>
            <w:vAlign w:val="center"/>
          </w:tcPr>
          <w:p w14:paraId="32577C7D">
            <w:pPr>
              <w:spacing w:line="360"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Cs/>
                <w:color w:val="auto"/>
                <w:highlight w:val="none"/>
              </w:rPr>
              <w:t>评审标准</w:t>
            </w:r>
          </w:p>
        </w:tc>
        <w:tc>
          <w:tcPr>
            <w:tcW w:w="851" w:type="dxa"/>
            <w:noWrap w:val="0"/>
            <w:vAlign w:val="center"/>
          </w:tcPr>
          <w:p w14:paraId="5DBB1240">
            <w:pPr>
              <w:spacing w:line="360" w:lineRule="auto"/>
              <w:jc w:val="center"/>
              <w:rPr>
                <w:rFonts w:hint="eastAsia" w:ascii="方正仿宋_GB2312" w:hAnsi="方正仿宋_GB2312" w:eastAsia="方正仿宋_GB2312" w:cs="方正仿宋_GB2312"/>
                <w:b/>
                <w:color w:val="auto"/>
                <w:kern w:val="0"/>
                <w:szCs w:val="21"/>
                <w:highlight w:val="none"/>
              </w:rPr>
            </w:pPr>
            <w:r>
              <w:rPr>
                <w:rFonts w:hint="eastAsia" w:ascii="方正仿宋_GB2312" w:hAnsi="方正仿宋_GB2312" w:eastAsia="方正仿宋_GB2312" w:cs="方正仿宋_GB2312"/>
                <w:color w:val="auto"/>
                <w:kern w:val="0"/>
                <w:szCs w:val="21"/>
                <w:highlight w:val="none"/>
              </w:rPr>
              <w:t>80分</w:t>
            </w:r>
          </w:p>
        </w:tc>
      </w:tr>
      <w:tr w14:paraId="577B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93" w:type="dxa"/>
            <w:noWrap w:val="0"/>
            <w:vAlign w:val="center"/>
          </w:tcPr>
          <w:p w14:paraId="795E145B">
            <w:pPr>
              <w:spacing w:line="360" w:lineRule="auto"/>
              <w:jc w:val="center"/>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szCs w:val="21"/>
                <w:highlight w:val="none"/>
              </w:rPr>
              <w:t>2.1</w:t>
            </w:r>
          </w:p>
        </w:tc>
        <w:tc>
          <w:tcPr>
            <w:tcW w:w="1487" w:type="dxa"/>
            <w:noWrap w:val="0"/>
            <w:vAlign w:val="center"/>
          </w:tcPr>
          <w:p w14:paraId="4BE7019C">
            <w:pPr>
              <w:spacing w:line="400" w:lineRule="exact"/>
              <w:jc w:val="center"/>
              <w:rPr>
                <w:rFonts w:hint="eastAsia" w:ascii="方正仿宋_GB2312" w:hAnsi="方正仿宋_GB2312" w:eastAsia="方正仿宋_GB2312" w:cs="方正仿宋_GB2312"/>
                <w:bCs/>
                <w:color w:val="auto"/>
                <w:kern w:val="0"/>
                <w:szCs w:val="21"/>
                <w:highlight w:val="none"/>
                <w:lang w:eastAsia="zh-CN"/>
              </w:rPr>
            </w:pPr>
            <w:r>
              <w:rPr>
                <w:rFonts w:hint="eastAsia" w:ascii="方正仿宋_GB2312" w:hAnsi="方正仿宋_GB2312" w:eastAsia="方正仿宋_GB2312" w:cs="方正仿宋_GB2312"/>
                <w:color w:val="auto"/>
                <w:szCs w:val="21"/>
                <w:highlight w:val="none"/>
              </w:rPr>
              <w:t>主要施工方法</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满分8分</w:t>
            </w:r>
            <w:r>
              <w:rPr>
                <w:rFonts w:hint="eastAsia" w:ascii="方正仿宋_GB2312" w:hAnsi="方正仿宋_GB2312" w:eastAsia="方正仿宋_GB2312" w:cs="方正仿宋_GB2312"/>
                <w:color w:val="auto"/>
                <w:szCs w:val="21"/>
                <w:highlight w:val="none"/>
                <w:lang w:eastAsia="zh-CN"/>
              </w:rPr>
              <w:t>）</w:t>
            </w:r>
          </w:p>
        </w:tc>
        <w:tc>
          <w:tcPr>
            <w:tcW w:w="6174" w:type="dxa"/>
            <w:noWrap w:val="0"/>
            <w:vAlign w:val="center"/>
          </w:tcPr>
          <w:p w14:paraId="602BA143">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四档（8 分）各主要分部施工方法符合项目实际，有详尽的施工技术方案，工艺先进、方法科学合理、可行，能指导具体施工并确保安全。</w:t>
            </w:r>
          </w:p>
          <w:p w14:paraId="5E5E71A9">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三档（6 分）各主要分部施工方法符合项目实际，有详尽的施工技术方案，工艺一般、方法可行，能指导具体施工并确保安全。</w:t>
            </w:r>
          </w:p>
          <w:p w14:paraId="5794670E">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二档（4 分）各主要分部施工方法符合项目实际，有施工技术方案，工艺一般、方法可行，能指导施工并确保安全。</w:t>
            </w:r>
          </w:p>
          <w:p w14:paraId="38B78E3D">
            <w:pPr>
              <w:spacing w:line="400" w:lineRule="exact"/>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color w:val="auto"/>
                <w:szCs w:val="21"/>
                <w:highlight w:val="none"/>
              </w:rPr>
              <w:t>一档（2 分）各主要分部施工方法不符合项目实际，有施工技术方案，工艺一般，不能指导具体施工并确保安全。</w:t>
            </w:r>
          </w:p>
        </w:tc>
        <w:tc>
          <w:tcPr>
            <w:tcW w:w="851" w:type="dxa"/>
            <w:noWrap w:val="0"/>
            <w:vAlign w:val="center"/>
          </w:tcPr>
          <w:p w14:paraId="015F784F">
            <w:pPr>
              <w:spacing w:line="400" w:lineRule="exact"/>
              <w:jc w:val="center"/>
              <w:rPr>
                <w:rFonts w:hint="eastAsia" w:ascii="方正仿宋_GB2312" w:hAnsi="方正仿宋_GB2312" w:eastAsia="方正仿宋_GB2312" w:cs="方正仿宋_GB2312"/>
                <w:b/>
                <w:color w:val="auto"/>
                <w:kern w:val="0"/>
                <w:szCs w:val="21"/>
                <w:highlight w:val="none"/>
              </w:rPr>
            </w:pPr>
            <w:r>
              <w:rPr>
                <w:rFonts w:hint="eastAsia" w:ascii="方正仿宋_GB2312" w:hAnsi="方正仿宋_GB2312" w:eastAsia="方正仿宋_GB2312" w:cs="方正仿宋_GB2312"/>
                <w:color w:val="auto"/>
                <w:szCs w:val="21"/>
                <w:highlight w:val="none"/>
              </w:rPr>
              <w:t>8</w:t>
            </w:r>
            <w:r>
              <w:rPr>
                <w:rFonts w:hint="eastAsia" w:ascii="方正仿宋_GB2312" w:hAnsi="方正仿宋_GB2312" w:eastAsia="方正仿宋_GB2312" w:cs="方正仿宋_GB2312"/>
                <w:color w:val="auto"/>
                <w:kern w:val="0"/>
                <w:szCs w:val="21"/>
                <w:highlight w:val="none"/>
              </w:rPr>
              <w:t>分</w:t>
            </w:r>
          </w:p>
        </w:tc>
      </w:tr>
      <w:tr w14:paraId="3104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69C68137">
            <w:pPr>
              <w:spacing w:line="360" w:lineRule="auto"/>
              <w:jc w:val="center"/>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szCs w:val="21"/>
                <w:highlight w:val="none"/>
              </w:rPr>
              <w:t>2.2</w:t>
            </w:r>
          </w:p>
        </w:tc>
        <w:tc>
          <w:tcPr>
            <w:tcW w:w="1487" w:type="dxa"/>
            <w:noWrap w:val="0"/>
            <w:vAlign w:val="center"/>
          </w:tcPr>
          <w:p w14:paraId="1A7A41B9">
            <w:pPr>
              <w:spacing w:line="400" w:lineRule="exact"/>
              <w:jc w:val="center"/>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color w:val="auto"/>
                <w:szCs w:val="21"/>
                <w:highlight w:val="none"/>
              </w:rPr>
              <w:t>拟投入的主要物资计划</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满分8分</w:t>
            </w:r>
            <w:r>
              <w:rPr>
                <w:rFonts w:hint="eastAsia" w:ascii="方正仿宋_GB2312" w:hAnsi="方正仿宋_GB2312" w:eastAsia="方正仿宋_GB2312" w:cs="方正仿宋_GB2312"/>
                <w:color w:val="auto"/>
                <w:szCs w:val="21"/>
                <w:highlight w:val="none"/>
                <w:lang w:eastAsia="zh-CN"/>
              </w:rPr>
              <w:t>）</w:t>
            </w:r>
          </w:p>
        </w:tc>
        <w:tc>
          <w:tcPr>
            <w:tcW w:w="6174" w:type="dxa"/>
            <w:noWrap w:val="0"/>
            <w:vAlign w:val="center"/>
          </w:tcPr>
          <w:p w14:paraId="27FB2B97">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四档（8 分）投入的施工材料有详细的组织计划且计划周密，数量、选型配置、进场时间安排合理，满足施工需要。</w:t>
            </w:r>
          </w:p>
          <w:p w14:paraId="59AA4E78">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三档（6 分）投入的施工材料有详细的组织计划但计划一般，数量、选型配置、进场时间安排合理，满足施工需要。</w:t>
            </w:r>
          </w:p>
          <w:p w14:paraId="2A0C4DD6">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二档（4 分）投入的施工材料有组织计划但计划一般，数量、选型配置、进场时间安排合理，基本满足施工需要。</w:t>
            </w:r>
          </w:p>
          <w:p w14:paraId="74B0DB20">
            <w:pPr>
              <w:spacing w:line="400" w:lineRule="exact"/>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color w:val="auto"/>
                <w:szCs w:val="21"/>
                <w:highlight w:val="none"/>
              </w:rPr>
              <w:t>一档（2 分）投入的施工材料无组织计划，数量、选型配置、进场时间安排不合理，不满足施工需要。</w:t>
            </w:r>
          </w:p>
        </w:tc>
        <w:tc>
          <w:tcPr>
            <w:tcW w:w="851" w:type="dxa"/>
            <w:noWrap w:val="0"/>
            <w:vAlign w:val="center"/>
          </w:tcPr>
          <w:p w14:paraId="4C3F4E49">
            <w:pPr>
              <w:spacing w:line="400" w:lineRule="exact"/>
              <w:jc w:val="center"/>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color w:val="auto"/>
                <w:szCs w:val="21"/>
                <w:highlight w:val="none"/>
              </w:rPr>
              <w:t>8</w:t>
            </w:r>
            <w:r>
              <w:rPr>
                <w:rFonts w:hint="eastAsia" w:ascii="方正仿宋_GB2312" w:hAnsi="方正仿宋_GB2312" w:eastAsia="方正仿宋_GB2312" w:cs="方正仿宋_GB2312"/>
                <w:color w:val="auto"/>
                <w:kern w:val="0"/>
                <w:szCs w:val="21"/>
                <w:highlight w:val="none"/>
              </w:rPr>
              <w:t>分</w:t>
            </w:r>
          </w:p>
        </w:tc>
      </w:tr>
      <w:tr w14:paraId="7A48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39EB0380">
            <w:pPr>
              <w:spacing w:line="360" w:lineRule="auto"/>
              <w:jc w:val="center"/>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szCs w:val="21"/>
                <w:highlight w:val="none"/>
              </w:rPr>
              <w:t>2.3</w:t>
            </w:r>
          </w:p>
        </w:tc>
        <w:tc>
          <w:tcPr>
            <w:tcW w:w="1487" w:type="dxa"/>
            <w:noWrap w:val="0"/>
            <w:vAlign w:val="center"/>
          </w:tcPr>
          <w:p w14:paraId="7D5EB45C">
            <w:pPr>
              <w:spacing w:line="400" w:lineRule="exact"/>
              <w:jc w:val="center"/>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color w:val="auto"/>
                <w:szCs w:val="21"/>
                <w:highlight w:val="none"/>
              </w:rPr>
              <w:t>拟投入的主要施工机械、设备计划</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满分8分</w:t>
            </w:r>
            <w:r>
              <w:rPr>
                <w:rFonts w:hint="eastAsia" w:ascii="方正仿宋_GB2312" w:hAnsi="方正仿宋_GB2312" w:eastAsia="方正仿宋_GB2312" w:cs="方正仿宋_GB2312"/>
                <w:color w:val="auto"/>
                <w:szCs w:val="21"/>
                <w:highlight w:val="none"/>
                <w:lang w:eastAsia="zh-CN"/>
              </w:rPr>
              <w:t>）</w:t>
            </w:r>
          </w:p>
        </w:tc>
        <w:tc>
          <w:tcPr>
            <w:tcW w:w="6174" w:type="dxa"/>
            <w:noWrap w:val="0"/>
            <w:vAlign w:val="center"/>
          </w:tcPr>
          <w:p w14:paraId="31CD35E4">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四档（8分）投入的施工机械、设备、机具有详细的组织计划且计划周密，设备数量、选型配置、进场时间安排合理，满足施工需要。</w:t>
            </w:r>
          </w:p>
          <w:p w14:paraId="23A74E7A">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三档（6 分）投入的施工机械、设备、机具有详细的组织计划但计划一般，设备数量、选型配置、进场时间安排合理，满足施工需要。</w:t>
            </w:r>
          </w:p>
          <w:p w14:paraId="26534C24">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二档（4 分）投入的施工机械、设备、机具有组织计划但计划一般，设备数量、选型配置、进场时间安排合理，基本满足施工需要。</w:t>
            </w:r>
          </w:p>
          <w:p w14:paraId="746719CD">
            <w:pPr>
              <w:spacing w:line="400" w:lineRule="exact"/>
              <w:jc w:val="left"/>
              <w:rPr>
                <w:rFonts w:hint="eastAsia" w:ascii="方正仿宋_GB2312" w:hAnsi="方正仿宋_GB2312" w:eastAsia="方正仿宋_GB2312" w:cs="方正仿宋_GB2312"/>
                <w:bCs/>
                <w:color w:val="auto"/>
                <w:highlight w:val="none"/>
              </w:rPr>
            </w:pPr>
            <w:r>
              <w:rPr>
                <w:rFonts w:hint="eastAsia" w:ascii="方正仿宋_GB2312" w:hAnsi="方正仿宋_GB2312" w:eastAsia="方正仿宋_GB2312" w:cs="方正仿宋_GB2312"/>
                <w:color w:val="auto"/>
                <w:szCs w:val="21"/>
                <w:highlight w:val="none"/>
              </w:rPr>
              <w:t>一档（2 分）投入的施工机械、设备、机具无组织计划，设备数量、选型配置、进场时间安排不合理，不满足施工需要。</w:t>
            </w:r>
          </w:p>
        </w:tc>
        <w:tc>
          <w:tcPr>
            <w:tcW w:w="851" w:type="dxa"/>
            <w:noWrap w:val="0"/>
            <w:vAlign w:val="center"/>
          </w:tcPr>
          <w:p w14:paraId="7F39FA15">
            <w:pPr>
              <w:spacing w:line="400" w:lineRule="exact"/>
              <w:jc w:val="center"/>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color w:val="auto"/>
                <w:szCs w:val="21"/>
                <w:highlight w:val="none"/>
              </w:rPr>
              <w:t>8</w:t>
            </w:r>
            <w:r>
              <w:rPr>
                <w:rFonts w:hint="eastAsia" w:ascii="方正仿宋_GB2312" w:hAnsi="方正仿宋_GB2312" w:eastAsia="方正仿宋_GB2312" w:cs="方正仿宋_GB2312"/>
                <w:color w:val="auto"/>
                <w:kern w:val="0"/>
                <w:szCs w:val="21"/>
                <w:highlight w:val="none"/>
              </w:rPr>
              <w:t>分</w:t>
            </w:r>
          </w:p>
        </w:tc>
      </w:tr>
      <w:tr w14:paraId="0CE1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4DD2B683">
            <w:pPr>
              <w:spacing w:line="360" w:lineRule="auto"/>
              <w:jc w:val="center"/>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szCs w:val="21"/>
                <w:highlight w:val="none"/>
              </w:rPr>
              <w:t>2.4</w:t>
            </w:r>
          </w:p>
        </w:tc>
        <w:tc>
          <w:tcPr>
            <w:tcW w:w="1487" w:type="dxa"/>
            <w:noWrap w:val="0"/>
            <w:vAlign w:val="center"/>
          </w:tcPr>
          <w:p w14:paraId="685BF8DE">
            <w:pPr>
              <w:spacing w:line="400" w:lineRule="exact"/>
              <w:jc w:val="center"/>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color w:val="auto"/>
                <w:szCs w:val="21"/>
                <w:highlight w:val="none"/>
              </w:rPr>
              <w:t>劳动力安排计划</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满分8分</w:t>
            </w:r>
            <w:r>
              <w:rPr>
                <w:rFonts w:hint="eastAsia" w:ascii="方正仿宋_GB2312" w:hAnsi="方正仿宋_GB2312" w:eastAsia="方正仿宋_GB2312" w:cs="方正仿宋_GB2312"/>
                <w:color w:val="auto"/>
                <w:szCs w:val="21"/>
                <w:highlight w:val="none"/>
                <w:lang w:eastAsia="zh-CN"/>
              </w:rPr>
              <w:t>）</w:t>
            </w:r>
          </w:p>
        </w:tc>
        <w:tc>
          <w:tcPr>
            <w:tcW w:w="6174" w:type="dxa"/>
            <w:noWrap w:val="0"/>
            <w:vAlign w:val="center"/>
          </w:tcPr>
          <w:p w14:paraId="386C42ED">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四档（8 分）各主要施工工序有详细周密的劳动力安排计划，有各工种劳动力安排计划，劳动力投入合理，满足施工需要。</w:t>
            </w:r>
          </w:p>
          <w:p w14:paraId="18A13ECA">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三档（6 分）各主要施工工序有劳动力安排计划，有各工种劳动力安排计划，劳动力投入合理，满足施工需要。</w:t>
            </w:r>
          </w:p>
          <w:p w14:paraId="34CC28DC">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二档（4 分）各主要施工工序只有劳动力安排计划，无各工种劳动力安排计划，劳动力投入合理，满足施工需要。</w:t>
            </w:r>
          </w:p>
          <w:p w14:paraId="09779183">
            <w:pPr>
              <w:spacing w:line="400" w:lineRule="exact"/>
              <w:jc w:val="left"/>
              <w:rPr>
                <w:rFonts w:hint="eastAsia" w:ascii="方正仿宋_GB2312" w:hAnsi="方正仿宋_GB2312" w:eastAsia="方正仿宋_GB2312" w:cs="方正仿宋_GB2312"/>
                <w:bCs/>
                <w:color w:val="auto"/>
                <w:highlight w:val="none"/>
              </w:rPr>
            </w:pPr>
            <w:r>
              <w:rPr>
                <w:rFonts w:hint="eastAsia" w:ascii="方正仿宋_GB2312" w:hAnsi="方正仿宋_GB2312" w:eastAsia="方正仿宋_GB2312" w:cs="方正仿宋_GB2312"/>
                <w:color w:val="auto"/>
                <w:szCs w:val="21"/>
                <w:highlight w:val="none"/>
              </w:rPr>
              <w:t>一档（2分）各主要施工工序无劳动力安排计划，劳动力投入不合理，不满足施工需要。</w:t>
            </w:r>
          </w:p>
        </w:tc>
        <w:tc>
          <w:tcPr>
            <w:tcW w:w="851" w:type="dxa"/>
            <w:noWrap w:val="0"/>
            <w:vAlign w:val="center"/>
          </w:tcPr>
          <w:p w14:paraId="033D617B">
            <w:pPr>
              <w:spacing w:line="400" w:lineRule="exact"/>
              <w:jc w:val="center"/>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color w:val="auto"/>
                <w:szCs w:val="21"/>
                <w:highlight w:val="none"/>
              </w:rPr>
              <w:t>8</w:t>
            </w:r>
            <w:r>
              <w:rPr>
                <w:rFonts w:hint="eastAsia" w:ascii="方正仿宋_GB2312" w:hAnsi="方正仿宋_GB2312" w:eastAsia="方正仿宋_GB2312" w:cs="方正仿宋_GB2312"/>
                <w:color w:val="auto"/>
                <w:kern w:val="0"/>
                <w:szCs w:val="21"/>
                <w:highlight w:val="none"/>
              </w:rPr>
              <w:t>分</w:t>
            </w:r>
          </w:p>
        </w:tc>
      </w:tr>
      <w:tr w14:paraId="2482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4600B1DA">
            <w:pPr>
              <w:spacing w:line="360" w:lineRule="auto"/>
              <w:jc w:val="center"/>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szCs w:val="21"/>
                <w:highlight w:val="none"/>
              </w:rPr>
              <w:t>2.5</w:t>
            </w:r>
          </w:p>
        </w:tc>
        <w:tc>
          <w:tcPr>
            <w:tcW w:w="1487" w:type="dxa"/>
            <w:noWrap w:val="0"/>
            <w:vAlign w:val="center"/>
          </w:tcPr>
          <w:p w14:paraId="32DE191A">
            <w:pPr>
              <w:spacing w:line="400" w:lineRule="exact"/>
              <w:jc w:val="center"/>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color w:val="auto"/>
                <w:szCs w:val="21"/>
                <w:highlight w:val="none"/>
              </w:rPr>
              <w:t>确保工程质量的技术组织措施</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满分8分</w:t>
            </w:r>
            <w:r>
              <w:rPr>
                <w:rFonts w:hint="eastAsia" w:ascii="方正仿宋_GB2312" w:hAnsi="方正仿宋_GB2312" w:eastAsia="方正仿宋_GB2312" w:cs="方正仿宋_GB2312"/>
                <w:color w:val="auto"/>
                <w:szCs w:val="21"/>
                <w:highlight w:val="none"/>
                <w:lang w:eastAsia="zh-CN"/>
              </w:rPr>
              <w:t>）</w:t>
            </w:r>
          </w:p>
        </w:tc>
        <w:tc>
          <w:tcPr>
            <w:tcW w:w="6174" w:type="dxa"/>
            <w:noWrap w:val="0"/>
            <w:vAlign w:val="center"/>
          </w:tcPr>
          <w:p w14:paraId="40FE21F6">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四档（8分）有专门的质量技术管理班子和制度，且人员配备合理，制度健全。主要工序有质量技术保证措施和手段，自控体系完整，能有效保证技术质量，达到承诺的质量标准。</w:t>
            </w:r>
          </w:p>
          <w:p w14:paraId="342845D0">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三档（6 分）有质量技术管理班子和制度，且人员配备合理，制度健全。主要工序有质量技术保证措施和手段，自控体系完整，能有效保证技术质量，达到承诺的质量标准。</w:t>
            </w:r>
          </w:p>
          <w:p w14:paraId="3C88957D">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二档（4 分）有质量技术管理班子和制度。主要工序有质量技术保证措施和手段，自控体系一般，基本能保证技术质量，达到承诺的质量标准。</w:t>
            </w:r>
          </w:p>
          <w:p w14:paraId="27ACB854">
            <w:pPr>
              <w:spacing w:line="400" w:lineRule="exact"/>
              <w:jc w:val="left"/>
              <w:rPr>
                <w:rFonts w:hint="eastAsia" w:ascii="方正仿宋_GB2312" w:hAnsi="方正仿宋_GB2312" w:eastAsia="方正仿宋_GB2312" w:cs="方正仿宋_GB2312"/>
                <w:bCs/>
                <w:color w:val="auto"/>
                <w:highlight w:val="none"/>
              </w:rPr>
            </w:pPr>
            <w:r>
              <w:rPr>
                <w:rFonts w:hint="eastAsia" w:ascii="方正仿宋_GB2312" w:hAnsi="方正仿宋_GB2312" w:eastAsia="方正仿宋_GB2312" w:cs="方正仿宋_GB2312"/>
                <w:color w:val="auto"/>
                <w:szCs w:val="21"/>
                <w:highlight w:val="none"/>
              </w:rPr>
              <w:t>一档（2 分）有质量技术管理班子和制度。主要工序无质量技术保证措施和手段，自控体系一般，不能有效保证技术质量。</w:t>
            </w:r>
          </w:p>
        </w:tc>
        <w:tc>
          <w:tcPr>
            <w:tcW w:w="851" w:type="dxa"/>
            <w:noWrap w:val="0"/>
            <w:vAlign w:val="center"/>
          </w:tcPr>
          <w:p w14:paraId="5B886D9F">
            <w:pPr>
              <w:spacing w:line="400" w:lineRule="exact"/>
              <w:jc w:val="center"/>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color w:val="auto"/>
                <w:szCs w:val="21"/>
                <w:highlight w:val="none"/>
              </w:rPr>
              <w:t>8</w:t>
            </w:r>
            <w:r>
              <w:rPr>
                <w:rFonts w:hint="eastAsia" w:ascii="方正仿宋_GB2312" w:hAnsi="方正仿宋_GB2312" w:eastAsia="方正仿宋_GB2312" w:cs="方正仿宋_GB2312"/>
                <w:color w:val="auto"/>
                <w:kern w:val="0"/>
                <w:szCs w:val="21"/>
                <w:highlight w:val="none"/>
              </w:rPr>
              <w:t>分</w:t>
            </w:r>
          </w:p>
        </w:tc>
      </w:tr>
      <w:tr w14:paraId="7594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02328715">
            <w:pPr>
              <w:spacing w:line="360" w:lineRule="auto"/>
              <w:jc w:val="center"/>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szCs w:val="21"/>
                <w:highlight w:val="none"/>
              </w:rPr>
              <w:t>2.6</w:t>
            </w:r>
          </w:p>
        </w:tc>
        <w:tc>
          <w:tcPr>
            <w:tcW w:w="1487" w:type="dxa"/>
            <w:noWrap w:val="0"/>
            <w:vAlign w:val="center"/>
          </w:tcPr>
          <w:p w14:paraId="6A6A2862">
            <w:pPr>
              <w:spacing w:line="400" w:lineRule="exact"/>
              <w:jc w:val="center"/>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color w:val="auto"/>
                <w:szCs w:val="21"/>
                <w:highlight w:val="none"/>
              </w:rPr>
              <w:t>确保安全生产的技术组织措施</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满分8分</w:t>
            </w:r>
            <w:r>
              <w:rPr>
                <w:rFonts w:hint="eastAsia" w:ascii="方正仿宋_GB2312" w:hAnsi="方正仿宋_GB2312" w:eastAsia="方正仿宋_GB2312" w:cs="方正仿宋_GB2312"/>
                <w:color w:val="auto"/>
                <w:szCs w:val="21"/>
                <w:highlight w:val="none"/>
                <w:lang w:eastAsia="zh-CN"/>
              </w:rPr>
              <w:t>）</w:t>
            </w:r>
          </w:p>
        </w:tc>
        <w:tc>
          <w:tcPr>
            <w:tcW w:w="6174" w:type="dxa"/>
            <w:noWrap w:val="0"/>
            <w:vAlign w:val="center"/>
          </w:tcPr>
          <w:p w14:paraId="63C72B7B">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四档（8 分）有专门的安全管理人员和制度，且人员配备合理，制度健全，各道工序安全技术措施针对性强，符合实际且满足有关安全技术标准要求。现场防火、应急救援、社会治安安全措施得力。</w:t>
            </w:r>
          </w:p>
          <w:p w14:paraId="5677C819">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三档（6 分）有安全管理人员和制度，且人员配备合理，制度健全，各道工序安全技术措施针对性强，符合实际且满足有关安全技术标准要求。现场防火、应急救援、社会治安安全措施得力。</w:t>
            </w:r>
          </w:p>
          <w:p w14:paraId="17F4F7AB">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二档（4 分）有安全管理人员和制度，人员配备一般，制度健全一般，各道工序安全技术措施针对性一般，基本满足有关安全技术标准要求。现场防火、应急救援、社会治安安全措施得力。</w:t>
            </w:r>
          </w:p>
          <w:p w14:paraId="53DE6369">
            <w:pPr>
              <w:spacing w:line="400" w:lineRule="exact"/>
              <w:jc w:val="left"/>
              <w:rPr>
                <w:rFonts w:hint="eastAsia" w:ascii="方正仿宋_GB2312" w:hAnsi="方正仿宋_GB2312" w:eastAsia="方正仿宋_GB2312" w:cs="方正仿宋_GB2312"/>
                <w:bCs/>
                <w:color w:val="auto"/>
                <w:highlight w:val="none"/>
              </w:rPr>
            </w:pPr>
            <w:r>
              <w:rPr>
                <w:rFonts w:hint="eastAsia" w:ascii="方正仿宋_GB2312" w:hAnsi="方正仿宋_GB2312" w:eastAsia="方正仿宋_GB2312" w:cs="方正仿宋_GB2312"/>
                <w:color w:val="auto"/>
                <w:szCs w:val="21"/>
                <w:highlight w:val="none"/>
              </w:rPr>
              <w:t>一档（2 分）有安全管理人员和制度，各道工序安全技术措施无针对性，满足有关安全技术标准要求。现场防火、应急救援、社会治安安全措施差。</w:t>
            </w:r>
          </w:p>
        </w:tc>
        <w:tc>
          <w:tcPr>
            <w:tcW w:w="851" w:type="dxa"/>
            <w:noWrap w:val="0"/>
            <w:vAlign w:val="center"/>
          </w:tcPr>
          <w:p w14:paraId="4F253664">
            <w:pPr>
              <w:spacing w:line="400" w:lineRule="exact"/>
              <w:jc w:val="center"/>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color w:val="auto"/>
                <w:szCs w:val="21"/>
                <w:highlight w:val="none"/>
              </w:rPr>
              <w:t>8</w:t>
            </w:r>
            <w:r>
              <w:rPr>
                <w:rFonts w:hint="eastAsia" w:ascii="方正仿宋_GB2312" w:hAnsi="方正仿宋_GB2312" w:eastAsia="方正仿宋_GB2312" w:cs="方正仿宋_GB2312"/>
                <w:color w:val="auto"/>
                <w:kern w:val="0"/>
                <w:szCs w:val="21"/>
                <w:highlight w:val="none"/>
              </w:rPr>
              <w:t>分</w:t>
            </w:r>
          </w:p>
        </w:tc>
      </w:tr>
      <w:tr w14:paraId="17E3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3240D0D0">
            <w:pPr>
              <w:spacing w:line="360" w:lineRule="auto"/>
              <w:jc w:val="center"/>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szCs w:val="21"/>
                <w:highlight w:val="none"/>
              </w:rPr>
              <w:t>2.7</w:t>
            </w:r>
          </w:p>
        </w:tc>
        <w:tc>
          <w:tcPr>
            <w:tcW w:w="1487" w:type="dxa"/>
            <w:noWrap w:val="0"/>
            <w:vAlign w:val="center"/>
          </w:tcPr>
          <w:p w14:paraId="5739EE3C">
            <w:pPr>
              <w:spacing w:line="400" w:lineRule="exact"/>
              <w:jc w:val="center"/>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color w:val="auto"/>
                <w:szCs w:val="21"/>
                <w:highlight w:val="none"/>
              </w:rPr>
              <w:t>确保工期的技术组织措施</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满分8分</w:t>
            </w:r>
            <w:r>
              <w:rPr>
                <w:rFonts w:hint="eastAsia" w:ascii="方正仿宋_GB2312" w:hAnsi="方正仿宋_GB2312" w:eastAsia="方正仿宋_GB2312" w:cs="方正仿宋_GB2312"/>
                <w:color w:val="auto"/>
                <w:szCs w:val="21"/>
                <w:highlight w:val="none"/>
                <w:lang w:eastAsia="zh-CN"/>
              </w:rPr>
              <w:t>）</w:t>
            </w:r>
          </w:p>
        </w:tc>
        <w:tc>
          <w:tcPr>
            <w:tcW w:w="6174" w:type="dxa"/>
            <w:noWrap w:val="0"/>
            <w:vAlign w:val="center"/>
          </w:tcPr>
          <w:p w14:paraId="794F415C">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四档（8 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5D4D5100">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三档（6 分）施工工艺、施工方法、材料选用、劳动力安排、技术等方面有保证工期的具体措施。有控制工期的施工进度计划。有施工总进度表或施工网络图，各项计划图表编制完善，符合本项目施工实际要求。</w:t>
            </w:r>
          </w:p>
          <w:p w14:paraId="4D9E3227">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二档（4 分）施工工艺、施工方法、材料选用、劳动力安排、技术等方面有措施。有控制工期的施工进度计划。有施工总进度表或施工网络图，各项计划图表编制一般，基本符合本项目施工实际要求。</w:t>
            </w:r>
          </w:p>
          <w:p w14:paraId="32349839">
            <w:pPr>
              <w:spacing w:line="400" w:lineRule="exact"/>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color w:val="auto"/>
                <w:szCs w:val="21"/>
                <w:highlight w:val="none"/>
              </w:rPr>
              <w:t>一档（2 分）施工工艺、施工方法、材料选用、劳动力安排、技术等方面有措施。有控制工期的施工进度计划。有施工总进度表或施工网络图，各项计划图表编制差，不符合本项目施工实际要求。</w:t>
            </w:r>
          </w:p>
        </w:tc>
        <w:tc>
          <w:tcPr>
            <w:tcW w:w="851" w:type="dxa"/>
            <w:noWrap w:val="0"/>
            <w:vAlign w:val="center"/>
          </w:tcPr>
          <w:p w14:paraId="5D48CA44">
            <w:pPr>
              <w:spacing w:line="400" w:lineRule="exact"/>
              <w:jc w:val="center"/>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color w:val="auto"/>
                <w:szCs w:val="21"/>
                <w:highlight w:val="none"/>
              </w:rPr>
              <w:t>8</w:t>
            </w:r>
            <w:r>
              <w:rPr>
                <w:rFonts w:hint="eastAsia" w:ascii="方正仿宋_GB2312" w:hAnsi="方正仿宋_GB2312" w:eastAsia="方正仿宋_GB2312" w:cs="方正仿宋_GB2312"/>
                <w:color w:val="auto"/>
                <w:kern w:val="0"/>
                <w:szCs w:val="21"/>
                <w:highlight w:val="none"/>
              </w:rPr>
              <w:t>分</w:t>
            </w:r>
          </w:p>
        </w:tc>
      </w:tr>
      <w:tr w14:paraId="640E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3" w:type="dxa"/>
            <w:noWrap w:val="0"/>
            <w:vAlign w:val="center"/>
          </w:tcPr>
          <w:p w14:paraId="773B7376">
            <w:pPr>
              <w:spacing w:line="360" w:lineRule="auto"/>
              <w:jc w:val="center"/>
              <w:rPr>
                <w:rFonts w:hint="eastAsia" w:ascii="方正仿宋_GB2312" w:hAnsi="方正仿宋_GB2312" w:eastAsia="方正仿宋_GB2312" w:cs="方正仿宋_GB2312"/>
                <w:b/>
                <w:bCs/>
                <w:color w:val="auto"/>
                <w:kern w:val="0"/>
                <w:szCs w:val="21"/>
                <w:highlight w:val="none"/>
              </w:rPr>
            </w:pPr>
            <w:r>
              <w:rPr>
                <w:rFonts w:hint="eastAsia" w:ascii="方正仿宋_GB2312" w:hAnsi="方正仿宋_GB2312" w:eastAsia="方正仿宋_GB2312" w:cs="方正仿宋_GB2312"/>
                <w:bCs/>
                <w:color w:val="auto"/>
                <w:szCs w:val="21"/>
                <w:highlight w:val="none"/>
              </w:rPr>
              <w:t>2.8</w:t>
            </w:r>
          </w:p>
        </w:tc>
        <w:tc>
          <w:tcPr>
            <w:tcW w:w="1487" w:type="dxa"/>
            <w:noWrap w:val="0"/>
            <w:vAlign w:val="center"/>
          </w:tcPr>
          <w:p w14:paraId="1109726D">
            <w:pPr>
              <w:spacing w:line="400" w:lineRule="exact"/>
              <w:jc w:val="center"/>
              <w:rPr>
                <w:rFonts w:hint="eastAsia" w:ascii="方正仿宋_GB2312" w:hAnsi="方正仿宋_GB2312" w:eastAsia="方正仿宋_GB2312" w:cs="方正仿宋_GB2312"/>
                <w:b/>
                <w:bCs/>
                <w:color w:val="auto"/>
                <w:kern w:val="0"/>
                <w:szCs w:val="21"/>
                <w:highlight w:val="none"/>
              </w:rPr>
            </w:pPr>
            <w:r>
              <w:rPr>
                <w:rFonts w:hint="eastAsia" w:ascii="方正仿宋_GB2312" w:hAnsi="方正仿宋_GB2312" w:eastAsia="方正仿宋_GB2312" w:cs="方正仿宋_GB2312"/>
                <w:color w:val="auto"/>
                <w:szCs w:val="21"/>
                <w:highlight w:val="none"/>
              </w:rPr>
              <w:t>确保文明施工的技术组织措施</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满分8分</w:t>
            </w:r>
            <w:r>
              <w:rPr>
                <w:rFonts w:hint="eastAsia" w:ascii="方正仿宋_GB2312" w:hAnsi="方正仿宋_GB2312" w:eastAsia="方正仿宋_GB2312" w:cs="方正仿宋_GB2312"/>
                <w:color w:val="auto"/>
                <w:szCs w:val="21"/>
                <w:highlight w:val="none"/>
                <w:lang w:eastAsia="zh-CN"/>
              </w:rPr>
              <w:t>）</w:t>
            </w:r>
          </w:p>
        </w:tc>
        <w:tc>
          <w:tcPr>
            <w:tcW w:w="6174" w:type="dxa"/>
            <w:noWrap w:val="0"/>
            <w:vAlign w:val="center"/>
          </w:tcPr>
          <w:p w14:paraId="35DF45DA">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四档（8分）：针对本工程实际情况，有先进、具体、完整、可行的文明施工技术组织，采用规范正确、清晰。各项措施周全、具体、有效。</w:t>
            </w:r>
          </w:p>
          <w:p w14:paraId="723EABD3">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三档（6分）：针对本工程实际情况，有具体、可行的文明施工技术组织，采用规范正确、清晰。各项措施周全。</w:t>
            </w:r>
          </w:p>
          <w:p w14:paraId="11900F78">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二档（4分）：针对本工程实际情况，有基本的文明施工技术组织，采用规范正确。有基本的措施。 </w:t>
            </w:r>
          </w:p>
          <w:p w14:paraId="0FF870B7">
            <w:pPr>
              <w:spacing w:line="400" w:lineRule="exact"/>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1"/>
                <w:highlight w:val="none"/>
              </w:rPr>
              <w:t>一档（2分）：文明施工技术组织较差，采用的规范不正确。措施不齐全。</w:t>
            </w:r>
          </w:p>
        </w:tc>
        <w:tc>
          <w:tcPr>
            <w:tcW w:w="851" w:type="dxa"/>
            <w:noWrap w:val="0"/>
            <w:vAlign w:val="center"/>
          </w:tcPr>
          <w:p w14:paraId="56001292">
            <w:pPr>
              <w:spacing w:line="400" w:lineRule="exact"/>
              <w:jc w:val="center"/>
              <w:rPr>
                <w:rFonts w:hint="eastAsia" w:ascii="方正仿宋_GB2312" w:hAnsi="方正仿宋_GB2312" w:eastAsia="方正仿宋_GB2312" w:cs="方正仿宋_GB2312"/>
                <w:b/>
                <w:bCs/>
                <w:color w:val="auto"/>
                <w:kern w:val="0"/>
                <w:szCs w:val="21"/>
                <w:highlight w:val="none"/>
              </w:rPr>
            </w:pPr>
            <w:r>
              <w:rPr>
                <w:rFonts w:hint="eastAsia" w:ascii="方正仿宋_GB2312" w:hAnsi="方正仿宋_GB2312" w:eastAsia="方正仿宋_GB2312" w:cs="方正仿宋_GB2312"/>
                <w:color w:val="auto"/>
                <w:szCs w:val="21"/>
                <w:highlight w:val="none"/>
              </w:rPr>
              <w:t>8</w:t>
            </w:r>
            <w:r>
              <w:rPr>
                <w:rFonts w:hint="eastAsia" w:ascii="方正仿宋_GB2312" w:hAnsi="方正仿宋_GB2312" w:eastAsia="方正仿宋_GB2312" w:cs="方正仿宋_GB2312"/>
                <w:color w:val="auto"/>
                <w:kern w:val="0"/>
                <w:szCs w:val="21"/>
                <w:highlight w:val="none"/>
              </w:rPr>
              <w:t>分</w:t>
            </w:r>
          </w:p>
        </w:tc>
      </w:tr>
      <w:tr w14:paraId="66A8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3" w:type="dxa"/>
            <w:noWrap w:val="0"/>
            <w:vAlign w:val="center"/>
          </w:tcPr>
          <w:p w14:paraId="7368D1BC">
            <w:pPr>
              <w:spacing w:line="360" w:lineRule="auto"/>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bCs/>
                <w:color w:val="auto"/>
                <w:szCs w:val="21"/>
                <w:highlight w:val="none"/>
              </w:rPr>
              <w:t>2.9</w:t>
            </w:r>
          </w:p>
        </w:tc>
        <w:tc>
          <w:tcPr>
            <w:tcW w:w="1487" w:type="dxa"/>
            <w:noWrap w:val="0"/>
            <w:vAlign w:val="center"/>
          </w:tcPr>
          <w:p w14:paraId="13CAA90B">
            <w:pPr>
              <w:spacing w:line="400" w:lineRule="exact"/>
              <w:jc w:val="center"/>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color w:val="auto"/>
                <w:szCs w:val="21"/>
                <w:highlight w:val="none"/>
              </w:rPr>
              <w:t>工程施工的重点和难点及保证措施</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满分8分</w:t>
            </w:r>
            <w:r>
              <w:rPr>
                <w:rFonts w:hint="eastAsia" w:ascii="方正仿宋_GB2312" w:hAnsi="方正仿宋_GB2312" w:eastAsia="方正仿宋_GB2312" w:cs="方正仿宋_GB2312"/>
                <w:color w:val="auto"/>
                <w:szCs w:val="21"/>
                <w:highlight w:val="none"/>
                <w:lang w:eastAsia="zh-CN"/>
              </w:rPr>
              <w:t>）</w:t>
            </w:r>
          </w:p>
        </w:tc>
        <w:tc>
          <w:tcPr>
            <w:tcW w:w="6174" w:type="dxa"/>
            <w:noWrap w:val="0"/>
            <w:vAlign w:val="center"/>
          </w:tcPr>
          <w:p w14:paraId="03EED3A7">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四档（8 分）针对本工程的特点，详细阐述了本工程的重点和难点，解决重点和难点问题的方法合理、可行。</w:t>
            </w:r>
          </w:p>
          <w:p w14:paraId="53665AE5">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三档（6 分）针对本工程的特点，阐述了本工程的重点和难点，解决重点和难点问题的方法合理。</w:t>
            </w:r>
          </w:p>
          <w:p w14:paraId="2329BB09">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二档（4 分）简单阐述了本工程的重点和难点，解决重点和难点问题的方法一般。</w:t>
            </w:r>
          </w:p>
          <w:p w14:paraId="09604971">
            <w:pPr>
              <w:spacing w:line="400" w:lineRule="exact"/>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color w:val="auto"/>
                <w:szCs w:val="21"/>
                <w:highlight w:val="none"/>
              </w:rPr>
              <w:t>一档（2 分）未阐述本工程的重点和难点，无解决及保证措施重点和难点问题的方法。</w:t>
            </w:r>
          </w:p>
        </w:tc>
        <w:tc>
          <w:tcPr>
            <w:tcW w:w="851" w:type="dxa"/>
            <w:noWrap w:val="0"/>
            <w:vAlign w:val="center"/>
          </w:tcPr>
          <w:p w14:paraId="3F5EC9A3">
            <w:pPr>
              <w:spacing w:line="400" w:lineRule="exact"/>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szCs w:val="21"/>
                <w:highlight w:val="none"/>
              </w:rPr>
              <w:t>8</w:t>
            </w:r>
          </w:p>
        </w:tc>
      </w:tr>
      <w:tr w14:paraId="526B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693" w:type="dxa"/>
            <w:noWrap w:val="0"/>
            <w:vAlign w:val="center"/>
          </w:tcPr>
          <w:p w14:paraId="452C9B30">
            <w:pPr>
              <w:spacing w:line="360" w:lineRule="auto"/>
              <w:jc w:val="center"/>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Cs/>
                <w:color w:val="auto"/>
                <w:szCs w:val="21"/>
                <w:highlight w:val="none"/>
              </w:rPr>
              <w:t>2.10</w:t>
            </w:r>
          </w:p>
        </w:tc>
        <w:tc>
          <w:tcPr>
            <w:tcW w:w="1487" w:type="dxa"/>
            <w:noWrap w:val="0"/>
            <w:vAlign w:val="center"/>
          </w:tcPr>
          <w:p w14:paraId="58681E12">
            <w:pPr>
              <w:spacing w:line="400" w:lineRule="exact"/>
              <w:jc w:val="center"/>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color w:val="auto"/>
                <w:szCs w:val="21"/>
                <w:highlight w:val="none"/>
              </w:rPr>
              <w:t>施工总平面布置图</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满分8分</w:t>
            </w:r>
            <w:r>
              <w:rPr>
                <w:rFonts w:hint="eastAsia" w:ascii="方正仿宋_GB2312" w:hAnsi="方正仿宋_GB2312" w:eastAsia="方正仿宋_GB2312" w:cs="方正仿宋_GB2312"/>
                <w:color w:val="auto"/>
                <w:szCs w:val="21"/>
                <w:highlight w:val="none"/>
                <w:lang w:eastAsia="zh-CN"/>
              </w:rPr>
              <w:t>）</w:t>
            </w:r>
          </w:p>
        </w:tc>
        <w:tc>
          <w:tcPr>
            <w:tcW w:w="6174" w:type="dxa"/>
            <w:noWrap w:val="0"/>
            <w:vAlign w:val="center"/>
          </w:tcPr>
          <w:p w14:paraId="0545EC89">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四档（8 分）有施工总平面布置图，总体布置有针对性、安排科学合理，完全满足施工需要，符合安全、文明生产要求。</w:t>
            </w:r>
          </w:p>
          <w:p w14:paraId="6130033B">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三档（6 分）有施工总平面布置图，总体布置基本合理，能满足施工需要。</w:t>
            </w:r>
          </w:p>
          <w:p w14:paraId="2FA88762">
            <w:pPr>
              <w:spacing w:line="400" w:lineRule="exact"/>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二档（4 分）有施工总平面布置图，总体布置基本合理，基本满足施工需要。</w:t>
            </w:r>
          </w:p>
          <w:p w14:paraId="3F0BF40A">
            <w:pPr>
              <w:spacing w:line="400" w:lineRule="exact"/>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color w:val="auto"/>
                <w:szCs w:val="21"/>
                <w:highlight w:val="none"/>
              </w:rPr>
              <w:t>一档（2 分）有施工总平面布置图，总体布置不合理，不符合安全、文明生产要求。</w:t>
            </w:r>
          </w:p>
        </w:tc>
        <w:tc>
          <w:tcPr>
            <w:tcW w:w="851" w:type="dxa"/>
            <w:noWrap w:val="0"/>
            <w:vAlign w:val="center"/>
          </w:tcPr>
          <w:p w14:paraId="37811D58">
            <w:pPr>
              <w:spacing w:line="400" w:lineRule="exact"/>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color w:val="auto"/>
                <w:szCs w:val="21"/>
                <w:highlight w:val="none"/>
              </w:rPr>
              <w:t>8</w:t>
            </w:r>
            <w:r>
              <w:rPr>
                <w:rFonts w:hint="eastAsia" w:ascii="方正仿宋_GB2312" w:hAnsi="方正仿宋_GB2312" w:eastAsia="方正仿宋_GB2312" w:cs="方正仿宋_GB2312"/>
                <w:color w:val="auto"/>
                <w:kern w:val="0"/>
                <w:szCs w:val="21"/>
                <w:highlight w:val="none"/>
              </w:rPr>
              <w:t>分</w:t>
            </w:r>
          </w:p>
        </w:tc>
      </w:tr>
      <w:tr w14:paraId="7B9D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93" w:type="dxa"/>
            <w:noWrap w:val="0"/>
            <w:vAlign w:val="center"/>
          </w:tcPr>
          <w:p w14:paraId="3E40A5FD">
            <w:pPr>
              <w:widowControl/>
              <w:spacing w:line="360" w:lineRule="auto"/>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3</w:t>
            </w:r>
          </w:p>
        </w:tc>
        <w:tc>
          <w:tcPr>
            <w:tcW w:w="1487" w:type="dxa"/>
            <w:noWrap w:val="0"/>
            <w:vAlign w:val="center"/>
          </w:tcPr>
          <w:p w14:paraId="060AD069">
            <w:pPr>
              <w:widowControl/>
              <w:spacing w:line="360" w:lineRule="auto"/>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商务分</w:t>
            </w:r>
          </w:p>
        </w:tc>
        <w:tc>
          <w:tcPr>
            <w:tcW w:w="6174" w:type="dxa"/>
            <w:noWrap w:val="0"/>
            <w:vAlign w:val="center"/>
          </w:tcPr>
          <w:p w14:paraId="20DE118D">
            <w:pPr>
              <w:widowControl/>
              <w:spacing w:line="360" w:lineRule="auto"/>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评审标准</w:t>
            </w:r>
          </w:p>
        </w:tc>
        <w:tc>
          <w:tcPr>
            <w:tcW w:w="851" w:type="dxa"/>
            <w:noWrap w:val="0"/>
            <w:vAlign w:val="center"/>
          </w:tcPr>
          <w:p w14:paraId="3E7A59EE">
            <w:pPr>
              <w:widowControl/>
              <w:spacing w:line="360" w:lineRule="auto"/>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10分</w:t>
            </w:r>
          </w:p>
        </w:tc>
      </w:tr>
      <w:tr w14:paraId="7E96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693" w:type="dxa"/>
            <w:noWrap w:val="0"/>
            <w:vAlign w:val="center"/>
          </w:tcPr>
          <w:p w14:paraId="6C273900">
            <w:pPr>
              <w:spacing w:line="360" w:lineRule="auto"/>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3.1</w:t>
            </w:r>
          </w:p>
        </w:tc>
        <w:tc>
          <w:tcPr>
            <w:tcW w:w="1487" w:type="dxa"/>
            <w:noWrap w:val="0"/>
            <w:vAlign w:val="center"/>
          </w:tcPr>
          <w:p w14:paraId="288FEBEB">
            <w:pPr>
              <w:spacing w:line="360" w:lineRule="auto"/>
              <w:jc w:val="center"/>
              <w:rPr>
                <w:rFonts w:hint="eastAsia" w:ascii="方正仿宋_GB2312" w:hAnsi="方正仿宋_GB2312" w:eastAsia="方正仿宋_GB2312" w:cs="方正仿宋_GB2312"/>
                <w:bCs/>
                <w:color w:val="auto"/>
                <w:highlight w:val="none"/>
              </w:rPr>
            </w:pPr>
            <w:r>
              <w:rPr>
                <w:rFonts w:hint="eastAsia" w:ascii="方正仿宋_GB2312" w:hAnsi="方正仿宋_GB2312" w:eastAsia="方正仿宋_GB2312" w:cs="方正仿宋_GB2312"/>
                <w:bCs/>
                <w:color w:val="auto"/>
                <w:highlight w:val="none"/>
              </w:rPr>
              <w:t>项目管理机构配备分（</w:t>
            </w:r>
            <w:r>
              <w:rPr>
                <w:rFonts w:hint="eastAsia" w:ascii="方正仿宋_GB2312" w:hAnsi="方正仿宋_GB2312" w:eastAsia="方正仿宋_GB2312" w:cs="方正仿宋_GB2312"/>
                <w:bCs/>
                <w:color w:val="auto"/>
                <w:highlight w:val="none"/>
                <w:lang w:val="en-US" w:eastAsia="zh-CN"/>
              </w:rPr>
              <w:t>满分</w:t>
            </w:r>
            <w:r>
              <w:rPr>
                <w:rFonts w:hint="eastAsia" w:ascii="方正仿宋_GB2312" w:hAnsi="方正仿宋_GB2312" w:eastAsia="方正仿宋_GB2312" w:cs="方正仿宋_GB2312"/>
                <w:bCs/>
                <w:color w:val="auto"/>
                <w:highlight w:val="none"/>
              </w:rPr>
              <w:t>4分）</w:t>
            </w:r>
          </w:p>
          <w:p w14:paraId="4A682566">
            <w:pPr>
              <w:spacing w:line="360" w:lineRule="auto"/>
              <w:jc w:val="center"/>
              <w:rPr>
                <w:rFonts w:hint="eastAsia" w:ascii="方正仿宋_GB2312" w:hAnsi="方正仿宋_GB2312" w:eastAsia="方正仿宋_GB2312" w:cs="方正仿宋_GB2312"/>
                <w:bCs/>
                <w:color w:val="auto"/>
                <w:szCs w:val="21"/>
                <w:highlight w:val="none"/>
              </w:rPr>
            </w:pPr>
          </w:p>
        </w:tc>
        <w:tc>
          <w:tcPr>
            <w:tcW w:w="6174" w:type="dxa"/>
            <w:noWrap w:val="0"/>
            <w:vAlign w:val="top"/>
          </w:tcPr>
          <w:p w14:paraId="7096CB86">
            <w:pPr>
              <w:spacing w:line="360" w:lineRule="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（1）拟投入本工程的项目经理具有</w:t>
            </w:r>
            <w:r>
              <w:rPr>
                <w:rFonts w:hint="eastAsia" w:ascii="方正仿宋_GB2312" w:hAnsi="方正仿宋_GB2312" w:eastAsia="方正仿宋_GB2312" w:cs="方正仿宋_GB2312"/>
                <w:color w:val="auto"/>
                <w:highlight w:val="none"/>
                <w:lang w:eastAsia="zh-CN"/>
              </w:rPr>
              <w:t>公路工程专业贰级</w:t>
            </w:r>
            <w:r>
              <w:rPr>
                <w:rFonts w:hint="eastAsia" w:ascii="方正仿宋_GB2312" w:hAnsi="方正仿宋_GB2312" w:eastAsia="方正仿宋_GB2312" w:cs="方正仿宋_GB2312"/>
                <w:color w:val="auto"/>
                <w:highlight w:val="none"/>
              </w:rPr>
              <w:t>（含贰级）以上注册建造师执业资格，并具备有效的安全生产考核合格证书（B类）的得1分，此项满分1分；</w:t>
            </w:r>
          </w:p>
          <w:p w14:paraId="5BB7203E">
            <w:pPr>
              <w:spacing w:line="360" w:lineRule="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（2）技术负责人具有工程类中级以上（含中级）职称的，得1分，此项满分1分；</w:t>
            </w:r>
          </w:p>
          <w:p w14:paraId="7AEB2EE0">
            <w:pPr>
              <w:spacing w:line="360" w:lineRule="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（3）拟投入本项目的安全员、施工员、质检（量）员、材料员具有相应岗位资格证书，且拟投入的项目管理人员符合国家及广西壮族自治区的规定的，每个人员得0.5分，此项满分2分。</w:t>
            </w:r>
          </w:p>
          <w:p w14:paraId="4BC772F9">
            <w:pPr>
              <w:spacing w:line="360" w:lineRule="auto"/>
              <w:ind w:firstLine="420" w:firstLineChars="200"/>
              <w:rPr>
                <w:rFonts w:hint="eastAsia" w:ascii="方正仿宋_GB2312" w:hAnsi="方正仿宋_GB2312" w:eastAsia="方正仿宋_GB2312" w:cs="方正仿宋_GB2312"/>
                <w:b/>
                <w:bCs/>
                <w:color w:val="auto"/>
                <w:highlight w:val="none"/>
              </w:rPr>
            </w:pPr>
            <w:r>
              <w:rPr>
                <w:rFonts w:hint="eastAsia" w:ascii="方正仿宋_GB2312" w:hAnsi="方正仿宋_GB2312" w:eastAsia="方正仿宋_GB2312" w:cs="方正仿宋_GB2312"/>
                <w:color w:val="auto"/>
                <w:highlight w:val="none"/>
              </w:rPr>
              <w:t>注:须提供上述加分人员相关证明材料及</w:t>
            </w:r>
            <w:r>
              <w:rPr>
                <w:rFonts w:hint="eastAsia" w:ascii="方正仿宋_GB2312" w:hAnsi="方正仿宋_GB2312" w:eastAsia="方正仿宋_GB2312" w:cs="方正仿宋_GB2312"/>
                <w:b/>
                <w:color w:val="auto"/>
                <w:highlight w:val="none"/>
              </w:rPr>
              <w:t>供应商为其依法缴纳社会保险（</w:t>
            </w:r>
            <w:r>
              <w:rPr>
                <w:rFonts w:hint="eastAsia" w:ascii="方正仿宋_GB2312" w:hAnsi="方正仿宋_GB2312" w:eastAsia="方正仿宋_GB2312" w:cs="方正仿宋_GB2312"/>
                <w:b/>
                <w:color w:val="auto"/>
                <w:highlight w:val="none"/>
                <w:lang w:eastAsia="zh-CN"/>
              </w:rPr>
              <w:t>响应截止之日前半年</w:t>
            </w:r>
            <w:r>
              <w:rPr>
                <w:rFonts w:hint="eastAsia" w:ascii="方正仿宋_GB2312" w:hAnsi="方正仿宋_GB2312" w:eastAsia="方正仿宋_GB2312" w:cs="方正仿宋_GB2312"/>
                <w:b/>
                <w:color w:val="auto"/>
                <w:highlight w:val="none"/>
              </w:rPr>
              <w:t>内任意</w:t>
            </w:r>
            <w:r>
              <w:rPr>
                <w:rFonts w:hint="eastAsia" w:ascii="方正仿宋_GB2312" w:hAnsi="方正仿宋_GB2312" w:eastAsia="方正仿宋_GB2312" w:cs="方正仿宋_GB2312"/>
                <w:b/>
                <w:color w:val="auto"/>
                <w:highlight w:val="none"/>
                <w:lang w:val="en-US" w:eastAsia="zh-CN"/>
              </w:rPr>
              <w:t>3</w:t>
            </w:r>
            <w:r>
              <w:rPr>
                <w:rFonts w:hint="eastAsia" w:ascii="方正仿宋_GB2312" w:hAnsi="方正仿宋_GB2312" w:eastAsia="方正仿宋_GB2312" w:cs="方正仿宋_GB2312"/>
                <w:b/>
                <w:color w:val="auto"/>
                <w:highlight w:val="none"/>
              </w:rPr>
              <w:t>个月）的证明材料</w:t>
            </w:r>
            <w:r>
              <w:rPr>
                <w:rFonts w:hint="eastAsia" w:ascii="方正仿宋_GB2312" w:hAnsi="方正仿宋_GB2312" w:eastAsia="方正仿宋_GB2312" w:cs="方正仿宋_GB2312"/>
                <w:color w:val="auto"/>
                <w:highlight w:val="none"/>
              </w:rPr>
              <w:t>复印件，并加盖供应商公章或电子签章。</w:t>
            </w:r>
          </w:p>
        </w:tc>
        <w:tc>
          <w:tcPr>
            <w:tcW w:w="851" w:type="dxa"/>
            <w:noWrap w:val="0"/>
            <w:vAlign w:val="center"/>
          </w:tcPr>
          <w:p w14:paraId="7864729D">
            <w:pPr>
              <w:spacing w:line="360" w:lineRule="auto"/>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4分</w:t>
            </w:r>
          </w:p>
        </w:tc>
      </w:tr>
      <w:tr w14:paraId="3911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93" w:type="dxa"/>
            <w:noWrap w:val="0"/>
            <w:vAlign w:val="center"/>
          </w:tcPr>
          <w:p w14:paraId="0ADAB794">
            <w:pPr>
              <w:spacing w:line="360" w:lineRule="auto"/>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3.2</w:t>
            </w:r>
          </w:p>
        </w:tc>
        <w:tc>
          <w:tcPr>
            <w:tcW w:w="1487" w:type="dxa"/>
            <w:noWrap w:val="0"/>
            <w:vAlign w:val="center"/>
          </w:tcPr>
          <w:p w14:paraId="14210437">
            <w:pPr>
              <w:spacing w:line="360" w:lineRule="auto"/>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highlight w:val="none"/>
              </w:rPr>
              <w:t>类似项目业绩分（</w:t>
            </w:r>
            <w:r>
              <w:rPr>
                <w:rFonts w:hint="eastAsia" w:ascii="方正仿宋_GB2312" w:hAnsi="方正仿宋_GB2312" w:eastAsia="方正仿宋_GB2312" w:cs="方正仿宋_GB2312"/>
                <w:bCs/>
                <w:color w:val="auto"/>
                <w:highlight w:val="none"/>
                <w:lang w:val="en-US" w:eastAsia="zh-CN"/>
              </w:rPr>
              <w:t>满分</w:t>
            </w:r>
            <w:r>
              <w:rPr>
                <w:rFonts w:hint="eastAsia" w:ascii="方正仿宋_GB2312" w:hAnsi="方正仿宋_GB2312" w:eastAsia="方正仿宋_GB2312" w:cs="方正仿宋_GB2312"/>
                <w:bCs/>
                <w:color w:val="auto"/>
                <w:highlight w:val="none"/>
              </w:rPr>
              <w:t>6分）</w:t>
            </w:r>
          </w:p>
        </w:tc>
        <w:tc>
          <w:tcPr>
            <w:tcW w:w="6174" w:type="dxa"/>
            <w:noWrap w:val="0"/>
            <w:vAlign w:val="top"/>
          </w:tcPr>
          <w:p w14:paraId="58ECD067">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202</w:t>
            </w:r>
            <w:r>
              <w:rPr>
                <w:rFonts w:hint="eastAsia" w:ascii="方正仿宋_GB2312" w:hAnsi="方正仿宋_GB2312" w:eastAsia="方正仿宋_GB2312" w:cs="方正仿宋_GB2312"/>
                <w:color w:val="auto"/>
                <w:highlight w:val="none"/>
                <w:lang w:val="en-US" w:eastAsia="zh-CN"/>
              </w:rPr>
              <w:t>3</w:t>
            </w:r>
            <w:r>
              <w:rPr>
                <w:rFonts w:hint="eastAsia" w:ascii="方正仿宋_GB2312" w:hAnsi="方正仿宋_GB2312" w:eastAsia="方正仿宋_GB2312" w:cs="方正仿宋_GB2312"/>
                <w:color w:val="auto"/>
                <w:highlight w:val="none"/>
              </w:rPr>
              <w:t>年1月1日至首次响应文件提交截止时间止，供应商承接过类似项目的，每项得</w:t>
            </w:r>
            <w:r>
              <w:rPr>
                <w:rFonts w:hint="eastAsia" w:ascii="方正仿宋_GB2312" w:hAnsi="方正仿宋_GB2312" w:eastAsia="方正仿宋_GB2312" w:cs="方正仿宋_GB2312"/>
                <w:color w:val="auto"/>
                <w:highlight w:val="none"/>
                <w:lang w:val="en-US" w:eastAsia="zh-CN"/>
              </w:rPr>
              <w:t>2</w:t>
            </w:r>
            <w:r>
              <w:rPr>
                <w:rFonts w:hint="eastAsia" w:ascii="方正仿宋_GB2312" w:hAnsi="方正仿宋_GB2312" w:eastAsia="方正仿宋_GB2312" w:cs="方正仿宋_GB2312"/>
                <w:color w:val="auto"/>
                <w:highlight w:val="none"/>
              </w:rPr>
              <w:t>分，满分6分。（类似项目指：</w:t>
            </w:r>
            <w:r>
              <w:rPr>
                <w:rFonts w:hint="eastAsia" w:ascii="方正仿宋_GB2312" w:hAnsi="方正仿宋_GB2312" w:eastAsia="方正仿宋_GB2312" w:cs="方正仿宋_GB2312"/>
                <w:color w:val="auto"/>
                <w:highlight w:val="none"/>
                <w:lang w:eastAsia="zh-CN"/>
              </w:rPr>
              <w:t>公路工程</w:t>
            </w:r>
            <w:r>
              <w:rPr>
                <w:rFonts w:hint="eastAsia" w:ascii="方正仿宋_GB2312" w:hAnsi="方正仿宋_GB2312" w:eastAsia="方正仿宋_GB2312" w:cs="方正仿宋_GB2312"/>
                <w:color w:val="auto"/>
                <w:highlight w:val="none"/>
              </w:rPr>
              <w:t>施工项目）</w:t>
            </w:r>
          </w:p>
          <w:p w14:paraId="0997A4A1">
            <w:pPr>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注：以合同或者中标（成交）通知书扫描件为准，并加盖供应商电子签章。</w:t>
            </w:r>
          </w:p>
        </w:tc>
        <w:tc>
          <w:tcPr>
            <w:tcW w:w="851" w:type="dxa"/>
            <w:noWrap w:val="0"/>
            <w:vAlign w:val="center"/>
          </w:tcPr>
          <w:p w14:paraId="57B2A9BB">
            <w:pPr>
              <w:spacing w:line="360" w:lineRule="auto"/>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6分</w:t>
            </w:r>
          </w:p>
        </w:tc>
      </w:tr>
    </w:tbl>
    <w:p w14:paraId="7E0D9091">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highlight w:val="none"/>
        </w:rPr>
      </w:pPr>
    </w:p>
    <w:p w14:paraId="4EAEF027">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highlight w:val="none"/>
        </w:rPr>
      </w:pPr>
      <w:r>
        <w:rPr>
          <w:rStyle w:val="87"/>
          <w:rFonts w:hint="eastAsia" w:ascii="方正仿宋_GB2312" w:hAnsi="方正仿宋_GB2312" w:eastAsia="方正仿宋_GB2312" w:cs="方正仿宋_GB2312"/>
          <w:color w:val="auto"/>
          <w:highlight w:val="none"/>
        </w:rPr>
        <w:t>8.2商务技术评审因素为客观评分项的，应在评分项目或评分标准中予以标注为“客观分”。对供应商的客观评分项目，各评审专家评分应当一致。</w:t>
      </w:r>
    </w:p>
    <w:p w14:paraId="12B11A92">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highlight w:val="none"/>
        </w:rPr>
      </w:pPr>
      <w:r>
        <w:rPr>
          <w:rStyle w:val="87"/>
          <w:rFonts w:hint="eastAsia" w:ascii="方正仿宋_GB2312" w:hAnsi="方正仿宋_GB2312" w:eastAsia="方正仿宋_GB2312" w:cs="方正仿宋_GB2312"/>
          <w:color w:val="auto"/>
          <w:highlight w:val="none"/>
        </w:rPr>
        <w:t>8.3.终止竞争性磋商采购活动</w:t>
      </w:r>
    </w:p>
    <w:p w14:paraId="65486362">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highlight w:val="none"/>
        </w:rPr>
      </w:pPr>
      <w:r>
        <w:rPr>
          <w:rStyle w:val="87"/>
          <w:rFonts w:hint="eastAsia" w:ascii="方正仿宋_GB2312" w:hAnsi="方正仿宋_GB2312" w:eastAsia="方正仿宋_GB2312" w:cs="方正仿宋_GB2312"/>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D8DCAF2">
      <w:pPr>
        <w:pStyle w:val="86"/>
        <w:widowControl/>
        <w:snapToGrid w:val="0"/>
        <w:spacing w:before="0" w:after="0" w:line="360" w:lineRule="auto"/>
        <w:jc w:val="center"/>
        <w:outlineLvl w:val="1"/>
        <w:rPr>
          <w:rStyle w:val="87"/>
          <w:rFonts w:hint="eastAsia" w:ascii="方正仿宋_GB2312" w:hAnsi="方正仿宋_GB2312" w:eastAsia="方正仿宋_GB2312" w:cs="方正仿宋_GB2312"/>
          <w:b w:val="0"/>
          <w:color w:val="auto"/>
          <w:sz w:val="32"/>
          <w:szCs w:val="32"/>
          <w:highlight w:val="none"/>
        </w:rPr>
      </w:pPr>
      <w:bookmarkStart w:id="80" w:name="_Toc23080"/>
      <w:bookmarkStart w:id="81" w:name="_Toc19071"/>
      <w:r>
        <w:rPr>
          <w:rStyle w:val="87"/>
          <w:rFonts w:hint="eastAsia" w:ascii="方正仿宋_GB2312" w:hAnsi="方正仿宋_GB2312" w:eastAsia="方正仿宋_GB2312" w:cs="方正仿宋_GB2312"/>
          <w:b w:val="0"/>
          <w:color w:val="auto"/>
          <w:sz w:val="32"/>
          <w:szCs w:val="32"/>
          <w:highlight w:val="none"/>
        </w:rPr>
        <w:t>第二节 评标报告</w:t>
      </w:r>
      <w:bookmarkEnd w:id="80"/>
      <w:bookmarkEnd w:id="81"/>
    </w:p>
    <w:p w14:paraId="1C2BD7FE">
      <w:pPr>
        <w:snapToGrid w:val="0"/>
        <w:spacing w:line="360" w:lineRule="auto"/>
        <w:ind w:firstLine="422" w:firstLineChars="175"/>
        <w:textAlignment w:val="baseline"/>
        <w:rPr>
          <w:rStyle w:val="87"/>
          <w:rFonts w:hint="eastAsia" w:ascii="方正仿宋_GB2312" w:hAnsi="方正仿宋_GB2312" w:eastAsia="方正仿宋_GB2312" w:cs="方正仿宋_GB2312"/>
          <w:b/>
          <w:bCs/>
          <w:color w:val="auto"/>
          <w:sz w:val="24"/>
          <w:szCs w:val="32"/>
          <w:highlight w:val="none"/>
        </w:rPr>
      </w:pPr>
      <w:r>
        <w:rPr>
          <w:rStyle w:val="87"/>
          <w:rFonts w:hint="eastAsia" w:ascii="方正仿宋_GB2312" w:hAnsi="方正仿宋_GB2312" w:eastAsia="方正仿宋_GB2312" w:cs="方正仿宋_GB2312"/>
          <w:b/>
          <w:bCs/>
          <w:color w:val="auto"/>
          <w:sz w:val="24"/>
          <w:szCs w:val="32"/>
          <w:highlight w:val="none"/>
        </w:rPr>
        <w:t>1.成交标准</w:t>
      </w:r>
    </w:p>
    <w:p w14:paraId="053FC040">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sz w:val="24"/>
          <w:highlight w:val="none"/>
        </w:rPr>
      </w:pPr>
      <w:r>
        <w:rPr>
          <w:rStyle w:val="87"/>
          <w:rFonts w:hint="eastAsia" w:ascii="方正仿宋_GB2312" w:hAnsi="方正仿宋_GB2312" w:eastAsia="方正仿宋_GB2312" w:cs="方正仿宋_GB2312"/>
          <w:bCs/>
          <w:color w:val="auto"/>
          <w:szCs w:val="21"/>
          <w:highlight w:val="none"/>
        </w:rPr>
        <w:t>由磋商小组根据综合评分情况，按照评审得分由高到低顺序推荐3名成交候选供应商</w:t>
      </w:r>
      <w:r>
        <w:rPr>
          <w:rStyle w:val="87"/>
          <w:rFonts w:hint="eastAsia" w:ascii="方正仿宋_GB2312" w:hAnsi="方正仿宋_GB2312" w:eastAsia="方正仿宋_GB2312" w:cs="方正仿宋_GB2312"/>
          <w:color w:val="auto"/>
          <w:highlight w:val="none"/>
        </w:rPr>
        <w:t>,并在线编写电子评审报告</w:t>
      </w:r>
      <w:r>
        <w:rPr>
          <w:rStyle w:val="87"/>
          <w:rFonts w:hint="eastAsia" w:ascii="方正仿宋_GB2312" w:hAnsi="方正仿宋_GB2312" w:eastAsia="方正仿宋_GB2312" w:cs="方正仿宋_GB2312"/>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5A666E14">
      <w:pPr>
        <w:snapToGrid w:val="0"/>
        <w:spacing w:line="360" w:lineRule="auto"/>
        <w:ind w:firstLine="422" w:firstLineChars="175"/>
        <w:textAlignment w:val="baseline"/>
        <w:rPr>
          <w:rStyle w:val="87"/>
          <w:rFonts w:hint="eastAsia" w:ascii="方正仿宋_GB2312" w:hAnsi="方正仿宋_GB2312" w:eastAsia="方正仿宋_GB2312" w:cs="方正仿宋_GB2312"/>
          <w:b/>
          <w:bCs/>
          <w:color w:val="auto"/>
          <w:sz w:val="24"/>
          <w:szCs w:val="32"/>
          <w:highlight w:val="none"/>
        </w:rPr>
      </w:pPr>
      <w:r>
        <w:rPr>
          <w:rStyle w:val="87"/>
          <w:rFonts w:hint="eastAsia" w:ascii="方正仿宋_GB2312" w:hAnsi="方正仿宋_GB2312" w:eastAsia="方正仿宋_GB2312" w:cs="方正仿宋_GB2312"/>
          <w:b/>
          <w:bCs/>
          <w:color w:val="auto"/>
          <w:sz w:val="24"/>
          <w:szCs w:val="32"/>
          <w:highlight w:val="none"/>
        </w:rPr>
        <w:t>2.评标争议事项处理</w:t>
      </w:r>
    </w:p>
    <w:p w14:paraId="4643C9EA">
      <w:pPr>
        <w:pStyle w:val="88"/>
        <w:widowControl/>
        <w:snapToGrid w:val="0"/>
        <w:spacing w:before="0"/>
        <w:ind w:firstLine="420"/>
        <w:rPr>
          <w:rStyle w:val="87"/>
          <w:rFonts w:hint="eastAsia" w:ascii="方正仿宋_GB2312" w:hAnsi="方正仿宋_GB2312" w:eastAsia="方正仿宋_GB2312" w:cs="方正仿宋_GB2312"/>
          <w:bCs/>
          <w:color w:val="auto"/>
          <w:sz w:val="32"/>
          <w:szCs w:val="32"/>
          <w:highlight w:val="none"/>
        </w:rPr>
      </w:pPr>
      <w:r>
        <w:rPr>
          <w:rStyle w:val="87"/>
          <w:rFonts w:hint="eastAsia" w:ascii="方正仿宋_GB2312" w:hAnsi="方正仿宋_GB2312" w:eastAsia="方正仿宋_GB2312" w:cs="方正仿宋_GB2312"/>
          <w:color w:val="auto"/>
          <w:highlight w:val="none"/>
        </w:rPr>
        <w:t>磋商小组成员对需要共同认定的事项存在争议的，应当按照少数服从多数的原则作出结论。持不同意见的磋商小组成员应当在评标报告上签署不同意见及理由，否则视为同意评标报告。</w:t>
      </w:r>
      <w:bookmarkStart w:id="82" w:name="_Toc5365"/>
    </w:p>
    <w:p w14:paraId="1307146F">
      <w:pPr>
        <w:pStyle w:val="86"/>
        <w:widowControl/>
        <w:snapToGrid w:val="0"/>
        <w:spacing w:line="240" w:lineRule="auto"/>
        <w:jc w:val="center"/>
        <w:outlineLvl w:val="1"/>
        <w:rPr>
          <w:rStyle w:val="87"/>
          <w:rFonts w:hint="eastAsia" w:ascii="方正仿宋_GB2312" w:hAnsi="方正仿宋_GB2312" w:eastAsia="方正仿宋_GB2312" w:cs="方正仿宋_GB2312"/>
          <w:b w:val="0"/>
          <w:color w:val="auto"/>
          <w:sz w:val="32"/>
          <w:szCs w:val="32"/>
          <w:highlight w:val="none"/>
        </w:rPr>
      </w:pPr>
      <w:bookmarkStart w:id="83" w:name="_Toc4336"/>
      <w:r>
        <w:rPr>
          <w:rStyle w:val="87"/>
          <w:rFonts w:hint="eastAsia" w:ascii="方正仿宋_GB2312" w:hAnsi="方正仿宋_GB2312" w:eastAsia="方正仿宋_GB2312" w:cs="方正仿宋_GB2312"/>
          <w:b w:val="0"/>
          <w:color w:val="auto"/>
          <w:sz w:val="32"/>
          <w:szCs w:val="32"/>
          <w:highlight w:val="none"/>
        </w:rPr>
        <w:t>第三节 评审过程的保密与录像</w:t>
      </w:r>
      <w:bookmarkEnd w:id="82"/>
      <w:bookmarkEnd w:id="83"/>
    </w:p>
    <w:p w14:paraId="6D9863F1">
      <w:pPr>
        <w:snapToGrid w:val="0"/>
        <w:spacing w:line="360" w:lineRule="auto"/>
        <w:ind w:firstLine="422" w:firstLineChars="175"/>
        <w:textAlignment w:val="baseline"/>
        <w:rPr>
          <w:rStyle w:val="87"/>
          <w:rFonts w:hint="eastAsia" w:ascii="方正仿宋_GB2312" w:hAnsi="方正仿宋_GB2312" w:eastAsia="方正仿宋_GB2312" w:cs="方正仿宋_GB2312"/>
          <w:b/>
          <w:bCs/>
          <w:color w:val="auto"/>
          <w:sz w:val="24"/>
          <w:szCs w:val="32"/>
          <w:highlight w:val="none"/>
        </w:rPr>
      </w:pPr>
      <w:r>
        <w:rPr>
          <w:rStyle w:val="87"/>
          <w:rFonts w:hint="eastAsia" w:ascii="方正仿宋_GB2312" w:hAnsi="方正仿宋_GB2312" w:eastAsia="方正仿宋_GB2312" w:cs="方正仿宋_GB2312"/>
          <w:b/>
          <w:bCs/>
          <w:color w:val="auto"/>
          <w:sz w:val="24"/>
          <w:szCs w:val="32"/>
          <w:highlight w:val="none"/>
        </w:rPr>
        <w:t>1.保密</w:t>
      </w:r>
    </w:p>
    <w:p w14:paraId="7039978B">
      <w:pPr>
        <w:widowControl/>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highlight w:val="none"/>
        </w:rPr>
      </w:pPr>
      <w:r>
        <w:rPr>
          <w:rStyle w:val="87"/>
          <w:rFonts w:hint="eastAsia" w:ascii="方正仿宋_GB2312" w:hAnsi="方正仿宋_GB2312" w:eastAsia="方正仿宋_GB2312" w:cs="方正仿宋_GB2312"/>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38A96FF">
      <w:pPr>
        <w:widowControl/>
        <w:snapToGrid w:val="0"/>
        <w:spacing w:line="360" w:lineRule="auto"/>
        <w:ind w:firstLine="422" w:firstLineChars="175"/>
        <w:textAlignment w:val="baseline"/>
        <w:rPr>
          <w:rStyle w:val="87"/>
          <w:rFonts w:hint="eastAsia" w:ascii="方正仿宋_GB2312" w:hAnsi="方正仿宋_GB2312" w:eastAsia="方正仿宋_GB2312" w:cs="方正仿宋_GB2312"/>
          <w:b/>
          <w:bCs/>
          <w:color w:val="auto"/>
          <w:sz w:val="24"/>
          <w:szCs w:val="32"/>
          <w:highlight w:val="none"/>
        </w:rPr>
      </w:pPr>
      <w:r>
        <w:rPr>
          <w:rStyle w:val="87"/>
          <w:rFonts w:hint="eastAsia" w:ascii="方正仿宋_GB2312" w:hAnsi="方正仿宋_GB2312" w:eastAsia="方正仿宋_GB2312" w:cs="方正仿宋_GB2312"/>
          <w:b/>
          <w:bCs/>
          <w:color w:val="auto"/>
          <w:sz w:val="24"/>
          <w:szCs w:val="32"/>
          <w:highlight w:val="none"/>
        </w:rPr>
        <w:t>2.录音录像</w:t>
      </w:r>
    </w:p>
    <w:p w14:paraId="28E61B42">
      <w:pPr>
        <w:snapToGrid w:val="0"/>
        <w:spacing w:line="360" w:lineRule="auto"/>
        <w:ind w:firstLine="420" w:firstLineChars="200"/>
        <w:textAlignment w:val="baseline"/>
        <w:rPr>
          <w:rStyle w:val="87"/>
          <w:rFonts w:hint="eastAsia" w:ascii="方正仿宋_GB2312" w:hAnsi="方正仿宋_GB2312" w:eastAsia="方正仿宋_GB2312" w:cs="方正仿宋_GB2312"/>
          <w:color w:val="auto"/>
          <w:highlight w:val="none"/>
        </w:rPr>
      </w:pPr>
      <w:r>
        <w:rPr>
          <w:rStyle w:val="87"/>
          <w:rFonts w:hint="eastAsia" w:ascii="方正仿宋_GB2312" w:hAnsi="方正仿宋_GB2312" w:eastAsia="方正仿宋_GB2312" w:cs="方正仿宋_GB2312"/>
          <w:color w:val="auto"/>
          <w:highlight w:val="none"/>
        </w:rPr>
        <w:t>采购代理机构对评审工作现场及操作屏幕进行全过程录音录像，录音录像资料作为采购项目文件随其他文件一并存档。</w:t>
      </w:r>
    </w:p>
    <w:p w14:paraId="003BC3CA">
      <w:pPr>
        <w:spacing w:line="360" w:lineRule="auto"/>
        <w:ind w:firstLine="420" w:firstLineChars="200"/>
        <w:jc w:val="center"/>
        <w:outlineLvl w:val="0"/>
        <w:rPr>
          <w:rFonts w:hint="eastAsia" w:ascii="方正仿宋_GB2312" w:hAnsi="方正仿宋_GB2312" w:eastAsia="方正仿宋_GB2312" w:cs="方正仿宋_GB2312"/>
          <w:b/>
          <w:bCs/>
          <w:color w:val="auto"/>
          <w:kern w:val="44"/>
          <w:sz w:val="44"/>
          <w:szCs w:val="44"/>
          <w:highlight w:val="none"/>
        </w:rPr>
      </w:pPr>
      <w:r>
        <w:rPr>
          <w:rFonts w:hint="eastAsia" w:ascii="方正仿宋_GB2312" w:hAnsi="方正仿宋_GB2312" w:eastAsia="方正仿宋_GB2312" w:cs="方正仿宋_GB2312"/>
          <w:color w:val="auto"/>
          <w:highlight w:val="none"/>
        </w:rPr>
        <w:br w:type="page"/>
      </w:r>
      <w:bookmarkEnd w:id="79"/>
      <w:bookmarkStart w:id="84" w:name="_Toc17394"/>
      <w:bookmarkStart w:id="85" w:name="_Toc4339"/>
      <w:bookmarkStart w:id="86" w:name="_Toc11653"/>
      <w:bookmarkStart w:id="87" w:name="_Toc80205938"/>
      <w:bookmarkStart w:id="88" w:name="_Toc32402"/>
      <w:r>
        <w:rPr>
          <w:rFonts w:hint="eastAsia" w:ascii="方正仿宋_GB2312" w:hAnsi="方正仿宋_GB2312" w:eastAsia="方正仿宋_GB2312" w:cs="方正仿宋_GB2312"/>
          <w:b/>
          <w:bCs/>
          <w:color w:val="auto"/>
          <w:sz w:val="44"/>
          <w:szCs w:val="44"/>
          <w:highlight w:val="none"/>
        </w:rPr>
        <w:t>第五章 响应文件格</w:t>
      </w:r>
      <w:bookmarkEnd w:id="84"/>
      <w:r>
        <w:rPr>
          <w:rFonts w:hint="eastAsia" w:ascii="方正仿宋_GB2312" w:hAnsi="方正仿宋_GB2312" w:eastAsia="方正仿宋_GB2312" w:cs="方正仿宋_GB2312"/>
          <w:b/>
          <w:bCs/>
          <w:color w:val="auto"/>
          <w:sz w:val="44"/>
          <w:szCs w:val="44"/>
          <w:highlight w:val="none"/>
        </w:rPr>
        <w:t>式</w:t>
      </w:r>
      <w:bookmarkEnd w:id="85"/>
      <w:bookmarkEnd w:id="86"/>
    </w:p>
    <w:p w14:paraId="35D234CC">
      <w:pPr>
        <w:jc w:val="center"/>
        <w:rPr>
          <w:rFonts w:hint="eastAsia" w:ascii="方正仿宋_GB2312" w:hAnsi="方正仿宋_GB2312" w:eastAsia="方正仿宋_GB2312" w:cs="方正仿宋_GB2312"/>
          <w:b/>
          <w:bCs/>
          <w:color w:val="auto"/>
          <w:highlight w:val="none"/>
        </w:rPr>
      </w:pPr>
    </w:p>
    <w:p w14:paraId="76198209">
      <w:pPr>
        <w:pStyle w:val="3"/>
        <w:jc w:val="center"/>
        <w:rPr>
          <w:rFonts w:hint="eastAsia" w:ascii="方正仿宋_GB2312" w:hAnsi="方正仿宋_GB2312" w:eastAsia="方正仿宋_GB2312" w:cs="方正仿宋_GB2312"/>
          <w:b w:val="0"/>
          <w:bCs w:val="0"/>
          <w:color w:val="auto"/>
          <w:highlight w:val="none"/>
        </w:rPr>
      </w:pPr>
      <w:bookmarkStart w:id="89" w:name="_Toc15495"/>
      <w:bookmarkStart w:id="90" w:name="_Toc300"/>
      <w:r>
        <w:rPr>
          <w:rFonts w:hint="eastAsia" w:ascii="方正仿宋_GB2312" w:hAnsi="方正仿宋_GB2312" w:eastAsia="方正仿宋_GB2312" w:cs="方正仿宋_GB2312"/>
          <w:b w:val="0"/>
          <w:bCs w:val="0"/>
          <w:color w:val="auto"/>
          <w:highlight w:val="none"/>
        </w:rPr>
        <w:t>第一节 封面格式</w:t>
      </w:r>
      <w:bookmarkEnd w:id="87"/>
      <w:bookmarkEnd w:id="88"/>
      <w:bookmarkEnd w:id="89"/>
      <w:bookmarkEnd w:id="90"/>
    </w:p>
    <w:p w14:paraId="7D3B848F">
      <w:pPr>
        <w:snapToGrid w:val="0"/>
        <w:spacing w:before="165" w:beforeLines="50" w:after="50"/>
        <w:rPr>
          <w:rFonts w:hint="eastAsia" w:ascii="方正仿宋_GB2312" w:hAnsi="方正仿宋_GB2312" w:eastAsia="方正仿宋_GB2312" w:cs="方正仿宋_GB2312"/>
          <w:color w:val="auto"/>
          <w:sz w:val="24"/>
          <w:szCs w:val="20"/>
          <w:highlight w:val="none"/>
        </w:rPr>
      </w:pPr>
    </w:p>
    <w:p w14:paraId="28CA7FC5">
      <w:pPr>
        <w:snapToGrid w:val="0"/>
        <w:spacing w:before="165" w:beforeLines="50" w:after="50"/>
        <w:jc w:val="center"/>
        <w:rPr>
          <w:rFonts w:hint="eastAsia" w:ascii="方正仿宋_GB2312" w:hAnsi="方正仿宋_GB2312" w:eastAsia="方正仿宋_GB2312" w:cs="方正仿宋_GB2312"/>
          <w:bCs/>
          <w:color w:val="auto"/>
          <w:sz w:val="24"/>
          <w:szCs w:val="20"/>
          <w:highlight w:val="none"/>
        </w:rPr>
      </w:pPr>
    </w:p>
    <w:p w14:paraId="6B107778">
      <w:pPr>
        <w:snapToGrid w:val="0"/>
        <w:spacing w:before="165" w:beforeLines="50" w:after="50"/>
        <w:jc w:val="center"/>
        <w:rPr>
          <w:rFonts w:hint="eastAsia" w:ascii="方正仿宋_GB2312" w:hAnsi="方正仿宋_GB2312" w:eastAsia="方正仿宋_GB2312" w:cs="方正仿宋_GB2312"/>
          <w:b/>
          <w:color w:val="auto"/>
          <w:sz w:val="56"/>
          <w:szCs w:val="56"/>
          <w:highlight w:val="none"/>
        </w:rPr>
      </w:pPr>
      <w:r>
        <w:rPr>
          <w:rFonts w:hint="eastAsia" w:ascii="方正仿宋_GB2312" w:hAnsi="方正仿宋_GB2312" w:eastAsia="方正仿宋_GB2312" w:cs="方正仿宋_GB2312"/>
          <w:b/>
          <w:color w:val="auto"/>
          <w:sz w:val="56"/>
          <w:szCs w:val="56"/>
          <w:highlight w:val="none"/>
        </w:rPr>
        <w:t>响  应  文  件</w:t>
      </w:r>
    </w:p>
    <w:p w14:paraId="5F7D46C8">
      <w:pPr>
        <w:snapToGrid w:val="0"/>
        <w:spacing w:before="165" w:beforeLines="50" w:after="50"/>
        <w:rPr>
          <w:rFonts w:hint="eastAsia" w:ascii="方正仿宋_GB2312" w:hAnsi="方正仿宋_GB2312" w:eastAsia="方正仿宋_GB2312" w:cs="方正仿宋_GB2312"/>
          <w:bCs/>
          <w:color w:val="auto"/>
          <w:sz w:val="24"/>
          <w:szCs w:val="20"/>
          <w:highlight w:val="none"/>
        </w:rPr>
      </w:pPr>
    </w:p>
    <w:p w14:paraId="48A45E11">
      <w:pPr>
        <w:snapToGrid w:val="0"/>
        <w:spacing w:before="165" w:beforeLines="50" w:after="50"/>
        <w:rPr>
          <w:rFonts w:hint="eastAsia" w:ascii="方正仿宋_GB2312" w:hAnsi="方正仿宋_GB2312" w:eastAsia="方正仿宋_GB2312" w:cs="方正仿宋_GB2312"/>
          <w:bCs/>
          <w:color w:val="auto"/>
          <w:sz w:val="24"/>
          <w:szCs w:val="20"/>
          <w:highlight w:val="none"/>
        </w:rPr>
      </w:pPr>
    </w:p>
    <w:p w14:paraId="23B9902E">
      <w:pPr>
        <w:snapToGrid w:val="0"/>
        <w:spacing w:before="165" w:beforeLines="50" w:after="50"/>
        <w:rPr>
          <w:rFonts w:hint="eastAsia" w:ascii="方正仿宋_GB2312" w:hAnsi="方正仿宋_GB2312" w:eastAsia="方正仿宋_GB2312" w:cs="方正仿宋_GB2312"/>
          <w:bCs/>
          <w:color w:val="auto"/>
          <w:sz w:val="32"/>
          <w:szCs w:val="32"/>
          <w:highlight w:val="none"/>
        </w:rPr>
      </w:pPr>
    </w:p>
    <w:p w14:paraId="5B17CB52">
      <w:pPr>
        <w:snapToGrid w:val="0"/>
        <w:spacing w:before="165" w:beforeLines="50" w:after="50"/>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项目名称：</w:t>
      </w:r>
    </w:p>
    <w:p w14:paraId="65238346">
      <w:pPr>
        <w:snapToGrid w:val="0"/>
        <w:spacing w:before="165" w:beforeLines="50" w:after="50"/>
        <w:ind w:firstLine="480" w:firstLineChars="150"/>
        <w:rPr>
          <w:rFonts w:hint="eastAsia" w:ascii="方正仿宋_GB2312" w:hAnsi="方正仿宋_GB2312" w:eastAsia="方正仿宋_GB2312" w:cs="方正仿宋_GB2312"/>
          <w:bCs/>
          <w:color w:val="auto"/>
          <w:sz w:val="32"/>
          <w:szCs w:val="32"/>
          <w:highlight w:val="none"/>
        </w:rPr>
      </w:pPr>
    </w:p>
    <w:p w14:paraId="04185538">
      <w:pPr>
        <w:snapToGrid w:val="0"/>
        <w:spacing w:before="165" w:beforeLines="50" w:after="50"/>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项目编号：</w:t>
      </w:r>
    </w:p>
    <w:p w14:paraId="74C16EEA">
      <w:pPr>
        <w:snapToGrid w:val="0"/>
        <w:spacing w:before="165" w:beforeLines="50" w:after="50"/>
        <w:ind w:firstLine="480" w:firstLineChars="150"/>
        <w:rPr>
          <w:rFonts w:hint="eastAsia" w:ascii="方正仿宋_GB2312" w:hAnsi="方正仿宋_GB2312" w:eastAsia="方正仿宋_GB2312" w:cs="方正仿宋_GB2312"/>
          <w:bCs/>
          <w:color w:val="auto"/>
          <w:sz w:val="32"/>
          <w:szCs w:val="32"/>
          <w:highlight w:val="none"/>
        </w:rPr>
      </w:pPr>
    </w:p>
    <w:p w14:paraId="6F924597">
      <w:pPr>
        <w:snapToGrid w:val="0"/>
        <w:spacing w:before="165" w:beforeLines="50" w:after="50"/>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所竞分标（如有则填写，无分标时填写“无”或者留空）：</w:t>
      </w:r>
    </w:p>
    <w:p w14:paraId="6D15B178">
      <w:pPr>
        <w:snapToGrid w:val="0"/>
        <w:spacing w:before="165" w:beforeLines="50" w:after="50"/>
        <w:rPr>
          <w:rFonts w:hint="eastAsia" w:ascii="方正仿宋_GB2312" w:hAnsi="方正仿宋_GB2312" w:eastAsia="方正仿宋_GB2312" w:cs="方正仿宋_GB2312"/>
          <w:bCs/>
          <w:color w:val="auto"/>
          <w:sz w:val="32"/>
          <w:szCs w:val="32"/>
          <w:highlight w:val="none"/>
        </w:rPr>
      </w:pPr>
    </w:p>
    <w:p w14:paraId="09542B01">
      <w:pPr>
        <w:snapToGrid w:val="0"/>
        <w:spacing w:before="165" w:beforeLines="50" w:after="50"/>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供应商名称：</w:t>
      </w:r>
    </w:p>
    <w:p w14:paraId="29B1E3D4">
      <w:pPr>
        <w:snapToGrid w:val="0"/>
        <w:spacing w:before="165" w:beforeLines="50" w:after="50"/>
        <w:rPr>
          <w:rFonts w:hint="eastAsia" w:ascii="方正仿宋_GB2312" w:hAnsi="方正仿宋_GB2312" w:eastAsia="方正仿宋_GB2312" w:cs="方正仿宋_GB2312"/>
          <w:bCs/>
          <w:color w:val="auto"/>
          <w:sz w:val="32"/>
          <w:szCs w:val="32"/>
          <w:highlight w:val="none"/>
        </w:rPr>
      </w:pPr>
    </w:p>
    <w:p w14:paraId="08068F38">
      <w:pPr>
        <w:snapToGrid w:val="0"/>
        <w:spacing w:before="165" w:beforeLines="50" w:after="50"/>
        <w:ind w:firstLine="480" w:firstLineChars="150"/>
        <w:jc w:val="center"/>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首次响应文件提交截止时间前不得解密</w:t>
      </w:r>
    </w:p>
    <w:p w14:paraId="458F16EC">
      <w:pPr>
        <w:snapToGrid w:val="0"/>
        <w:spacing w:before="165" w:beforeLines="50" w:after="50"/>
        <w:ind w:firstLine="5440" w:firstLineChars="1700"/>
        <w:jc w:val="center"/>
        <w:rPr>
          <w:rFonts w:hint="eastAsia" w:ascii="方正仿宋_GB2312" w:hAnsi="方正仿宋_GB2312" w:eastAsia="方正仿宋_GB2312" w:cs="方正仿宋_GB2312"/>
          <w:bCs/>
          <w:color w:val="auto"/>
          <w:sz w:val="32"/>
          <w:szCs w:val="32"/>
          <w:highlight w:val="none"/>
        </w:rPr>
      </w:pPr>
    </w:p>
    <w:p w14:paraId="0FACAE81">
      <w:pPr>
        <w:snapToGrid w:val="0"/>
        <w:spacing w:before="165" w:beforeLines="50" w:after="50"/>
        <w:ind w:firstLine="645"/>
        <w:jc w:val="center"/>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年    月    日</w:t>
      </w:r>
    </w:p>
    <w:p w14:paraId="42058806">
      <w:pPr>
        <w:rPr>
          <w:rFonts w:hint="eastAsia" w:ascii="方正仿宋_GB2312" w:hAnsi="方正仿宋_GB2312" w:eastAsia="方正仿宋_GB2312" w:cs="方正仿宋_GB2312"/>
          <w:color w:val="auto"/>
          <w:highlight w:val="none"/>
        </w:rPr>
        <w:sectPr>
          <w:pgSz w:w="11905" w:h="16838"/>
          <w:pgMar w:top="1440" w:right="1080" w:bottom="1440" w:left="1080" w:header="720" w:footer="720" w:gutter="0"/>
          <w:pgNumType w:fmt="decimal"/>
          <w:cols w:space="720" w:num="1"/>
          <w:docGrid w:type="lines" w:linePitch="331" w:charSpace="0"/>
        </w:sectPr>
      </w:pPr>
    </w:p>
    <w:p w14:paraId="62130C11">
      <w:pPr>
        <w:pStyle w:val="3"/>
        <w:jc w:val="center"/>
        <w:rPr>
          <w:rFonts w:hint="eastAsia" w:ascii="方正仿宋_GB2312" w:hAnsi="方正仿宋_GB2312" w:eastAsia="方正仿宋_GB2312" w:cs="方正仿宋_GB2312"/>
          <w:b w:val="0"/>
          <w:color w:val="auto"/>
          <w:highlight w:val="none"/>
        </w:rPr>
      </w:pPr>
      <w:bookmarkStart w:id="91" w:name="_Toc1390"/>
      <w:bookmarkStart w:id="92" w:name="_Toc1555"/>
      <w:bookmarkStart w:id="93" w:name="_Toc22829"/>
      <w:bookmarkStart w:id="94" w:name="_Toc80205939"/>
      <w:r>
        <w:rPr>
          <w:rFonts w:hint="eastAsia" w:ascii="方正仿宋_GB2312" w:hAnsi="方正仿宋_GB2312" w:eastAsia="方正仿宋_GB2312" w:cs="方正仿宋_GB2312"/>
          <w:b w:val="0"/>
          <w:color w:val="auto"/>
          <w:highlight w:val="none"/>
        </w:rPr>
        <w:t>第二节 资格证明文件格式</w:t>
      </w:r>
      <w:bookmarkEnd w:id="91"/>
      <w:bookmarkEnd w:id="92"/>
      <w:bookmarkEnd w:id="93"/>
      <w:bookmarkEnd w:id="94"/>
    </w:p>
    <w:p w14:paraId="7C8E0A1F">
      <w:pPr>
        <w:snapToGrid w:val="0"/>
        <w:spacing w:before="120" w:beforeLines="50" w:after="50"/>
        <w:rPr>
          <w:rFonts w:hint="eastAsia" w:ascii="方正仿宋_GB2312" w:hAnsi="方正仿宋_GB2312" w:eastAsia="方正仿宋_GB2312" w:cs="方正仿宋_GB2312"/>
          <w:bCs/>
          <w:color w:val="auto"/>
          <w:sz w:val="32"/>
          <w:szCs w:val="20"/>
          <w:highlight w:val="none"/>
        </w:rPr>
      </w:pP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bCs/>
          <w:color w:val="auto"/>
          <w:highlight w:val="none"/>
        </w:rPr>
        <w:t>全流程电子文件</w:t>
      </w:r>
    </w:p>
    <w:p w14:paraId="71359586">
      <w:pPr>
        <w:snapToGrid w:val="0"/>
        <w:spacing w:before="120" w:beforeLines="50" w:after="50"/>
        <w:rPr>
          <w:rFonts w:hint="eastAsia" w:ascii="方正仿宋_GB2312" w:hAnsi="方正仿宋_GB2312" w:eastAsia="方正仿宋_GB2312" w:cs="方正仿宋_GB2312"/>
          <w:color w:val="auto"/>
          <w:sz w:val="24"/>
          <w:szCs w:val="20"/>
          <w:highlight w:val="none"/>
        </w:rPr>
      </w:pPr>
    </w:p>
    <w:p w14:paraId="0A806499">
      <w:pPr>
        <w:snapToGrid w:val="0"/>
        <w:spacing w:before="120" w:beforeLines="50" w:after="50"/>
        <w:rPr>
          <w:rFonts w:hint="eastAsia" w:ascii="方正仿宋_GB2312" w:hAnsi="方正仿宋_GB2312" w:eastAsia="方正仿宋_GB2312" w:cs="方正仿宋_GB2312"/>
          <w:color w:val="auto"/>
          <w:sz w:val="24"/>
          <w:szCs w:val="20"/>
          <w:highlight w:val="none"/>
        </w:rPr>
      </w:pPr>
    </w:p>
    <w:p w14:paraId="1F2969F2">
      <w:pPr>
        <w:snapToGrid w:val="0"/>
        <w:spacing w:before="120" w:beforeLines="50" w:after="50"/>
        <w:jc w:val="center"/>
        <w:rPr>
          <w:rFonts w:hint="eastAsia" w:ascii="方正仿宋_GB2312" w:hAnsi="方正仿宋_GB2312" w:eastAsia="方正仿宋_GB2312" w:cs="方正仿宋_GB2312"/>
          <w:b/>
          <w:color w:val="auto"/>
          <w:sz w:val="52"/>
          <w:szCs w:val="52"/>
          <w:highlight w:val="none"/>
        </w:rPr>
      </w:pPr>
      <w:r>
        <w:rPr>
          <w:rFonts w:hint="eastAsia" w:ascii="方正仿宋_GB2312" w:hAnsi="方正仿宋_GB2312" w:eastAsia="方正仿宋_GB2312" w:cs="方正仿宋_GB2312"/>
          <w:b/>
          <w:color w:val="auto"/>
          <w:sz w:val="52"/>
          <w:szCs w:val="52"/>
          <w:highlight w:val="none"/>
        </w:rPr>
        <w:t>资格证明文件（封面）</w:t>
      </w:r>
    </w:p>
    <w:p w14:paraId="139029F2">
      <w:pPr>
        <w:snapToGrid w:val="0"/>
        <w:spacing w:before="120" w:beforeLines="50" w:after="50"/>
        <w:rPr>
          <w:rFonts w:hint="eastAsia" w:ascii="方正仿宋_GB2312" w:hAnsi="方正仿宋_GB2312" w:eastAsia="方正仿宋_GB2312" w:cs="方正仿宋_GB2312"/>
          <w:bCs/>
          <w:color w:val="auto"/>
          <w:sz w:val="24"/>
          <w:szCs w:val="20"/>
          <w:highlight w:val="none"/>
        </w:rPr>
      </w:pPr>
    </w:p>
    <w:p w14:paraId="40737495">
      <w:pPr>
        <w:snapToGrid w:val="0"/>
        <w:spacing w:before="120" w:beforeLines="50" w:after="50"/>
        <w:rPr>
          <w:rFonts w:hint="eastAsia" w:ascii="方正仿宋_GB2312" w:hAnsi="方正仿宋_GB2312" w:eastAsia="方正仿宋_GB2312" w:cs="方正仿宋_GB2312"/>
          <w:bCs/>
          <w:color w:val="auto"/>
          <w:sz w:val="24"/>
          <w:szCs w:val="20"/>
          <w:highlight w:val="none"/>
        </w:rPr>
      </w:pPr>
    </w:p>
    <w:p w14:paraId="2ABEDFC0">
      <w:pPr>
        <w:snapToGrid w:val="0"/>
        <w:spacing w:before="120" w:beforeLines="50" w:after="50"/>
        <w:rPr>
          <w:rFonts w:hint="eastAsia" w:ascii="方正仿宋_GB2312" w:hAnsi="方正仿宋_GB2312" w:eastAsia="方正仿宋_GB2312" w:cs="方正仿宋_GB2312"/>
          <w:bCs/>
          <w:color w:val="auto"/>
          <w:sz w:val="24"/>
          <w:szCs w:val="20"/>
          <w:highlight w:val="none"/>
        </w:rPr>
      </w:pPr>
    </w:p>
    <w:p w14:paraId="3692DB62">
      <w:pPr>
        <w:snapToGrid w:val="0"/>
        <w:spacing w:before="120" w:beforeLines="50" w:after="50"/>
        <w:rPr>
          <w:rFonts w:hint="eastAsia" w:ascii="方正仿宋_GB2312" w:hAnsi="方正仿宋_GB2312" w:eastAsia="方正仿宋_GB2312" w:cs="方正仿宋_GB2312"/>
          <w:bCs/>
          <w:color w:val="auto"/>
          <w:sz w:val="24"/>
          <w:szCs w:val="20"/>
          <w:highlight w:val="none"/>
        </w:rPr>
      </w:pPr>
    </w:p>
    <w:p w14:paraId="67B94034">
      <w:pPr>
        <w:snapToGrid w:val="0"/>
        <w:spacing w:before="120" w:beforeLines="50" w:after="50"/>
        <w:rPr>
          <w:rFonts w:hint="eastAsia" w:ascii="方正仿宋_GB2312" w:hAnsi="方正仿宋_GB2312" w:eastAsia="方正仿宋_GB2312" w:cs="方正仿宋_GB2312"/>
          <w:bCs/>
          <w:color w:val="auto"/>
          <w:sz w:val="24"/>
          <w:szCs w:val="20"/>
          <w:highlight w:val="none"/>
        </w:rPr>
      </w:pPr>
    </w:p>
    <w:p w14:paraId="7C95EE3C">
      <w:pPr>
        <w:snapToGrid w:val="0"/>
        <w:spacing w:before="120" w:beforeLines="50" w:after="50"/>
        <w:ind w:firstLine="720" w:firstLineChars="225"/>
        <w:rPr>
          <w:rFonts w:hint="eastAsia" w:ascii="方正仿宋_GB2312" w:hAnsi="方正仿宋_GB2312" w:eastAsia="方正仿宋_GB2312" w:cs="方正仿宋_GB2312"/>
          <w:bCs/>
          <w:color w:val="auto"/>
          <w:sz w:val="32"/>
          <w:szCs w:val="32"/>
          <w:highlight w:val="none"/>
        </w:rPr>
      </w:pPr>
    </w:p>
    <w:p w14:paraId="6B4996FA">
      <w:pPr>
        <w:snapToGrid w:val="0"/>
        <w:spacing w:before="120" w:beforeLines="50" w:after="50"/>
        <w:ind w:firstLine="720" w:firstLineChars="225"/>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项目名称：</w:t>
      </w:r>
    </w:p>
    <w:p w14:paraId="25266D7C">
      <w:pPr>
        <w:snapToGrid w:val="0"/>
        <w:spacing w:before="120" w:beforeLines="50" w:after="50"/>
        <w:ind w:firstLine="720" w:firstLineChars="225"/>
        <w:rPr>
          <w:rFonts w:hint="eastAsia" w:ascii="方正仿宋_GB2312" w:hAnsi="方正仿宋_GB2312" w:eastAsia="方正仿宋_GB2312" w:cs="方正仿宋_GB2312"/>
          <w:bCs/>
          <w:color w:val="auto"/>
          <w:sz w:val="32"/>
          <w:szCs w:val="32"/>
          <w:highlight w:val="none"/>
        </w:rPr>
      </w:pPr>
    </w:p>
    <w:p w14:paraId="403C1906">
      <w:pPr>
        <w:snapToGrid w:val="0"/>
        <w:spacing w:before="120" w:beforeLines="50" w:after="50"/>
        <w:ind w:firstLine="720" w:firstLineChars="225"/>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项目编号：</w:t>
      </w:r>
    </w:p>
    <w:p w14:paraId="64684C64">
      <w:pPr>
        <w:snapToGrid w:val="0"/>
        <w:spacing w:before="120" w:beforeLines="50" w:after="50"/>
        <w:ind w:firstLine="720" w:firstLineChars="225"/>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 xml:space="preserve"> </w:t>
      </w:r>
    </w:p>
    <w:p w14:paraId="55704492">
      <w:pPr>
        <w:snapToGrid w:val="0"/>
        <w:spacing w:before="120" w:beforeLines="50" w:after="50"/>
        <w:ind w:firstLine="720" w:firstLineChars="225"/>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所竞分标（如有则填写，无分标时填写“无”或者留空）：</w:t>
      </w:r>
    </w:p>
    <w:p w14:paraId="24D61977">
      <w:pPr>
        <w:snapToGrid w:val="0"/>
        <w:spacing w:before="120" w:beforeLines="50" w:after="50"/>
        <w:ind w:firstLine="720" w:firstLineChars="225"/>
        <w:rPr>
          <w:rFonts w:hint="eastAsia" w:ascii="方正仿宋_GB2312" w:hAnsi="方正仿宋_GB2312" w:eastAsia="方正仿宋_GB2312" w:cs="方正仿宋_GB2312"/>
          <w:bCs/>
          <w:color w:val="auto"/>
          <w:sz w:val="32"/>
          <w:szCs w:val="32"/>
          <w:highlight w:val="none"/>
        </w:rPr>
      </w:pPr>
    </w:p>
    <w:p w14:paraId="0512104A">
      <w:pPr>
        <w:pStyle w:val="7"/>
        <w:snapToGrid w:val="0"/>
        <w:spacing w:before="50" w:after="50"/>
        <w:ind w:firstLine="720" w:firstLineChars="225"/>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供应商名称：</w:t>
      </w:r>
    </w:p>
    <w:p w14:paraId="68E2A9C6">
      <w:pPr>
        <w:pStyle w:val="7"/>
        <w:snapToGrid w:val="0"/>
        <w:spacing w:before="50" w:after="50"/>
        <w:ind w:firstLine="720" w:firstLineChars="225"/>
        <w:rPr>
          <w:rFonts w:hint="eastAsia" w:ascii="方正仿宋_GB2312" w:hAnsi="方正仿宋_GB2312" w:eastAsia="方正仿宋_GB2312" w:cs="方正仿宋_GB2312"/>
          <w:bCs/>
          <w:color w:val="auto"/>
          <w:sz w:val="32"/>
          <w:szCs w:val="32"/>
          <w:highlight w:val="none"/>
        </w:rPr>
      </w:pPr>
    </w:p>
    <w:p w14:paraId="12B08758">
      <w:pPr>
        <w:pStyle w:val="7"/>
        <w:snapToGrid w:val="0"/>
        <w:spacing w:before="50" w:after="50"/>
        <w:ind w:firstLine="720" w:firstLineChars="225"/>
        <w:rPr>
          <w:rFonts w:hint="eastAsia" w:ascii="方正仿宋_GB2312" w:hAnsi="方正仿宋_GB2312" w:eastAsia="方正仿宋_GB2312" w:cs="方正仿宋_GB2312"/>
          <w:bCs/>
          <w:color w:val="auto"/>
          <w:sz w:val="32"/>
          <w:szCs w:val="32"/>
          <w:highlight w:val="none"/>
        </w:rPr>
      </w:pPr>
    </w:p>
    <w:p w14:paraId="4255F32E">
      <w:pPr>
        <w:pStyle w:val="7"/>
        <w:snapToGrid w:val="0"/>
        <w:spacing w:before="50" w:after="50"/>
        <w:ind w:firstLine="720" w:firstLineChars="225"/>
        <w:rPr>
          <w:rFonts w:hint="eastAsia" w:ascii="方正仿宋_GB2312" w:hAnsi="方正仿宋_GB2312" w:eastAsia="方正仿宋_GB2312" w:cs="方正仿宋_GB2312"/>
          <w:bCs/>
          <w:color w:val="auto"/>
          <w:sz w:val="32"/>
          <w:szCs w:val="32"/>
          <w:highlight w:val="none"/>
        </w:rPr>
      </w:pPr>
    </w:p>
    <w:p w14:paraId="28A437AF">
      <w:pPr>
        <w:pStyle w:val="7"/>
        <w:snapToGrid w:val="0"/>
        <w:spacing w:before="50" w:after="50"/>
        <w:ind w:firstLine="1280" w:firstLineChars="400"/>
        <w:rPr>
          <w:rFonts w:hint="eastAsia" w:ascii="方正仿宋_GB2312" w:hAnsi="方正仿宋_GB2312" w:eastAsia="方正仿宋_GB2312" w:cs="方正仿宋_GB2312"/>
          <w:bCs/>
          <w:color w:val="auto"/>
          <w:sz w:val="32"/>
          <w:szCs w:val="32"/>
          <w:highlight w:val="none"/>
        </w:rPr>
      </w:pPr>
    </w:p>
    <w:p w14:paraId="164EB005">
      <w:pPr>
        <w:snapToGrid w:val="0"/>
        <w:spacing w:before="120" w:beforeLines="50" w:after="50"/>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年    月    日</w:t>
      </w:r>
    </w:p>
    <w:p w14:paraId="2FC34512">
      <w:pPr>
        <w:snapToGrid w:val="0"/>
        <w:spacing w:before="120" w:beforeLines="50" w:after="50" w:line="360" w:lineRule="auto"/>
        <w:jc w:val="center"/>
        <w:rPr>
          <w:rFonts w:hint="eastAsia" w:ascii="方正仿宋_GB2312" w:hAnsi="方正仿宋_GB2312" w:eastAsia="方正仿宋_GB2312" w:cs="方正仿宋_GB2312"/>
          <w:b/>
          <w:color w:val="auto"/>
          <w:kern w:val="0"/>
          <w:sz w:val="36"/>
          <w:szCs w:val="36"/>
          <w:highlight w:val="none"/>
        </w:rPr>
      </w:pPr>
      <w:r>
        <w:rPr>
          <w:rFonts w:hint="eastAsia" w:ascii="方正仿宋_GB2312" w:hAnsi="方正仿宋_GB2312" w:eastAsia="方正仿宋_GB2312" w:cs="方正仿宋_GB2312"/>
          <w:color w:val="auto"/>
          <w:sz w:val="24"/>
          <w:highlight w:val="none"/>
        </w:rPr>
        <w:br w:type="page"/>
      </w:r>
      <w:r>
        <w:rPr>
          <w:rFonts w:hint="eastAsia" w:ascii="方正仿宋_GB2312" w:hAnsi="方正仿宋_GB2312" w:eastAsia="方正仿宋_GB2312" w:cs="方正仿宋_GB2312"/>
          <w:b/>
          <w:color w:val="auto"/>
          <w:kern w:val="0"/>
          <w:sz w:val="36"/>
          <w:szCs w:val="36"/>
          <w:highlight w:val="none"/>
        </w:rPr>
        <w:t>资格证明文件目录</w:t>
      </w:r>
    </w:p>
    <w:p w14:paraId="37908880">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供应商为法人或者其他组织的提供其营业执照等证明文件（如营业执照或者事业单位法人证书或者执业许可证等），供应商为自然人的提供其身份证复印件</w:t>
      </w:r>
      <w:r>
        <w:rPr>
          <w:rFonts w:hint="eastAsia" w:ascii="仿宋" w:hAnsi="仿宋" w:eastAsia="仿宋" w:cs="仿宋"/>
          <w:color w:val="auto"/>
          <w:kern w:val="0"/>
          <w:sz w:val="24"/>
          <w:highlight w:val="none"/>
        </w:rPr>
        <w:t>……………………（页码）</w:t>
      </w:r>
    </w:p>
    <w:p w14:paraId="67AF3F5E">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二、供应商依法缴纳税收的相关材料………………………………………………………（页码）</w:t>
      </w:r>
    </w:p>
    <w:p w14:paraId="20DD6B1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三</w:t>
      </w:r>
      <w:r>
        <w:rPr>
          <w:rFonts w:hint="eastAsia" w:ascii="仿宋" w:hAnsi="仿宋" w:eastAsia="仿宋" w:cs="仿宋"/>
          <w:color w:val="auto"/>
          <w:kern w:val="0"/>
          <w:sz w:val="24"/>
          <w:highlight w:val="none"/>
        </w:rPr>
        <w:t>、供应商依法缴纳社会保障资金的相关材料……………………………………………（页码）</w:t>
      </w:r>
    </w:p>
    <w:p w14:paraId="7B2513C7">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四</w:t>
      </w:r>
      <w:r>
        <w:rPr>
          <w:rFonts w:hint="eastAsia" w:ascii="仿宋" w:hAnsi="仿宋" w:eastAsia="仿宋" w:cs="仿宋"/>
          <w:color w:val="auto"/>
          <w:kern w:val="0"/>
          <w:sz w:val="24"/>
          <w:highlight w:val="none"/>
        </w:rPr>
        <w:t>、供应商财务状况报告……………………………………………………………………（页码）</w:t>
      </w:r>
    </w:p>
    <w:p w14:paraId="3963D6B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五</w:t>
      </w:r>
      <w:r>
        <w:rPr>
          <w:rFonts w:hint="eastAsia" w:ascii="仿宋" w:hAnsi="仿宋" w:eastAsia="仿宋" w:cs="仿宋"/>
          <w:color w:val="auto"/>
          <w:sz w:val="24"/>
          <w:highlight w:val="none"/>
        </w:rPr>
        <w:t>、供应商直接控股、管理关系信息表</w:t>
      </w:r>
      <w:r>
        <w:rPr>
          <w:rFonts w:hint="eastAsia" w:ascii="仿宋" w:hAnsi="仿宋" w:eastAsia="仿宋" w:cs="仿宋"/>
          <w:color w:val="auto"/>
          <w:kern w:val="0"/>
          <w:sz w:val="24"/>
          <w:highlight w:val="none"/>
        </w:rPr>
        <w:t>……………………………………………………（页码）</w:t>
      </w:r>
    </w:p>
    <w:p w14:paraId="0E414BA2">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六</w:t>
      </w:r>
      <w:r>
        <w:rPr>
          <w:rFonts w:hint="eastAsia" w:ascii="仿宋" w:hAnsi="仿宋" w:eastAsia="仿宋" w:cs="仿宋"/>
          <w:color w:val="auto"/>
          <w:kern w:val="0"/>
          <w:sz w:val="24"/>
          <w:highlight w:val="none"/>
        </w:rPr>
        <w:t>、资格声明函………………………………………………………………………………（页码）</w:t>
      </w:r>
    </w:p>
    <w:p w14:paraId="08C265F4">
      <w:pPr>
        <w:pStyle w:val="89"/>
        <w:ind w:firstLine="0" w:firstLineChars="0"/>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七、特定资格要求</w:t>
      </w:r>
      <w:r>
        <w:rPr>
          <w:rFonts w:hint="eastAsia" w:ascii="仿宋" w:hAnsi="仿宋" w:eastAsia="仿宋" w:cs="仿宋"/>
          <w:color w:val="auto"/>
          <w:kern w:val="0"/>
          <w:sz w:val="24"/>
          <w:highlight w:val="none"/>
        </w:rPr>
        <w:t>……………………………………………………………………………（页码）</w:t>
      </w:r>
    </w:p>
    <w:p w14:paraId="4D9EEC8F">
      <w:pPr>
        <w:pStyle w:val="89"/>
        <w:ind w:firstLine="0" w:firstLineChars="0"/>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八、</w:t>
      </w:r>
      <w:r>
        <w:rPr>
          <w:rFonts w:hint="eastAsia" w:ascii="方正仿宋_GB2312" w:hAnsi="方正仿宋_GB2312" w:eastAsia="方正仿宋_GB2312" w:cs="方正仿宋_GB2312"/>
          <w:color w:val="auto"/>
          <w:szCs w:val="21"/>
          <w:highlight w:val="none"/>
        </w:rPr>
        <w:t>中小企业声明函或残疾人福利性单位声明函或供应商属于监狱企业的证明材料</w:t>
      </w:r>
      <w:r>
        <w:rPr>
          <w:rFonts w:hint="eastAsia" w:ascii="仿宋" w:hAnsi="仿宋" w:eastAsia="仿宋" w:cs="仿宋"/>
          <w:color w:val="auto"/>
          <w:highlight w:val="none"/>
        </w:rPr>
        <w:t>…（页码）</w:t>
      </w:r>
    </w:p>
    <w:p w14:paraId="6BF98D15">
      <w:pPr>
        <w:pStyle w:val="89"/>
        <w:ind w:firstLine="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九</w:t>
      </w:r>
      <w:r>
        <w:rPr>
          <w:rFonts w:hint="eastAsia" w:ascii="仿宋" w:hAnsi="仿宋" w:eastAsia="仿宋" w:cs="仿宋"/>
          <w:color w:val="auto"/>
          <w:szCs w:val="24"/>
          <w:highlight w:val="none"/>
        </w:rPr>
        <w:t>、除磋商文件规定必须提供以外，供应商认为需要提供的其他证明材料</w:t>
      </w:r>
      <w:r>
        <w:rPr>
          <w:rFonts w:hint="eastAsia" w:ascii="仿宋" w:hAnsi="仿宋" w:eastAsia="仿宋" w:cs="仿宋"/>
          <w:color w:val="auto"/>
          <w:highlight w:val="none"/>
        </w:rPr>
        <w:t>……………（页码）</w:t>
      </w:r>
    </w:p>
    <w:p w14:paraId="6F5DCEF6">
      <w:pPr>
        <w:pStyle w:val="89"/>
        <w:ind w:firstLine="0" w:firstLineChars="0"/>
        <w:rPr>
          <w:rFonts w:hint="eastAsia" w:ascii="仿宋" w:hAnsi="仿宋" w:eastAsia="仿宋" w:cs="仿宋"/>
          <w:color w:val="auto"/>
          <w:highlight w:val="none"/>
        </w:rPr>
      </w:pPr>
    </w:p>
    <w:p w14:paraId="1A9F808D">
      <w:pPr>
        <w:spacing w:line="360" w:lineRule="auto"/>
        <w:rPr>
          <w:rFonts w:hint="eastAsia" w:ascii="方正仿宋_GB2312" w:hAnsi="方正仿宋_GB2312" w:eastAsia="方正仿宋_GB2312" w:cs="方正仿宋_GB2312"/>
          <w:b/>
          <w:bCs/>
          <w:color w:val="auto"/>
          <w:sz w:val="24"/>
          <w:highlight w:val="none"/>
        </w:rPr>
      </w:pPr>
    </w:p>
    <w:p w14:paraId="305B9131">
      <w:pPr>
        <w:spacing w:line="360" w:lineRule="auto"/>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注：以上目录是编制供应商响应文件的基本格式要求，各供应商可根据自身情况进一步细化。</w:t>
      </w:r>
    </w:p>
    <w:p w14:paraId="74E1664F">
      <w:pPr>
        <w:snapToGrid w:val="0"/>
        <w:spacing w:before="120" w:beforeLines="50" w:after="50" w:line="360" w:lineRule="auto"/>
        <w:ind w:left="142" w:firstLine="420" w:firstLineChars="200"/>
        <w:jc w:val="left"/>
        <w:rPr>
          <w:rFonts w:hint="eastAsia" w:ascii="方正仿宋_GB2312" w:hAnsi="方正仿宋_GB2312" w:eastAsia="方正仿宋_GB2312" w:cs="方正仿宋_GB2312"/>
          <w:color w:val="auto"/>
          <w:szCs w:val="21"/>
          <w:highlight w:val="none"/>
        </w:rPr>
      </w:pPr>
    </w:p>
    <w:p w14:paraId="0D46B11E">
      <w:pPr>
        <w:spacing w:line="300" w:lineRule="auto"/>
        <w:rPr>
          <w:rFonts w:hint="eastAsia" w:ascii="方正仿宋_GB2312" w:hAnsi="方正仿宋_GB2312" w:eastAsia="方正仿宋_GB2312" w:cs="方正仿宋_GB2312"/>
          <w:color w:val="auto"/>
          <w:szCs w:val="21"/>
          <w:highlight w:val="none"/>
        </w:rPr>
      </w:pPr>
    </w:p>
    <w:p w14:paraId="62706839">
      <w:pPr>
        <w:spacing w:line="300" w:lineRule="auto"/>
        <w:rPr>
          <w:rFonts w:hint="eastAsia" w:ascii="方正仿宋_GB2312" w:hAnsi="方正仿宋_GB2312" w:eastAsia="方正仿宋_GB2312" w:cs="方正仿宋_GB2312"/>
          <w:color w:val="auto"/>
          <w:szCs w:val="21"/>
          <w:highlight w:val="none"/>
        </w:rPr>
      </w:pPr>
    </w:p>
    <w:p w14:paraId="1E35E645">
      <w:pPr>
        <w:spacing w:line="300" w:lineRule="auto"/>
        <w:rPr>
          <w:rFonts w:hint="eastAsia" w:ascii="方正仿宋_GB2312" w:hAnsi="方正仿宋_GB2312" w:eastAsia="方正仿宋_GB2312" w:cs="方正仿宋_GB2312"/>
          <w:color w:val="auto"/>
          <w:szCs w:val="21"/>
          <w:highlight w:val="none"/>
        </w:rPr>
      </w:pPr>
    </w:p>
    <w:p w14:paraId="22A6F5CC">
      <w:pPr>
        <w:spacing w:line="300" w:lineRule="auto"/>
        <w:rPr>
          <w:rFonts w:hint="eastAsia" w:ascii="方正仿宋_GB2312" w:hAnsi="方正仿宋_GB2312" w:eastAsia="方正仿宋_GB2312" w:cs="方正仿宋_GB2312"/>
          <w:color w:val="auto"/>
          <w:szCs w:val="21"/>
          <w:highlight w:val="none"/>
        </w:rPr>
      </w:pPr>
    </w:p>
    <w:p w14:paraId="5AFF8EFD">
      <w:pPr>
        <w:spacing w:line="300" w:lineRule="auto"/>
        <w:rPr>
          <w:rFonts w:hint="eastAsia" w:ascii="方正仿宋_GB2312" w:hAnsi="方正仿宋_GB2312" w:eastAsia="方正仿宋_GB2312" w:cs="方正仿宋_GB2312"/>
          <w:color w:val="auto"/>
          <w:szCs w:val="21"/>
          <w:highlight w:val="none"/>
        </w:rPr>
      </w:pPr>
    </w:p>
    <w:p w14:paraId="76E95928">
      <w:pPr>
        <w:spacing w:line="300" w:lineRule="auto"/>
        <w:rPr>
          <w:rFonts w:hint="eastAsia" w:ascii="方正仿宋_GB2312" w:hAnsi="方正仿宋_GB2312" w:eastAsia="方正仿宋_GB2312" w:cs="方正仿宋_GB2312"/>
          <w:color w:val="auto"/>
          <w:szCs w:val="21"/>
          <w:highlight w:val="none"/>
        </w:rPr>
      </w:pPr>
    </w:p>
    <w:p w14:paraId="51A7C553">
      <w:pPr>
        <w:pStyle w:val="17"/>
        <w:spacing w:line="360" w:lineRule="auto"/>
        <w:ind w:firstLine="602" w:firstLineChars="200"/>
        <w:rPr>
          <w:rFonts w:hint="eastAsia" w:ascii="方正仿宋_GB2312" w:hAnsi="方正仿宋_GB2312" w:eastAsia="方正仿宋_GB2312" w:cs="方正仿宋_GB2312"/>
          <w:b/>
          <w:color w:val="auto"/>
          <w:sz w:val="30"/>
          <w:szCs w:val="30"/>
          <w:highlight w:val="none"/>
        </w:rPr>
        <w:sectPr>
          <w:pgSz w:w="11910" w:h="16840"/>
          <w:pgMar w:top="1440" w:right="1080" w:bottom="1440" w:left="1080" w:header="720" w:footer="720" w:gutter="0"/>
          <w:pgNumType w:fmt="decimal"/>
          <w:cols w:space="720" w:num="1"/>
        </w:sectPr>
      </w:pPr>
    </w:p>
    <w:p w14:paraId="63B55FDD">
      <w:pPr>
        <w:pStyle w:val="17"/>
        <w:spacing w:line="360" w:lineRule="auto"/>
        <w:ind w:firstLine="602" w:firstLineChars="200"/>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一、营业执照(或事业法人登记证或其他工商等登记证明材料)复印件（供应商为自然人的，提供自然人的身份证明）</w:t>
      </w:r>
    </w:p>
    <w:p w14:paraId="2012B772">
      <w:pPr>
        <w:pStyle w:val="17"/>
        <w:spacing w:line="360" w:lineRule="auto"/>
        <w:ind w:firstLine="602" w:firstLineChars="200"/>
        <w:rPr>
          <w:rFonts w:hint="eastAsia" w:ascii="方正仿宋_GB2312" w:hAnsi="方正仿宋_GB2312" w:eastAsia="方正仿宋_GB2312" w:cs="方正仿宋_GB2312"/>
          <w:b/>
          <w:color w:val="auto"/>
          <w:sz w:val="30"/>
          <w:szCs w:val="30"/>
          <w:highlight w:val="none"/>
        </w:rPr>
      </w:pPr>
    </w:p>
    <w:p w14:paraId="759295C1">
      <w:pPr>
        <w:autoSpaceDE w:val="0"/>
        <w:autoSpaceDN w:val="0"/>
        <w:spacing w:line="360" w:lineRule="auto"/>
        <w:ind w:left="4365" w:leftChars="1850" w:hanging="480" w:hangingChars="200"/>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供应商名称（电子签章）：</w:t>
      </w:r>
    </w:p>
    <w:p w14:paraId="73FA2BB6">
      <w:pPr>
        <w:autoSpaceDE w:val="0"/>
        <w:autoSpaceDN w:val="0"/>
        <w:spacing w:line="360" w:lineRule="auto"/>
        <w:ind w:firstLine="6120" w:firstLineChars="2550"/>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color w:val="auto"/>
          <w:kern w:val="0"/>
          <w:sz w:val="24"/>
          <w:highlight w:val="none"/>
          <w:lang w:val="zh-CN"/>
        </w:rPr>
        <w:t xml:space="preserve">日期：  年 </w:t>
      </w:r>
      <w:r>
        <w:rPr>
          <w:rFonts w:hint="eastAsia" w:ascii="方正仿宋_GB2312" w:hAnsi="方正仿宋_GB2312" w:eastAsia="方正仿宋_GB2312" w:cs="方正仿宋_GB2312"/>
          <w:color w:val="auto"/>
          <w:kern w:val="0"/>
          <w:sz w:val="24"/>
          <w:highlight w:val="none"/>
        </w:rPr>
        <w:t xml:space="preserve"> </w:t>
      </w:r>
      <w:r>
        <w:rPr>
          <w:rFonts w:hint="eastAsia" w:ascii="方正仿宋_GB2312" w:hAnsi="方正仿宋_GB2312" w:eastAsia="方正仿宋_GB2312" w:cs="方正仿宋_GB2312"/>
          <w:color w:val="auto"/>
          <w:kern w:val="0"/>
          <w:sz w:val="24"/>
          <w:highlight w:val="none"/>
          <w:lang w:val="zh-CN"/>
        </w:rPr>
        <w:t xml:space="preserve"> 月   日</w:t>
      </w:r>
    </w:p>
    <w:p w14:paraId="7B743220">
      <w:pPr>
        <w:pStyle w:val="17"/>
        <w:spacing w:line="360" w:lineRule="auto"/>
        <w:rPr>
          <w:rFonts w:hint="eastAsia" w:ascii="方正仿宋_GB2312" w:hAnsi="方正仿宋_GB2312" w:eastAsia="方正仿宋_GB2312" w:cs="方正仿宋_GB2312"/>
          <w:b/>
          <w:color w:val="auto"/>
          <w:sz w:val="30"/>
          <w:szCs w:val="30"/>
          <w:highlight w:val="none"/>
        </w:rPr>
      </w:pPr>
    </w:p>
    <w:p w14:paraId="7AFD69ED">
      <w:pPr>
        <w:pStyle w:val="17"/>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二、供应商依法缴纳税收的相关材料</w:t>
      </w:r>
    </w:p>
    <w:p w14:paraId="415DA8BC">
      <w:pPr>
        <w:autoSpaceDE w:val="0"/>
        <w:autoSpaceDN w:val="0"/>
        <w:spacing w:line="360" w:lineRule="auto"/>
        <w:rPr>
          <w:rFonts w:hint="eastAsia" w:ascii="仿宋" w:hAnsi="仿宋" w:eastAsia="仿宋" w:cs="仿宋"/>
          <w:color w:val="auto"/>
          <w:kern w:val="0"/>
          <w:sz w:val="24"/>
          <w:highlight w:val="none"/>
        </w:rPr>
      </w:pPr>
    </w:p>
    <w:p w14:paraId="55B4E9BD">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721B222">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 xml:space="preserve">日期：  年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   日</w:t>
      </w:r>
    </w:p>
    <w:p w14:paraId="24C84DEB">
      <w:pPr>
        <w:spacing w:line="300" w:lineRule="auto"/>
        <w:rPr>
          <w:rFonts w:hint="eastAsia" w:ascii="仿宋" w:hAnsi="仿宋" w:eastAsia="仿宋" w:cs="仿宋"/>
          <w:color w:val="auto"/>
          <w:szCs w:val="21"/>
          <w:highlight w:val="none"/>
        </w:rPr>
      </w:pPr>
    </w:p>
    <w:p w14:paraId="62BC90A6">
      <w:pPr>
        <w:spacing w:line="300" w:lineRule="auto"/>
        <w:ind w:firstLine="596" w:firstLineChars="198"/>
        <w:rPr>
          <w:rFonts w:hint="eastAsia" w:ascii="仿宋" w:hAnsi="仿宋" w:eastAsia="仿宋" w:cs="仿宋"/>
          <w:b/>
          <w:color w:val="auto"/>
          <w:kern w:val="0"/>
          <w:sz w:val="30"/>
          <w:szCs w:val="30"/>
          <w:highlight w:val="none"/>
        </w:rPr>
      </w:pPr>
    </w:p>
    <w:p w14:paraId="6C771AF2">
      <w:pPr>
        <w:spacing w:line="300" w:lineRule="auto"/>
        <w:rPr>
          <w:rFonts w:hint="eastAsia" w:ascii="仿宋" w:hAnsi="仿宋" w:eastAsia="仿宋" w:cs="仿宋"/>
          <w:b/>
          <w:color w:val="auto"/>
          <w:kern w:val="0"/>
          <w:sz w:val="30"/>
          <w:szCs w:val="30"/>
          <w:highlight w:val="none"/>
        </w:rPr>
      </w:pPr>
    </w:p>
    <w:p w14:paraId="717480DC">
      <w:pPr>
        <w:spacing w:line="30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三、供应商依法缴纳社会保障资金的相关材料</w:t>
      </w:r>
    </w:p>
    <w:p w14:paraId="6BB650DF">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p>
    <w:p w14:paraId="1E8BF86A">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57AFBB7">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 xml:space="preserve">日期：  年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 xml:space="preserve"> 月   日</w:t>
      </w:r>
    </w:p>
    <w:p w14:paraId="2E9F9FEF">
      <w:pPr>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722DCF84">
      <w:pPr>
        <w:snapToGrid w:val="0"/>
        <w:spacing w:before="120" w:beforeLines="50" w:after="50" w:line="360" w:lineRule="auto"/>
        <w:jc w:val="center"/>
        <w:rPr>
          <w:rFonts w:hint="eastAsia" w:ascii="仿宋" w:hAnsi="仿宋" w:eastAsia="仿宋" w:cs="仿宋"/>
          <w:b/>
          <w:color w:val="auto"/>
          <w:sz w:val="24"/>
          <w:highlight w:val="none"/>
        </w:rPr>
      </w:pPr>
    </w:p>
    <w:p w14:paraId="02C5F8EB">
      <w:pPr>
        <w:numPr>
          <w:ilvl w:val="0"/>
          <w:numId w:val="1"/>
        </w:numPr>
        <w:spacing w:line="360" w:lineRule="auto"/>
        <w:ind w:firstLine="596" w:firstLineChars="198"/>
        <w:rPr>
          <w:rFonts w:hint="eastAsia" w:ascii="仿宋" w:hAnsi="仿宋" w:eastAsia="仿宋" w:cs="仿宋"/>
          <w:b/>
          <w:color w:val="auto"/>
          <w:kern w:val="0"/>
          <w:sz w:val="30"/>
          <w:szCs w:val="30"/>
          <w:highlight w:val="none"/>
          <w:lang w:eastAsia="zh-CN"/>
        </w:rPr>
      </w:pPr>
      <w:r>
        <w:rPr>
          <w:rFonts w:hint="eastAsia" w:ascii="仿宋" w:hAnsi="仿宋" w:eastAsia="仿宋" w:cs="仿宋"/>
          <w:b/>
          <w:color w:val="auto"/>
          <w:kern w:val="0"/>
          <w:sz w:val="30"/>
          <w:szCs w:val="30"/>
          <w:highlight w:val="none"/>
          <w:lang w:eastAsia="zh-CN"/>
        </w:rPr>
        <w:t>供应商财务状况报告</w:t>
      </w:r>
    </w:p>
    <w:p w14:paraId="7A7E3AF8">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p>
    <w:p w14:paraId="44F8EE68">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798E7680">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 xml:space="preserve">日期：  年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 xml:space="preserve"> 月   日</w:t>
      </w:r>
    </w:p>
    <w:p w14:paraId="3707A318">
      <w:pPr>
        <w:numPr>
          <w:ilvl w:val="0"/>
          <w:numId w:val="1"/>
        </w:numPr>
        <w:spacing w:line="36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br w:type="page"/>
      </w:r>
      <w:r>
        <w:rPr>
          <w:rFonts w:hint="eastAsia" w:ascii="仿宋" w:hAnsi="仿宋" w:eastAsia="仿宋" w:cs="仿宋"/>
          <w:b/>
          <w:color w:val="auto"/>
          <w:kern w:val="0"/>
          <w:sz w:val="30"/>
          <w:szCs w:val="30"/>
          <w:highlight w:val="none"/>
        </w:rPr>
        <w:t>供应商直接控股、管理关系信息表</w:t>
      </w:r>
    </w:p>
    <w:p w14:paraId="5A0D32C3">
      <w:pPr>
        <w:spacing w:line="360" w:lineRule="auto"/>
        <w:jc w:val="center"/>
        <w:rPr>
          <w:rFonts w:hint="eastAsia" w:ascii="仿宋" w:hAnsi="仿宋" w:eastAsia="仿宋" w:cs="仿宋"/>
          <w:b/>
          <w:color w:val="auto"/>
          <w:kern w:val="0"/>
          <w:sz w:val="30"/>
          <w:szCs w:val="30"/>
          <w:highlight w:val="none"/>
        </w:rPr>
      </w:pPr>
    </w:p>
    <w:p w14:paraId="02402EA3">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kern w:val="0"/>
          <w:sz w:val="30"/>
          <w:szCs w:val="30"/>
          <w:highlight w:val="none"/>
        </w:rPr>
        <w:t>供应商直接控股股东信息表</w:t>
      </w:r>
    </w:p>
    <w:tbl>
      <w:tblPr>
        <w:tblStyle w:val="2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7D25851">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ACB2AE">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9D113B">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5DB7C0">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531EFD">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DD8C5F">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16AE5B3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1121B8">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856667">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EE1C5B">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9229FC">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482828">
            <w:pPr>
              <w:widowControl/>
              <w:spacing w:line="360" w:lineRule="auto"/>
              <w:jc w:val="center"/>
              <w:rPr>
                <w:rFonts w:hint="eastAsia" w:ascii="仿宋" w:hAnsi="仿宋" w:eastAsia="仿宋" w:cs="仿宋"/>
                <w:color w:val="auto"/>
                <w:kern w:val="0"/>
                <w:sz w:val="24"/>
                <w:highlight w:val="none"/>
              </w:rPr>
            </w:pPr>
          </w:p>
        </w:tc>
      </w:tr>
      <w:tr w14:paraId="6682E80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D00CB6">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D41572">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D66DD6">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CF7E58">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CB1651">
            <w:pPr>
              <w:widowControl/>
              <w:spacing w:line="360" w:lineRule="auto"/>
              <w:jc w:val="center"/>
              <w:rPr>
                <w:rFonts w:hint="eastAsia" w:ascii="仿宋" w:hAnsi="仿宋" w:eastAsia="仿宋" w:cs="仿宋"/>
                <w:color w:val="auto"/>
                <w:kern w:val="0"/>
                <w:sz w:val="24"/>
                <w:highlight w:val="none"/>
              </w:rPr>
            </w:pPr>
          </w:p>
        </w:tc>
      </w:tr>
      <w:tr w14:paraId="152F624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16BE92">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EB7859">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6C003F">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9F82A8">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52BA12">
            <w:pPr>
              <w:widowControl/>
              <w:spacing w:line="360" w:lineRule="auto"/>
              <w:jc w:val="center"/>
              <w:rPr>
                <w:rFonts w:hint="eastAsia" w:ascii="仿宋" w:hAnsi="仿宋" w:eastAsia="仿宋" w:cs="仿宋"/>
                <w:color w:val="auto"/>
                <w:kern w:val="0"/>
                <w:sz w:val="24"/>
                <w:highlight w:val="none"/>
              </w:rPr>
            </w:pPr>
          </w:p>
        </w:tc>
      </w:tr>
      <w:tr w14:paraId="728FE9F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DBA91">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32D7B7">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598C25">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15A673">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6D805B">
            <w:pPr>
              <w:widowControl/>
              <w:spacing w:line="360" w:lineRule="auto"/>
              <w:jc w:val="center"/>
              <w:rPr>
                <w:rFonts w:hint="eastAsia" w:ascii="仿宋" w:hAnsi="仿宋" w:eastAsia="仿宋" w:cs="仿宋"/>
                <w:color w:val="auto"/>
                <w:kern w:val="0"/>
                <w:sz w:val="24"/>
                <w:highlight w:val="none"/>
              </w:rPr>
            </w:pPr>
          </w:p>
        </w:tc>
      </w:tr>
    </w:tbl>
    <w:p w14:paraId="20F713E2">
      <w:pPr>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6A6C181C">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BBB9D2D">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2.本表所指的控股关系仅限于直接控股关系，不包括间接的控股关系。公司实际控制人与公司之间的关系不属于本表所指的直接控股关系。</w:t>
      </w:r>
    </w:p>
    <w:p w14:paraId="24BC371E">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3.供应商不存在直接控股股东的，则填“无”。</w:t>
      </w:r>
    </w:p>
    <w:p w14:paraId="700573B8">
      <w:pPr>
        <w:snapToGrid w:val="0"/>
        <w:spacing w:line="360" w:lineRule="auto"/>
        <w:jc w:val="left"/>
        <w:rPr>
          <w:rFonts w:hint="eastAsia" w:ascii="仿宋" w:hAnsi="仿宋" w:eastAsia="仿宋" w:cs="仿宋"/>
          <w:color w:val="auto"/>
          <w:sz w:val="24"/>
          <w:highlight w:val="none"/>
        </w:rPr>
      </w:pPr>
    </w:p>
    <w:p w14:paraId="714F029F">
      <w:pPr>
        <w:snapToGrid w:val="0"/>
        <w:spacing w:line="360" w:lineRule="auto"/>
        <w:jc w:val="left"/>
        <w:rPr>
          <w:rFonts w:hint="eastAsia" w:ascii="仿宋" w:hAnsi="仿宋" w:eastAsia="仿宋" w:cs="仿宋"/>
          <w:color w:val="auto"/>
          <w:sz w:val="24"/>
          <w:highlight w:val="none"/>
        </w:rPr>
      </w:pPr>
    </w:p>
    <w:p w14:paraId="07BDB3DF">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4251B55">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 xml:space="preserve">日期：  年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 xml:space="preserve"> 月   日</w:t>
      </w:r>
    </w:p>
    <w:p w14:paraId="45EB6B16">
      <w:pPr>
        <w:snapToGrid w:val="0"/>
        <w:rPr>
          <w:rFonts w:hint="eastAsia" w:ascii="仿宋" w:hAnsi="仿宋" w:eastAsia="仿宋" w:cs="仿宋"/>
          <w:b/>
          <w:color w:val="auto"/>
          <w:kern w:val="0"/>
          <w:sz w:val="30"/>
          <w:szCs w:val="30"/>
          <w:highlight w:val="none"/>
        </w:rPr>
      </w:pPr>
    </w:p>
    <w:p w14:paraId="04C5FB4E">
      <w:pPr>
        <w:snapToGrid w:val="0"/>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br w:type="page"/>
      </w:r>
    </w:p>
    <w:p w14:paraId="16C1DA03">
      <w:pPr>
        <w:snapToGrid w:val="0"/>
        <w:spacing w:line="360" w:lineRule="auto"/>
        <w:jc w:val="center"/>
        <w:rPr>
          <w:rFonts w:hint="eastAsia" w:ascii="仿宋" w:hAnsi="仿宋" w:eastAsia="仿宋" w:cs="仿宋"/>
          <w:b/>
          <w:color w:val="auto"/>
          <w:kern w:val="0"/>
          <w:sz w:val="30"/>
          <w:szCs w:val="30"/>
          <w:highlight w:val="none"/>
        </w:rPr>
      </w:pPr>
    </w:p>
    <w:p w14:paraId="28828684">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kern w:val="0"/>
          <w:sz w:val="30"/>
          <w:szCs w:val="30"/>
          <w:highlight w:val="none"/>
        </w:rPr>
        <w:t>供应商直接管理关系信息表</w:t>
      </w:r>
    </w:p>
    <w:tbl>
      <w:tblPr>
        <w:tblStyle w:val="2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8E80906">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4555A9">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6FB1EA">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1B820A">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491022">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29EC41C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6CF659">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C6F858">
            <w:pPr>
              <w:widowControl/>
              <w:spacing w:line="360" w:lineRule="auto"/>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3F6EB9">
            <w:pPr>
              <w:widowControl/>
              <w:spacing w:line="360" w:lineRule="auto"/>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F3B3EB">
            <w:pPr>
              <w:widowControl/>
              <w:spacing w:line="360" w:lineRule="auto"/>
              <w:jc w:val="center"/>
              <w:rPr>
                <w:rFonts w:hint="eastAsia" w:ascii="仿宋" w:hAnsi="仿宋" w:eastAsia="仿宋" w:cs="仿宋"/>
                <w:color w:val="auto"/>
                <w:kern w:val="0"/>
                <w:sz w:val="24"/>
                <w:highlight w:val="none"/>
              </w:rPr>
            </w:pPr>
          </w:p>
        </w:tc>
      </w:tr>
      <w:tr w14:paraId="18F01D7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08404C">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A07E3E">
            <w:pPr>
              <w:widowControl/>
              <w:spacing w:line="360" w:lineRule="auto"/>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849CEB">
            <w:pPr>
              <w:widowControl/>
              <w:spacing w:line="360" w:lineRule="auto"/>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CA5637">
            <w:pPr>
              <w:widowControl/>
              <w:spacing w:line="360" w:lineRule="auto"/>
              <w:jc w:val="center"/>
              <w:rPr>
                <w:rFonts w:hint="eastAsia" w:ascii="仿宋" w:hAnsi="仿宋" w:eastAsia="仿宋" w:cs="仿宋"/>
                <w:color w:val="auto"/>
                <w:kern w:val="0"/>
                <w:sz w:val="24"/>
                <w:highlight w:val="none"/>
              </w:rPr>
            </w:pPr>
          </w:p>
        </w:tc>
      </w:tr>
      <w:tr w14:paraId="631EE5E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D7B2F9">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07F156">
            <w:pPr>
              <w:widowControl/>
              <w:spacing w:line="360" w:lineRule="auto"/>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9FAE4">
            <w:pPr>
              <w:widowControl/>
              <w:spacing w:line="360" w:lineRule="auto"/>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FE895A">
            <w:pPr>
              <w:widowControl/>
              <w:spacing w:line="360" w:lineRule="auto"/>
              <w:jc w:val="center"/>
              <w:rPr>
                <w:rFonts w:hint="eastAsia" w:ascii="仿宋" w:hAnsi="仿宋" w:eastAsia="仿宋" w:cs="仿宋"/>
                <w:color w:val="auto"/>
                <w:kern w:val="0"/>
                <w:sz w:val="24"/>
                <w:highlight w:val="none"/>
              </w:rPr>
            </w:pPr>
          </w:p>
        </w:tc>
      </w:tr>
      <w:tr w14:paraId="42AFC06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BF4ED9">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E1E42D">
            <w:pPr>
              <w:widowControl/>
              <w:spacing w:line="360" w:lineRule="auto"/>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A77D25">
            <w:pPr>
              <w:widowControl/>
              <w:spacing w:line="360" w:lineRule="auto"/>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9B69A2">
            <w:pPr>
              <w:widowControl/>
              <w:spacing w:line="360" w:lineRule="auto"/>
              <w:jc w:val="center"/>
              <w:rPr>
                <w:rFonts w:hint="eastAsia" w:ascii="仿宋" w:hAnsi="仿宋" w:eastAsia="仿宋" w:cs="仿宋"/>
                <w:color w:val="auto"/>
                <w:kern w:val="0"/>
                <w:sz w:val="24"/>
                <w:highlight w:val="none"/>
              </w:rPr>
            </w:pPr>
          </w:p>
        </w:tc>
      </w:tr>
    </w:tbl>
    <w:p w14:paraId="066E8597">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1D6055DA">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1.管理关系：是指不具有出资持股关系的其他单位之间存在的管理与被管理关系，如一些上下级关系的事业单位和团体组织。</w:t>
      </w:r>
    </w:p>
    <w:p w14:paraId="04F667F7">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2.本表所指的管理关系仅限于直接管理关系，不包括间接的管理关系。</w:t>
      </w:r>
    </w:p>
    <w:p w14:paraId="18E9DB50">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3.供应商不存在直接管理关系的，则填“无”。</w:t>
      </w:r>
    </w:p>
    <w:p w14:paraId="0E3A1C5E">
      <w:pPr>
        <w:spacing w:line="360" w:lineRule="auto"/>
        <w:jc w:val="left"/>
        <w:rPr>
          <w:rFonts w:hint="eastAsia" w:ascii="仿宋" w:hAnsi="仿宋" w:eastAsia="仿宋" w:cs="仿宋"/>
          <w:color w:val="auto"/>
          <w:sz w:val="24"/>
          <w:highlight w:val="none"/>
        </w:rPr>
      </w:pPr>
    </w:p>
    <w:p w14:paraId="02F393E4">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p>
    <w:p w14:paraId="1C7C7E54">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p>
    <w:p w14:paraId="50B5BB77">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7C30D220">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12722D60">
      <w:pPr>
        <w:spacing w:line="32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32F153CD">
      <w:pPr>
        <w:spacing w:line="320" w:lineRule="exact"/>
        <w:ind w:firstLine="48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kern w:val="0"/>
          <w:sz w:val="30"/>
          <w:szCs w:val="30"/>
          <w:highlight w:val="none"/>
        </w:rPr>
        <w:t>六、资格声明函</w:t>
      </w:r>
    </w:p>
    <w:p w14:paraId="5F8F6DDA">
      <w:pPr>
        <w:spacing w:line="320" w:lineRule="exact"/>
        <w:jc w:val="center"/>
        <w:rPr>
          <w:rFonts w:hint="eastAsia" w:ascii="仿宋" w:hAnsi="仿宋" w:eastAsia="仿宋" w:cs="仿宋"/>
          <w:b/>
          <w:color w:val="auto"/>
          <w:sz w:val="32"/>
          <w:szCs w:val="32"/>
          <w:highlight w:val="none"/>
        </w:rPr>
      </w:pPr>
    </w:p>
    <w:p w14:paraId="05B6DBE9">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资格声明函</w:t>
      </w:r>
    </w:p>
    <w:p w14:paraId="18FCCF7E">
      <w:pPr>
        <w:spacing w:line="320" w:lineRule="exact"/>
        <w:jc w:val="center"/>
        <w:rPr>
          <w:rFonts w:hint="eastAsia" w:ascii="仿宋" w:hAnsi="仿宋" w:eastAsia="仿宋" w:cs="仿宋"/>
          <w:color w:val="auto"/>
          <w:sz w:val="24"/>
          <w:szCs w:val="20"/>
          <w:highlight w:val="none"/>
        </w:rPr>
      </w:pPr>
    </w:p>
    <w:p w14:paraId="08DEAC7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w:t>
      </w:r>
    </w:p>
    <w:p w14:paraId="360A1A7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系中华人民共和国合法供应商，经营地址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B3E47C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我方愿意参加贵方组织的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项目的竞标，为便于贵方公正、择优地确定成交供应商及其竞标产品和服务，我方就本次竞标有关事项郑重声明如下：</w:t>
      </w:r>
    </w:p>
    <w:p w14:paraId="64593C6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1.我方向贵方提交的所有响应文件、资料都是准确的和真实的。</w:t>
      </w:r>
    </w:p>
    <w:p w14:paraId="3107940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C9FC7E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3.在此，我方宣布同意如下：</w:t>
      </w:r>
    </w:p>
    <w:p w14:paraId="24B770A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（1）将按磋商文件的约定履行合同责任和义务；</w:t>
      </w:r>
    </w:p>
    <w:p w14:paraId="4DBAC5D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（2）已详细审查全部磋商文件，包括澄清或者更正公告（如有）；</w:t>
      </w:r>
    </w:p>
    <w:p w14:paraId="085C588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（3）同意提供按照贵方可能要求的与磋商有关的一切数据或者资料；</w:t>
      </w:r>
    </w:p>
    <w:p w14:paraId="40F5656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（4）响应磋商文件规定的竞标有效期。</w:t>
      </w:r>
    </w:p>
    <w:p w14:paraId="2760A78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7DC5DAA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8425C3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BEB647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502654D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4B13FBF1">
      <w:pPr>
        <w:pStyle w:val="17"/>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7.与本磋商有关的一切正式往来信函请寄：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邮政编号：</w:t>
      </w:r>
      <w:r>
        <w:rPr>
          <w:rFonts w:hint="eastAsia" w:ascii="仿宋" w:hAnsi="仿宋" w:eastAsia="仿宋" w:cs="仿宋"/>
          <w:color w:val="auto"/>
          <w:sz w:val="24"/>
          <w:szCs w:val="24"/>
          <w:highlight w:val="none"/>
          <w:u w:val="single"/>
        </w:rPr>
        <w:t xml:space="preserve">        </w:t>
      </w:r>
    </w:p>
    <w:p w14:paraId="2EC7F2FB">
      <w:pPr>
        <w:pStyle w:val="1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电子函件：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2AE93173">
      <w:pPr>
        <w:pStyle w:val="15"/>
        <w:tabs>
          <w:tab w:val="left" w:pos="939"/>
        </w:tabs>
        <w:spacing w:line="360" w:lineRule="auto"/>
        <w:ind w:left="14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账号：</w:t>
      </w:r>
      <w:r>
        <w:rPr>
          <w:rFonts w:hint="eastAsia" w:ascii="仿宋" w:hAnsi="仿宋" w:eastAsia="仿宋" w:cs="仿宋"/>
          <w:color w:val="auto"/>
          <w:sz w:val="24"/>
          <w:highlight w:val="none"/>
          <w:u w:val="single"/>
        </w:rPr>
        <w:t xml:space="preserve">                               </w:t>
      </w:r>
    </w:p>
    <w:p w14:paraId="4303CFB7">
      <w:pPr>
        <w:pStyle w:val="15"/>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8.以上事项如有虚假或者隐瞒，我方愿意承担一切后果，并不再寻求任何旨在减轻或者免除法律责任的辩解。</w:t>
      </w:r>
    </w:p>
    <w:p w14:paraId="0EF325BD">
      <w:pPr>
        <w:pStyle w:val="15"/>
        <w:tabs>
          <w:tab w:val="left" w:pos="939"/>
        </w:tabs>
        <w:spacing w:line="360" w:lineRule="auto"/>
        <w:ind w:left="14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0CF29E58">
      <w:pPr>
        <w:pStyle w:val="15"/>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注：如为联合体竞标，盖章处须加盖联合体各方公章并由联合体各方法定代表人签署，否则其响应文件按无效响应处理。</w:t>
      </w:r>
    </w:p>
    <w:p w14:paraId="730CB83F">
      <w:pPr>
        <w:pStyle w:val="15"/>
        <w:tabs>
          <w:tab w:val="left" w:pos="939"/>
        </w:tabs>
        <w:spacing w:line="360" w:lineRule="auto"/>
        <w:ind w:left="0" w:leftChars="0" w:firstLine="480" w:firstLineChars="200"/>
        <w:rPr>
          <w:rFonts w:hint="eastAsia" w:ascii="仿宋" w:hAnsi="仿宋" w:eastAsia="仿宋" w:cs="仿宋"/>
          <w:color w:val="auto"/>
          <w:sz w:val="24"/>
          <w:highlight w:val="none"/>
        </w:rPr>
      </w:pPr>
    </w:p>
    <w:p w14:paraId="25D96ABE">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490439D">
      <w:pPr>
        <w:autoSpaceDE w:val="0"/>
        <w:autoSpaceDN w:val="0"/>
        <w:spacing w:line="360" w:lineRule="auto"/>
        <w:ind w:firstLine="6120" w:firstLineChars="25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00CBA7C0">
      <w:pPr>
        <w:widowControl/>
        <w:spacing w:line="360" w:lineRule="auto"/>
        <w:jc w:val="left"/>
        <w:rPr>
          <w:rFonts w:hint="eastAsia" w:ascii="方正仿宋_GB2312" w:hAnsi="方正仿宋_GB2312" w:eastAsia="方正仿宋_GB2312" w:cs="方正仿宋_GB2312"/>
          <w:color w:val="auto"/>
          <w:kern w:val="0"/>
          <w:sz w:val="24"/>
          <w:highlight w:val="none"/>
          <w:lang w:val="zh-CN"/>
        </w:rPr>
        <w:sectPr>
          <w:pgSz w:w="11910" w:h="16840"/>
          <w:pgMar w:top="1440" w:right="1080" w:bottom="1440" w:left="1080" w:header="720" w:footer="720" w:gutter="0"/>
          <w:pgNumType w:fmt="decimal"/>
          <w:cols w:space="720" w:num="1"/>
        </w:sectPr>
      </w:pPr>
    </w:p>
    <w:p w14:paraId="5E86DCB1">
      <w:pPr>
        <w:snapToGrid w:val="0"/>
        <w:spacing w:line="360" w:lineRule="auto"/>
        <w:ind w:firstLine="602" w:firstLineChars="200"/>
        <w:rPr>
          <w:rFonts w:hint="default" w:ascii="方正仿宋_GB2312" w:hAnsi="方正仿宋_GB2312" w:eastAsia="方正仿宋_GB2312" w:cs="方正仿宋_GB2312"/>
          <w:b/>
          <w:color w:val="auto"/>
          <w:sz w:val="30"/>
          <w:szCs w:val="30"/>
          <w:highlight w:val="none"/>
          <w:lang w:val="en-US" w:eastAsia="zh-CN"/>
        </w:rPr>
      </w:pPr>
      <w:r>
        <w:rPr>
          <w:rFonts w:hint="eastAsia" w:ascii="方正仿宋_GB2312" w:hAnsi="方正仿宋_GB2312" w:eastAsia="方正仿宋_GB2312" w:cs="方正仿宋_GB2312"/>
          <w:b/>
          <w:color w:val="auto"/>
          <w:kern w:val="0"/>
          <w:sz w:val="30"/>
          <w:szCs w:val="30"/>
          <w:highlight w:val="none"/>
        </w:rPr>
        <w:t>七、</w:t>
      </w:r>
      <w:r>
        <w:rPr>
          <w:rFonts w:hint="eastAsia" w:ascii="方正仿宋_GB2312" w:hAnsi="方正仿宋_GB2312" w:eastAsia="方正仿宋_GB2312" w:cs="方正仿宋_GB2312"/>
          <w:b/>
          <w:color w:val="auto"/>
          <w:sz w:val="30"/>
          <w:szCs w:val="30"/>
          <w:highlight w:val="none"/>
          <w:lang w:val="en-US" w:eastAsia="zh-CN"/>
        </w:rPr>
        <w:t>特定资格要求</w:t>
      </w:r>
    </w:p>
    <w:p w14:paraId="708DB7C8">
      <w:pPr>
        <w:autoSpaceDE w:val="0"/>
        <w:autoSpaceDN w:val="0"/>
        <w:spacing w:line="360" w:lineRule="auto"/>
        <w:rPr>
          <w:rFonts w:hint="eastAsia" w:ascii="方正仿宋_GB2312" w:hAnsi="方正仿宋_GB2312" w:eastAsia="方正仿宋_GB2312" w:cs="方正仿宋_GB2312"/>
          <w:color w:val="auto"/>
          <w:kern w:val="0"/>
          <w:sz w:val="24"/>
          <w:highlight w:val="none"/>
        </w:rPr>
      </w:pPr>
    </w:p>
    <w:p w14:paraId="2453F189">
      <w:pPr>
        <w:autoSpaceDE w:val="0"/>
        <w:autoSpaceDN w:val="0"/>
        <w:spacing w:line="360" w:lineRule="auto"/>
        <w:ind w:left="4335" w:leftChars="1950" w:hanging="240" w:hangingChars="100"/>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供应商名称（电子签章）：</w:t>
      </w:r>
    </w:p>
    <w:p w14:paraId="5C756966">
      <w:pPr>
        <w:autoSpaceDE w:val="0"/>
        <w:autoSpaceDN w:val="0"/>
        <w:spacing w:line="360" w:lineRule="auto"/>
        <w:ind w:firstLine="6480" w:firstLineChars="2700"/>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color w:val="auto"/>
          <w:kern w:val="0"/>
          <w:sz w:val="24"/>
          <w:highlight w:val="none"/>
          <w:lang w:val="zh-CN"/>
        </w:rPr>
        <w:t>日期：  年  月   日</w:t>
      </w:r>
    </w:p>
    <w:p w14:paraId="20EB85A3">
      <w:pPr>
        <w:widowControl/>
        <w:spacing w:line="360" w:lineRule="auto"/>
        <w:jc w:val="left"/>
        <w:rPr>
          <w:rFonts w:hint="eastAsia" w:ascii="方正仿宋_GB2312" w:hAnsi="方正仿宋_GB2312" w:eastAsia="方正仿宋_GB2312" w:cs="方正仿宋_GB2312"/>
          <w:b/>
          <w:bCs/>
          <w:color w:val="auto"/>
          <w:highlight w:val="none"/>
        </w:rPr>
      </w:pPr>
    </w:p>
    <w:p w14:paraId="37DC28EC">
      <w:pPr>
        <w:snapToGrid w:val="0"/>
        <w:spacing w:line="360" w:lineRule="auto"/>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br w:type="page"/>
      </w:r>
      <w:r>
        <w:rPr>
          <w:rFonts w:hint="eastAsia" w:ascii="方正仿宋_GB2312" w:hAnsi="方正仿宋_GB2312" w:eastAsia="方正仿宋_GB2312" w:cs="方正仿宋_GB2312"/>
          <w:b/>
          <w:color w:val="auto"/>
          <w:sz w:val="30"/>
          <w:szCs w:val="30"/>
          <w:highlight w:val="none"/>
        </w:rPr>
        <w:t xml:space="preserve">  八、中小企业声明函或残疾人福利性单位声明函或供应商属于监狱企业的证明材料</w:t>
      </w:r>
    </w:p>
    <w:p w14:paraId="1D2AF363">
      <w:pPr>
        <w:spacing w:after="165" w:afterLines="50" w:line="360" w:lineRule="auto"/>
        <w:jc w:val="center"/>
        <w:rPr>
          <w:rFonts w:hint="eastAsia" w:ascii="方正仿宋_GB2312" w:hAnsi="方正仿宋_GB2312" w:eastAsia="方正仿宋_GB2312" w:cs="方正仿宋_GB2312"/>
          <w:b/>
          <w:bCs/>
          <w:color w:val="auto"/>
          <w:sz w:val="30"/>
          <w:szCs w:val="30"/>
          <w:highlight w:val="none"/>
        </w:rPr>
      </w:pPr>
      <w:r>
        <w:rPr>
          <w:rFonts w:hint="eastAsia" w:ascii="方正仿宋_GB2312" w:hAnsi="方正仿宋_GB2312" w:eastAsia="方正仿宋_GB2312" w:cs="方正仿宋_GB2312"/>
          <w:b/>
          <w:bCs/>
          <w:color w:val="auto"/>
          <w:sz w:val="30"/>
          <w:szCs w:val="30"/>
          <w:highlight w:val="none"/>
        </w:rPr>
        <w:t>中小企业声明函（工程类）</w:t>
      </w:r>
    </w:p>
    <w:p w14:paraId="3F1BA058">
      <w:pPr>
        <w:pStyle w:val="13"/>
        <w:spacing w:after="0" w:line="360" w:lineRule="auto"/>
        <w:ind w:left="-426" w:right="142" w:firstLine="640"/>
        <w:contextualSpacing/>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本公司郑重声明，根据《政府采购促进中小企业发展管理办法》（财库﹝2020﹞46号）的规定，本公司参加</w:t>
      </w:r>
      <w:r>
        <w:rPr>
          <w:rFonts w:hint="eastAsia" w:ascii="方正仿宋_GB2312" w:hAnsi="方正仿宋_GB2312" w:eastAsia="方正仿宋_GB2312" w:cs="方正仿宋_GB2312"/>
          <w:color w:val="auto"/>
          <w:sz w:val="24"/>
          <w:highlight w:val="none"/>
          <w:u w:val="single"/>
        </w:rPr>
        <w:t>（采购人）</w:t>
      </w:r>
      <w:r>
        <w:rPr>
          <w:rFonts w:hint="eastAsia" w:ascii="方正仿宋_GB2312" w:hAnsi="方正仿宋_GB2312" w:eastAsia="方正仿宋_GB2312" w:cs="方正仿宋_GB2312"/>
          <w:color w:val="auto"/>
          <w:sz w:val="24"/>
          <w:highlight w:val="none"/>
        </w:rPr>
        <w:t>的</w:t>
      </w:r>
      <w:r>
        <w:rPr>
          <w:rFonts w:hint="eastAsia" w:ascii="方正仿宋_GB2312" w:hAnsi="方正仿宋_GB2312" w:eastAsia="方正仿宋_GB2312" w:cs="方正仿宋_GB2312"/>
          <w:color w:val="auto"/>
          <w:sz w:val="24"/>
          <w:highlight w:val="none"/>
          <w:u w:val="single"/>
        </w:rPr>
        <w:t>（项目名称）</w:t>
      </w:r>
      <w:r>
        <w:rPr>
          <w:rFonts w:hint="eastAsia" w:ascii="方正仿宋_GB2312" w:hAnsi="方正仿宋_GB2312" w:eastAsia="方正仿宋_GB2312" w:cs="方正仿宋_GB2312"/>
          <w:color w:val="auto"/>
          <w:sz w:val="24"/>
          <w:highlight w:val="none"/>
        </w:rPr>
        <w:t>采购活动，工程的施工单位全部为符合政策要求的</w:t>
      </w:r>
      <w:r>
        <w:rPr>
          <w:rFonts w:hint="eastAsia" w:ascii="方正仿宋_GB2312" w:hAnsi="方正仿宋_GB2312" w:eastAsia="方正仿宋_GB2312" w:cs="方正仿宋_GB2312"/>
          <w:color w:val="auto"/>
          <w:sz w:val="24"/>
          <w:highlight w:val="none"/>
          <w:lang w:eastAsia="zh-CN"/>
        </w:rPr>
        <w:t>中小</w:t>
      </w:r>
      <w:r>
        <w:rPr>
          <w:rFonts w:hint="eastAsia" w:ascii="方正仿宋_GB2312" w:hAnsi="方正仿宋_GB2312" w:eastAsia="方正仿宋_GB2312" w:cs="方正仿宋_GB2312"/>
          <w:color w:val="auto"/>
          <w:sz w:val="24"/>
          <w:highlight w:val="none"/>
        </w:rPr>
        <w:t>企业（或者：服务全部由符合政策要求的</w:t>
      </w:r>
      <w:r>
        <w:rPr>
          <w:rFonts w:hint="eastAsia" w:ascii="方正仿宋_GB2312" w:hAnsi="方正仿宋_GB2312" w:eastAsia="方正仿宋_GB2312" w:cs="方正仿宋_GB2312"/>
          <w:color w:val="auto"/>
          <w:sz w:val="24"/>
          <w:highlight w:val="none"/>
          <w:lang w:eastAsia="zh-CN"/>
        </w:rPr>
        <w:t>中小</w:t>
      </w:r>
      <w:r>
        <w:rPr>
          <w:rFonts w:hint="eastAsia" w:ascii="方正仿宋_GB2312" w:hAnsi="方正仿宋_GB2312" w:eastAsia="方正仿宋_GB2312" w:cs="方正仿宋_GB2312"/>
          <w:color w:val="auto"/>
          <w:sz w:val="24"/>
          <w:highlight w:val="none"/>
        </w:rPr>
        <w:t>企业承接）。相关企业（含联合体中的</w:t>
      </w:r>
      <w:r>
        <w:rPr>
          <w:rFonts w:hint="eastAsia" w:ascii="方正仿宋_GB2312" w:hAnsi="方正仿宋_GB2312" w:eastAsia="方正仿宋_GB2312" w:cs="方正仿宋_GB2312"/>
          <w:color w:val="auto"/>
          <w:sz w:val="24"/>
          <w:highlight w:val="none"/>
          <w:lang w:eastAsia="zh-CN"/>
        </w:rPr>
        <w:t>中小</w:t>
      </w:r>
      <w:r>
        <w:rPr>
          <w:rFonts w:hint="eastAsia" w:ascii="方正仿宋_GB2312" w:hAnsi="方正仿宋_GB2312" w:eastAsia="方正仿宋_GB2312" w:cs="方正仿宋_GB2312"/>
          <w:color w:val="auto"/>
          <w:sz w:val="24"/>
          <w:highlight w:val="none"/>
        </w:rPr>
        <w:t>企业、签订分包意向协议的</w:t>
      </w:r>
      <w:r>
        <w:rPr>
          <w:rFonts w:hint="eastAsia" w:ascii="方正仿宋_GB2312" w:hAnsi="方正仿宋_GB2312" w:eastAsia="方正仿宋_GB2312" w:cs="方正仿宋_GB2312"/>
          <w:color w:val="auto"/>
          <w:sz w:val="24"/>
          <w:highlight w:val="none"/>
          <w:lang w:eastAsia="zh-CN"/>
        </w:rPr>
        <w:t>中小</w:t>
      </w:r>
      <w:r>
        <w:rPr>
          <w:rFonts w:hint="eastAsia" w:ascii="方正仿宋_GB2312" w:hAnsi="方正仿宋_GB2312" w:eastAsia="方正仿宋_GB2312" w:cs="方正仿宋_GB2312"/>
          <w:color w:val="auto"/>
          <w:sz w:val="24"/>
          <w:highlight w:val="none"/>
        </w:rPr>
        <w:t>企业）的具体情况如下：</w:t>
      </w:r>
    </w:p>
    <w:p w14:paraId="60252117">
      <w:pPr>
        <w:tabs>
          <w:tab w:val="left" w:pos="1384"/>
          <w:tab w:val="left" w:pos="4562"/>
          <w:tab w:val="left" w:pos="6803"/>
        </w:tabs>
        <w:spacing w:line="360" w:lineRule="auto"/>
        <w:ind w:left="-426" w:right="-58" w:firstLine="655"/>
        <w:contextualSpacing/>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w:t>
      </w:r>
      <w:r>
        <w:rPr>
          <w:rFonts w:hint="eastAsia" w:ascii="方正仿宋_GB2312" w:hAnsi="方正仿宋_GB2312" w:eastAsia="方正仿宋_GB2312" w:cs="方正仿宋_GB2312"/>
          <w:color w:val="auto"/>
          <w:sz w:val="24"/>
          <w:highlight w:val="none"/>
          <w:u w:val="single"/>
        </w:rPr>
        <w:t>（标的名称）</w:t>
      </w:r>
      <w:r>
        <w:rPr>
          <w:rFonts w:hint="eastAsia" w:ascii="方正仿宋_GB2312" w:hAnsi="方正仿宋_GB2312" w:eastAsia="方正仿宋_GB2312" w:cs="方正仿宋_GB2312"/>
          <w:color w:val="auto"/>
          <w:sz w:val="24"/>
          <w:highlight w:val="none"/>
        </w:rPr>
        <w:t>，属于</w:t>
      </w:r>
      <w:r>
        <w:rPr>
          <w:rFonts w:hint="eastAsia" w:ascii="方正仿宋_GB2312" w:hAnsi="方正仿宋_GB2312" w:eastAsia="方正仿宋_GB2312" w:cs="方正仿宋_GB2312"/>
          <w:color w:val="auto"/>
          <w:sz w:val="24"/>
          <w:highlight w:val="none"/>
          <w:u w:val="single"/>
        </w:rPr>
        <w:t>（采购文件中明确的所属行业）</w:t>
      </w:r>
      <w:r>
        <w:rPr>
          <w:rFonts w:hint="eastAsia" w:ascii="方正仿宋_GB2312" w:hAnsi="方正仿宋_GB2312" w:eastAsia="方正仿宋_GB2312" w:cs="方正仿宋_GB2312"/>
          <w:color w:val="auto"/>
          <w:sz w:val="24"/>
          <w:highlight w:val="none"/>
        </w:rPr>
        <w:t>行业；承建（承接）企业为</w:t>
      </w:r>
      <w:r>
        <w:rPr>
          <w:rFonts w:hint="eastAsia" w:ascii="方正仿宋_GB2312" w:hAnsi="方正仿宋_GB2312" w:eastAsia="方正仿宋_GB2312" w:cs="方正仿宋_GB2312"/>
          <w:color w:val="auto"/>
          <w:sz w:val="24"/>
          <w:highlight w:val="none"/>
          <w:u w:val="single"/>
        </w:rPr>
        <w:t>（企业名称）</w:t>
      </w:r>
      <w:r>
        <w:rPr>
          <w:rFonts w:hint="eastAsia" w:ascii="方正仿宋_GB2312" w:hAnsi="方正仿宋_GB2312" w:eastAsia="方正仿宋_GB2312" w:cs="方正仿宋_GB2312"/>
          <w:color w:val="auto"/>
          <w:sz w:val="24"/>
          <w:highlight w:val="none"/>
        </w:rPr>
        <w:t>，从业人员</w:t>
      </w:r>
      <w:r>
        <w:rPr>
          <w:rFonts w:hint="eastAsia" w:ascii="方正仿宋_GB2312" w:hAnsi="方正仿宋_GB2312" w:eastAsia="方正仿宋_GB2312" w:cs="方正仿宋_GB2312"/>
          <w:color w:val="auto"/>
          <w:sz w:val="24"/>
          <w:highlight w:val="none"/>
          <w:u w:val="single"/>
        </w:rPr>
        <w:t xml:space="preserve">      </w:t>
      </w:r>
      <w:r>
        <w:rPr>
          <w:rFonts w:hint="eastAsia" w:ascii="方正仿宋_GB2312" w:hAnsi="方正仿宋_GB2312" w:eastAsia="方正仿宋_GB2312" w:cs="方正仿宋_GB2312"/>
          <w:color w:val="auto"/>
          <w:sz w:val="24"/>
          <w:highlight w:val="none"/>
        </w:rPr>
        <w:t>人，营业收入为</w:t>
      </w:r>
      <w:r>
        <w:rPr>
          <w:rFonts w:hint="eastAsia" w:ascii="方正仿宋_GB2312" w:hAnsi="方正仿宋_GB2312" w:eastAsia="方正仿宋_GB2312" w:cs="方正仿宋_GB2312"/>
          <w:color w:val="auto"/>
          <w:sz w:val="24"/>
          <w:highlight w:val="none"/>
          <w:u w:val="single"/>
        </w:rPr>
        <w:t xml:space="preserve">      </w:t>
      </w:r>
      <w:r>
        <w:rPr>
          <w:rFonts w:hint="eastAsia" w:ascii="方正仿宋_GB2312" w:hAnsi="方正仿宋_GB2312" w:eastAsia="方正仿宋_GB2312" w:cs="方正仿宋_GB2312"/>
          <w:color w:val="auto"/>
          <w:sz w:val="24"/>
          <w:highlight w:val="none"/>
        </w:rPr>
        <w:t>万元，资产总额为</w:t>
      </w:r>
      <w:r>
        <w:rPr>
          <w:rFonts w:hint="eastAsia" w:ascii="方正仿宋_GB2312" w:hAnsi="方正仿宋_GB2312" w:eastAsia="方正仿宋_GB2312" w:cs="方正仿宋_GB2312"/>
          <w:color w:val="auto"/>
          <w:sz w:val="24"/>
          <w:highlight w:val="none"/>
          <w:u w:val="single"/>
        </w:rPr>
        <w:t xml:space="preserve">      </w:t>
      </w:r>
      <w:r>
        <w:rPr>
          <w:rFonts w:hint="eastAsia" w:ascii="方正仿宋_GB2312" w:hAnsi="方正仿宋_GB2312" w:eastAsia="方正仿宋_GB2312" w:cs="方正仿宋_GB2312"/>
          <w:color w:val="auto"/>
          <w:sz w:val="24"/>
          <w:highlight w:val="none"/>
        </w:rPr>
        <w:t>万元，属于</w:t>
      </w:r>
      <w:r>
        <w:rPr>
          <w:rFonts w:hint="eastAsia" w:ascii="方正仿宋_GB2312" w:hAnsi="方正仿宋_GB2312" w:eastAsia="方正仿宋_GB2312" w:cs="方正仿宋_GB2312"/>
          <w:color w:val="auto"/>
          <w:sz w:val="24"/>
          <w:highlight w:val="none"/>
          <w:u w:val="single"/>
        </w:rPr>
        <w:t>（中型企业、小型企业、微型企业）</w:t>
      </w:r>
      <w:r>
        <w:rPr>
          <w:rFonts w:hint="eastAsia" w:ascii="方正仿宋_GB2312" w:hAnsi="方正仿宋_GB2312" w:eastAsia="方正仿宋_GB2312" w:cs="方正仿宋_GB2312"/>
          <w:color w:val="auto"/>
          <w:sz w:val="24"/>
          <w:highlight w:val="none"/>
        </w:rPr>
        <w:t>；</w:t>
      </w:r>
    </w:p>
    <w:p w14:paraId="44CCE473">
      <w:pPr>
        <w:tabs>
          <w:tab w:val="left" w:pos="1065"/>
          <w:tab w:val="left" w:pos="6477"/>
        </w:tabs>
        <w:spacing w:line="360" w:lineRule="auto"/>
        <w:ind w:left="-426" w:right="-58" w:firstLine="655"/>
        <w:contextualSpacing/>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w:t>
      </w:r>
      <w:r>
        <w:rPr>
          <w:rFonts w:hint="eastAsia" w:ascii="方正仿宋_GB2312" w:hAnsi="方正仿宋_GB2312" w:eastAsia="方正仿宋_GB2312" w:cs="方正仿宋_GB2312"/>
          <w:color w:val="auto"/>
          <w:sz w:val="24"/>
          <w:highlight w:val="none"/>
          <w:u w:val="single"/>
        </w:rPr>
        <w:t>（标的名称）</w:t>
      </w:r>
      <w:r>
        <w:rPr>
          <w:rFonts w:hint="eastAsia" w:ascii="方正仿宋_GB2312" w:hAnsi="方正仿宋_GB2312" w:eastAsia="方正仿宋_GB2312" w:cs="方正仿宋_GB2312"/>
          <w:color w:val="auto"/>
          <w:sz w:val="24"/>
          <w:highlight w:val="none"/>
        </w:rPr>
        <w:t>，属于</w:t>
      </w:r>
      <w:r>
        <w:rPr>
          <w:rFonts w:hint="eastAsia" w:ascii="方正仿宋_GB2312" w:hAnsi="方正仿宋_GB2312" w:eastAsia="方正仿宋_GB2312" w:cs="方正仿宋_GB2312"/>
          <w:color w:val="auto"/>
          <w:sz w:val="24"/>
          <w:highlight w:val="none"/>
          <w:u w:val="single"/>
        </w:rPr>
        <w:t>（采购文件中明确的所属行业）</w:t>
      </w:r>
      <w:r>
        <w:rPr>
          <w:rFonts w:hint="eastAsia" w:ascii="方正仿宋_GB2312" w:hAnsi="方正仿宋_GB2312" w:eastAsia="方正仿宋_GB2312" w:cs="方正仿宋_GB2312"/>
          <w:color w:val="auto"/>
          <w:sz w:val="24"/>
          <w:highlight w:val="none"/>
        </w:rPr>
        <w:t>行业；承建（承接）企业为</w:t>
      </w:r>
      <w:r>
        <w:rPr>
          <w:rFonts w:hint="eastAsia" w:ascii="方正仿宋_GB2312" w:hAnsi="方正仿宋_GB2312" w:eastAsia="方正仿宋_GB2312" w:cs="方正仿宋_GB2312"/>
          <w:color w:val="auto"/>
          <w:sz w:val="24"/>
          <w:highlight w:val="none"/>
          <w:u w:val="single"/>
        </w:rPr>
        <w:t>（企业名称）</w:t>
      </w:r>
      <w:r>
        <w:rPr>
          <w:rFonts w:hint="eastAsia" w:ascii="方正仿宋_GB2312" w:hAnsi="方正仿宋_GB2312" w:eastAsia="方正仿宋_GB2312" w:cs="方正仿宋_GB2312"/>
          <w:color w:val="auto"/>
          <w:sz w:val="24"/>
          <w:highlight w:val="none"/>
        </w:rPr>
        <w:t>，从业人员</w:t>
      </w:r>
      <w:r>
        <w:rPr>
          <w:rFonts w:hint="eastAsia" w:ascii="方正仿宋_GB2312" w:hAnsi="方正仿宋_GB2312" w:eastAsia="方正仿宋_GB2312" w:cs="方正仿宋_GB2312"/>
          <w:color w:val="auto"/>
          <w:sz w:val="24"/>
          <w:highlight w:val="none"/>
          <w:u w:val="single"/>
        </w:rPr>
        <w:t xml:space="preserve">      </w:t>
      </w:r>
      <w:r>
        <w:rPr>
          <w:rFonts w:hint="eastAsia" w:ascii="方正仿宋_GB2312" w:hAnsi="方正仿宋_GB2312" w:eastAsia="方正仿宋_GB2312" w:cs="方正仿宋_GB2312"/>
          <w:color w:val="auto"/>
          <w:sz w:val="24"/>
          <w:highlight w:val="none"/>
        </w:rPr>
        <w:t>人，营业收入为</w:t>
      </w:r>
      <w:r>
        <w:rPr>
          <w:rFonts w:hint="eastAsia" w:ascii="方正仿宋_GB2312" w:hAnsi="方正仿宋_GB2312" w:eastAsia="方正仿宋_GB2312" w:cs="方正仿宋_GB2312"/>
          <w:color w:val="auto"/>
          <w:sz w:val="24"/>
          <w:highlight w:val="none"/>
          <w:u w:val="single"/>
        </w:rPr>
        <w:t xml:space="preserve">      </w:t>
      </w:r>
      <w:r>
        <w:rPr>
          <w:rFonts w:hint="eastAsia" w:ascii="方正仿宋_GB2312" w:hAnsi="方正仿宋_GB2312" w:eastAsia="方正仿宋_GB2312" w:cs="方正仿宋_GB2312"/>
          <w:color w:val="auto"/>
          <w:sz w:val="24"/>
          <w:highlight w:val="none"/>
        </w:rPr>
        <w:t>万元，资产总额为</w:t>
      </w:r>
      <w:r>
        <w:rPr>
          <w:rFonts w:hint="eastAsia" w:ascii="方正仿宋_GB2312" w:hAnsi="方正仿宋_GB2312" w:eastAsia="方正仿宋_GB2312" w:cs="方正仿宋_GB2312"/>
          <w:color w:val="auto"/>
          <w:sz w:val="24"/>
          <w:highlight w:val="none"/>
          <w:u w:val="single"/>
        </w:rPr>
        <w:t xml:space="preserve">      </w:t>
      </w:r>
      <w:r>
        <w:rPr>
          <w:rFonts w:hint="eastAsia" w:ascii="方正仿宋_GB2312" w:hAnsi="方正仿宋_GB2312" w:eastAsia="方正仿宋_GB2312" w:cs="方正仿宋_GB2312"/>
          <w:color w:val="auto"/>
          <w:sz w:val="24"/>
          <w:highlight w:val="none"/>
        </w:rPr>
        <w:t>万元，属于</w:t>
      </w:r>
      <w:r>
        <w:rPr>
          <w:rFonts w:hint="eastAsia" w:ascii="方正仿宋_GB2312" w:hAnsi="方正仿宋_GB2312" w:eastAsia="方正仿宋_GB2312" w:cs="方正仿宋_GB2312"/>
          <w:color w:val="auto"/>
          <w:sz w:val="24"/>
          <w:highlight w:val="none"/>
          <w:u w:val="single"/>
        </w:rPr>
        <w:t>（中型企业、小型企业、微型企业）</w:t>
      </w:r>
      <w:r>
        <w:rPr>
          <w:rFonts w:hint="eastAsia" w:ascii="方正仿宋_GB2312" w:hAnsi="方正仿宋_GB2312" w:eastAsia="方正仿宋_GB2312" w:cs="方正仿宋_GB2312"/>
          <w:color w:val="auto"/>
          <w:sz w:val="24"/>
          <w:highlight w:val="none"/>
        </w:rPr>
        <w:t>；</w:t>
      </w:r>
    </w:p>
    <w:p w14:paraId="4729DE23">
      <w:pPr>
        <w:pStyle w:val="13"/>
        <w:spacing w:after="0" w:line="360" w:lineRule="auto"/>
        <w:ind w:left="142" w:right="142"/>
        <w:contextualSpacing/>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w:t>
      </w:r>
    </w:p>
    <w:p w14:paraId="02A9FEE0">
      <w:pPr>
        <w:pStyle w:val="13"/>
        <w:spacing w:after="0" w:line="360" w:lineRule="auto"/>
        <w:ind w:left="-405" w:leftChars="-193" w:right="142" w:firstLine="453" w:firstLineChars="189"/>
        <w:contextualSpacing/>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以上企业，不属于大企业的分支机构，不存在控股股东为大企业的情形，也不存在与大企业的负责人为同一人的情形。</w:t>
      </w:r>
    </w:p>
    <w:p w14:paraId="5D4276A8">
      <w:pPr>
        <w:pStyle w:val="13"/>
        <w:spacing w:after="0" w:line="360" w:lineRule="auto"/>
        <w:ind w:left="-426" w:right="142" w:firstLine="567"/>
        <w:contextualSpacing/>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本企业对上述声明内容的真实性负责。如有虚假，将依法承担相应责任。</w:t>
      </w:r>
    </w:p>
    <w:p w14:paraId="78DF0382">
      <w:pPr>
        <w:autoSpaceDE w:val="0"/>
        <w:autoSpaceDN w:val="0"/>
        <w:spacing w:line="360" w:lineRule="auto"/>
        <w:ind w:left="4335" w:leftChars="1950" w:hanging="240" w:hangingChars="100"/>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供应商名称（电子签章）：</w:t>
      </w:r>
    </w:p>
    <w:p w14:paraId="194F6014">
      <w:pPr>
        <w:autoSpaceDE w:val="0"/>
        <w:autoSpaceDN w:val="0"/>
        <w:spacing w:line="360" w:lineRule="auto"/>
        <w:ind w:firstLine="6240" w:firstLineChars="26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kern w:val="0"/>
          <w:sz w:val="24"/>
          <w:highlight w:val="none"/>
          <w:lang w:val="zh-CN"/>
        </w:rPr>
        <w:t>日期：  年  月   日</w:t>
      </w:r>
    </w:p>
    <w:p w14:paraId="6F2B0675">
      <w:pPr>
        <w:spacing w:line="360" w:lineRule="auto"/>
        <w:jc w:val="left"/>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color w:val="auto"/>
          <w:sz w:val="22"/>
          <w:szCs w:val="22"/>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9FBF46E">
      <w:pPr>
        <w:autoSpaceDE w:val="0"/>
        <w:autoSpaceDN w:val="0"/>
        <w:spacing w:line="360" w:lineRule="auto"/>
        <w:ind w:left="4335" w:leftChars="1950" w:hanging="240" w:hangingChars="100"/>
        <w:rPr>
          <w:rFonts w:hint="eastAsia" w:ascii="方正仿宋_GB2312" w:hAnsi="方正仿宋_GB2312" w:eastAsia="方正仿宋_GB2312" w:cs="方正仿宋_GB2312"/>
          <w:color w:val="auto"/>
          <w:kern w:val="0"/>
          <w:sz w:val="24"/>
          <w:highlight w:val="none"/>
        </w:rPr>
      </w:pPr>
    </w:p>
    <w:p w14:paraId="56547482">
      <w:pPr>
        <w:spacing w:line="520" w:lineRule="exact"/>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b/>
          <w:bCs/>
          <w:color w:val="auto"/>
          <w:sz w:val="30"/>
          <w:szCs w:val="30"/>
          <w:highlight w:val="none"/>
        </w:rPr>
        <w:t>残疾人福利性单位声明函</w:t>
      </w:r>
    </w:p>
    <w:p w14:paraId="25648906">
      <w:pPr>
        <w:spacing w:line="520" w:lineRule="exact"/>
        <w:rPr>
          <w:rFonts w:hint="eastAsia" w:ascii="方正仿宋_GB2312" w:hAnsi="方正仿宋_GB2312" w:eastAsia="方正仿宋_GB2312" w:cs="方正仿宋_GB2312"/>
          <w:color w:val="auto"/>
          <w:sz w:val="32"/>
          <w:szCs w:val="32"/>
          <w:highlight w:val="none"/>
        </w:rPr>
      </w:pPr>
    </w:p>
    <w:p w14:paraId="750C9FF6">
      <w:pPr>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方正仿宋_GB2312" w:hAnsi="方正仿宋_GB2312" w:eastAsia="方正仿宋_GB2312" w:cs="方正仿宋_GB2312"/>
          <w:color w:val="auto"/>
          <w:sz w:val="24"/>
          <w:highlight w:val="none"/>
          <w:u w:val="single"/>
        </w:rPr>
        <w:t>（采购人）</w:t>
      </w:r>
      <w:r>
        <w:rPr>
          <w:rFonts w:hint="eastAsia" w:ascii="方正仿宋_GB2312" w:hAnsi="方正仿宋_GB2312" w:eastAsia="方正仿宋_GB2312" w:cs="方正仿宋_GB2312"/>
          <w:color w:val="auto"/>
          <w:sz w:val="24"/>
          <w:highlight w:val="none"/>
        </w:rPr>
        <w:t>单位的</w:t>
      </w:r>
      <w:r>
        <w:rPr>
          <w:rFonts w:hint="eastAsia" w:ascii="方正仿宋_GB2312" w:hAnsi="方正仿宋_GB2312" w:eastAsia="方正仿宋_GB2312" w:cs="方正仿宋_GB2312"/>
          <w:color w:val="auto"/>
          <w:sz w:val="24"/>
          <w:highlight w:val="none"/>
          <w:u w:val="single"/>
        </w:rPr>
        <w:t>（项目名称）</w:t>
      </w:r>
      <w:r>
        <w:rPr>
          <w:rFonts w:hint="eastAsia" w:ascii="方正仿宋_GB2312" w:hAnsi="方正仿宋_GB2312" w:eastAsia="方正仿宋_GB2312" w:cs="方正仿宋_GB2312"/>
          <w:color w:val="auto"/>
          <w:sz w:val="24"/>
          <w:highlight w:val="none"/>
        </w:rPr>
        <w:t>采购活动由本单位提供服务。</w:t>
      </w:r>
    </w:p>
    <w:p w14:paraId="7D650A5E">
      <w:pPr>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本单位对上述声明的真实性负责。如有虚假，将依法承担相应责任。</w:t>
      </w:r>
    </w:p>
    <w:p w14:paraId="1ACD4832">
      <w:pPr>
        <w:spacing w:line="360" w:lineRule="auto"/>
        <w:rPr>
          <w:rFonts w:hint="eastAsia" w:ascii="方正仿宋_GB2312" w:hAnsi="方正仿宋_GB2312" w:eastAsia="方正仿宋_GB2312" w:cs="方正仿宋_GB2312"/>
          <w:color w:val="auto"/>
          <w:sz w:val="24"/>
          <w:highlight w:val="none"/>
        </w:rPr>
      </w:pPr>
    </w:p>
    <w:p w14:paraId="502A538B">
      <w:pPr>
        <w:spacing w:line="360" w:lineRule="auto"/>
        <w:rPr>
          <w:rFonts w:hint="eastAsia" w:ascii="方正仿宋_GB2312" w:hAnsi="方正仿宋_GB2312" w:eastAsia="方正仿宋_GB2312" w:cs="方正仿宋_GB2312"/>
          <w:color w:val="auto"/>
          <w:sz w:val="24"/>
          <w:highlight w:val="none"/>
        </w:rPr>
      </w:pPr>
    </w:p>
    <w:p w14:paraId="4E789050">
      <w:pPr>
        <w:spacing w:line="360" w:lineRule="auto"/>
        <w:rPr>
          <w:rFonts w:hint="eastAsia" w:ascii="方正仿宋_GB2312" w:hAnsi="方正仿宋_GB2312" w:eastAsia="方正仿宋_GB2312" w:cs="方正仿宋_GB2312"/>
          <w:color w:val="auto"/>
          <w:sz w:val="24"/>
          <w:highlight w:val="none"/>
        </w:rPr>
      </w:pPr>
    </w:p>
    <w:p w14:paraId="50479E5C">
      <w:pPr>
        <w:spacing w:line="360" w:lineRule="auto"/>
        <w:ind w:firstLine="2400" w:firstLineChars="10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供应商名称（电子签章）：</w:t>
      </w:r>
    </w:p>
    <w:p w14:paraId="64FD4DA2">
      <w:pPr>
        <w:spacing w:line="360" w:lineRule="auto"/>
        <w:ind w:firstLine="4320" w:firstLineChars="18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日  期：   年   月   日</w:t>
      </w:r>
    </w:p>
    <w:p w14:paraId="7C59C8A1">
      <w:pPr>
        <w:spacing w:line="360" w:lineRule="auto"/>
        <w:rPr>
          <w:rFonts w:hint="eastAsia" w:ascii="方正仿宋_GB2312" w:hAnsi="方正仿宋_GB2312" w:eastAsia="方正仿宋_GB2312" w:cs="方正仿宋_GB2312"/>
          <w:color w:val="auto"/>
          <w:sz w:val="24"/>
          <w:highlight w:val="none"/>
        </w:rPr>
      </w:pPr>
    </w:p>
    <w:p w14:paraId="6059B85B">
      <w:pPr>
        <w:spacing w:line="360" w:lineRule="auto"/>
        <w:rPr>
          <w:rFonts w:hint="eastAsia" w:ascii="方正仿宋_GB2312" w:hAnsi="方正仿宋_GB2312" w:eastAsia="方正仿宋_GB2312" w:cs="方正仿宋_GB2312"/>
          <w:color w:val="auto"/>
          <w:sz w:val="24"/>
          <w:highlight w:val="none"/>
        </w:rPr>
      </w:pPr>
    </w:p>
    <w:p w14:paraId="5B2C5585">
      <w:pPr>
        <w:spacing w:line="360" w:lineRule="auto"/>
        <w:rPr>
          <w:rFonts w:hint="eastAsia" w:ascii="方正仿宋_GB2312" w:hAnsi="方正仿宋_GB2312" w:eastAsia="方正仿宋_GB2312" w:cs="方正仿宋_GB2312"/>
          <w:color w:val="auto"/>
          <w:sz w:val="24"/>
          <w:highlight w:val="none"/>
        </w:rPr>
      </w:pPr>
    </w:p>
    <w:p w14:paraId="099C1924">
      <w:pPr>
        <w:spacing w:line="360" w:lineRule="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6CFCF03">
      <w:pPr>
        <w:spacing w:line="520" w:lineRule="exact"/>
        <w:jc w:val="center"/>
        <w:rPr>
          <w:rFonts w:hint="eastAsia" w:ascii="方正仿宋_GB2312" w:hAnsi="方正仿宋_GB2312" w:eastAsia="方正仿宋_GB2312" w:cs="方正仿宋_GB2312"/>
          <w:color w:val="auto"/>
          <w:sz w:val="24"/>
          <w:highlight w:val="none"/>
        </w:rPr>
      </w:pPr>
    </w:p>
    <w:p w14:paraId="4E4722A9">
      <w:pPr>
        <w:snapToGrid w:val="0"/>
        <w:spacing w:line="360" w:lineRule="auto"/>
        <w:ind w:firstLine="602" w:firstLineChars="200"/>
        <w:rPr>
          <w:rFonts w:hint="eastAsia" w:ascii="方正仿宋_GB2312" w:hAnsi="方正仿宋_GB2312" w:eastAsia="方正仿宋_GB2312" w:cs="方正仿宋_GB2312"/>
          <w:b/>
          <w:color w:val="auto"/>
          <w:sz w:val="30"/>
          <w:szCs w:val="30"/>
          <w:highlight w:val="none"/>
        </w:rPr>
      </w:pPr>
    </w:p>
    <w:p w14:paraId="20A4627E">
      <w:pPr>
        <w:snapToGrid w:val="0"/>
        <w:spacing w:line="360" w:lineRule="auto"/>
        <w:ind w:firstLine="602" w:firstLineChars="200"/>
        <w:rPr>
          <w:rFonts w:hint="eastAsia" w:ascii="方正仿宋_GB2312" w:hAnsi="方正仿宋_GB2312" w:eastAsia="方正仿宋_GB2312" w:cs="方正仿宋_GB2312"/>
          <w:b/>
          <w:color w:val="auto"/>
          <w:sz w:val="30"/>
          <w:szCs w:val="30"/>
          <w:highlight w:val="none"/>
        </w:rPr>
      </w:pPr>
    </w:p>
    <w:p w14:paraId="0BDD9422">
      <w:pPr>
        <w:snapToGrid w:val="0"/>
        <w:spacing w:line="360" w:lineRule="auto"/>
        <w:ind w:firstLine="602" w:firstLineChars="200"/>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九、除磋商文件规定必须提供以外，供应商认为需要提供的其他证明材料</w:t>
      </w:r>
    </w:p>
    <w:p w14:paraId="698A5643">
      <w:pPr>
        <w:snapToGrid w:val="0"/>
        <w:spacing w:line="360" w:lineRule="auto"/>
        <w:ind w:firstLine="602" w:firstLineChars="200"/>
        <w:rPr>
          <w:rFonts w:hint="eastAsia" w:ascii="方正仿宋_GB2312" w:hAnsi="方正仿宋_GB2312" w:eastAsia="方正仿宋_GB2312" w:cs="方正仿宋_GB2312"/>
          <w:b/>
          <w:color w:val="auto"/>
          <w:sz w:val="30"/>
          <w:szCs w:val="30"/>
          <w:highlight w:val="none"/>
        </w:rPr>
      </w:pPr>
    </w:p>
    <w:p w14:paraId="1914665F">
      <w:pPr>
        <w:spacing w:line="360" w:lineRule="auto"/>
        <w:ind w:firstLine="2400" w:firstLineChars="1000"/>
        <w:rPr>
          <w:rFonts w:hint="eastAsia" w:ascii="方正仿宋_GB2312" w:hAnsi="方正仿宋_GB2312" w:eastAsia="方正仿宋_GB2312" w:cs="方正仿宋_GB2312"/>
          <w:color w:val="auto"/>
          <w:sz w:val="24"/>
          <w:highlight w:val="none"/>
        </w:rPr>
      </w:pPr>
      <w:bookmarkStart w:id="95" w:name="_Toc32726"/>
      <w:bookmarkStart w:id="96" w:name="_Toc80205940"/>
      <w:r>
        <w:rPr>
          <w:rFonts w:hint="eastAsia" w:ascii="方正仿宋_GB2312" w:hAnsi="方正仿宋_GB2312" w:eastAsia="方正仿宋_GB2312" w:cs="方正仿宋_GB2312"/>
          <w:color w:val="auto"/>
          <w:sz w:val="24"/>
          <w:highlight w:val="none"/>
        </w:rPr>
        <w:t>供应商名称（电子签章）：</w:t>
      </w:r>
    </w:p>
    <w:p w14:paraId="7EAB0987">
      <w:pPr>
        <w:spacing w:line="360" w:lineRule="auto"/>
        <w:ind w:firstLine="4320" w:firstLineChars="18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日  期：   年   月   日</w:t>
      </w:r>
    </w:p>
    <w:p w14:paraId="6EA03995">
      <w:pPr>
        <w:pStyle w:val="3"/>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br w:type="page"/>
      </w:r>
      <w:bookmarkStart w:id="97" w:name="_Toc973"/>
      <w:bookmarkStart w:id="98" w:name="_Toc18609"/>
      <w:r>
        <w:rPr>
          <w:rFonts w:hint="eastAsia" w:ascii="方正仿宋_GB2312" w:hAnsi="方正仿宋_GB2312" w:eastAsia="方正仿宋_GB2312" w:cs="方正仿宋_GB2312"/>
          <w:b w:val="0"/>
          <w:bCs w:val="0"/>
          <w:color w:val="auto"/>
          <w:highlight w:val="none"/>
        </w:rPr>
        <w:t>第三节 商务技术文件格式</w:t>
      </w:r>
      <w:bookmarkEnd w:id="95"/>
      <w:bookmarkEnd w:id="96"/>
      <w:bookmarkEnd w:id="97"/>
      <w:bookmarkEnd w:id="98"/>
    </w:p>
    <w:p w14:paraId="7A866A4A">
      <w:pPr>
        <w:snapToGrid w:val="0"/>
        <w:spacing w:before="165" w:beforeLines="50" w:after="50"/>
        <w:rPr>
          <w:rFonts w:hint="eastAsia" w:ascii="方正仿宋_GB2312" w:hAnsi="方正仿宋_GB2312" w:eastAsia="方正仿宋_GB2312" w:cs="方正仿宋_GB2312"/>
          <w:bCs/>
          <w:color w:val="auto"/>
          <w:sz w:val="32"/>
          <w:szCs w:val="20"/>
          <w:highlight w:val="none"/>
        </w:rPr>
      </w:pP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b/>
          <w:bCs/>
          <w:color w:val="auto"/>
          <w:sz w:val="24"/>
          <w:highlight w:val="none"/>
        </w:rPr>
        <w:t xml:space="preserve">       </w:t>
      </w:r>
      <w:r>
        <w:rPr>
          <w:rFonts w:hint="eastAsia" w:ascii="方正仿宋_GB2312" w:hAnsi="方正仿宋_GB2312" w:eastAsia="方正仿宋_GB2312" w:cs="方正仿宋_GB2312"/>
          <w:b/>
          <w:bCs/>
          <w:color w:val="auto"/>
          <w:highlight w:val="none"/>
        </w:rPr>
        <w:t>全流程电子文件</w:t>
      </w:r>
    </w:p>
    <w:p w14:paraId="73DA93C7">
      <w:pPr>
        <w:snapToGrid w:val="0"/>
        <w:spacing w:before="165" w:beforeLines="50" w:after="50"/>
        <w:rPr>
          <w:rFonts w:hint="eastAsia" w:ascii="方正仿宋_GB2312" w:hAnsi="方正仿宋_GB2312" w:eastAsia="方正仿宋_GB2312" w:cs="方正仿宋_GB2312"/>
          <w:color w:val="auto"/>
          <w:sz w:val="24"/>
          <w:szCs w:val="20"/>
          <w:highlight w:val="none"/>
        </w:rPr>
      </w:pPr>
    </w:p>
    <w:p w14:paraId="20B88FA3">
      <w:pPr>
        <w:snapToGrid w:val="0"/>
        <w:spacing w:before="165" w:beforeLines="50" w:after="50"/>
        <w:rPr>
          <w:rFonts w:hint="eastAsia" w:ascii="方正仿宋_GB2312" w:hAnsi="方正仿宋_GB2312" w:eastAsia="方正仿宋_GB2312" w:cs="方正仿宋_GB2312"/>
          <w:color w:val="auto"/>
          <w:sz w:val="24"/>
          <w:szCs w:val="20"/>
          <w:highlight w:val="none"/>
        </w:rPr>
      </w:pPr>
    </w:p>
    <w:p w14:paraId="024BB0B7">
      <w:pPr>
        <w:snapToGrid w:val="0"/>
        <w:spacing w:before="165" w:beforeLines="50" w:after="50"/>
        <w:rPr>
          <w:rFonts w:hint="eastAsia" w:ascii="方正仿宋_GB2312" w:hAnsi="方正仿宋_GB2312" w:eastAsia="方正仿宋_GB2312" w:cs="方正仿宋_GB2312"/>
          <w:color w:val="auto"/>
          <w:sz w:val="24"/>
          <w:szCs w:val="20"/>
          <w:highlight w:val="none"/>
        </w:rPr>
      </w:pPr>
    </w:p>
    <w:p w14:paraId="6A3AF71F">
      <w:pPr>
        <w:snapToGrid w:val="0"/>
        <w:spacing w:before="165" w:beforeLines="50" w:after="50"/>
        <w:jc w:val="center"/>
        <w:rPr>
          <w:rFonts w:hint="eastAsia" w:ascii="方正仿宋_GB2312" w:hAnsi="方正仿宋_GB2312" w:eastAsia="方正仿宋_GB2312" w:cs="方正仿宋_GB2312"/>
          <w:b/>
          <w:color w:val="auto"/>
          <w:sz w:val="52"/>
          <w:szCs w:val="52"/>
          <w:highlight w:val="none"/>
        </w:rPr>
      </w:pPr>
      <w:r>
        <w:rPr>
          <w:rFonts w:hint="eastAsia" w:ascii="方正仿宋_GB2312" w:hAnsi="方正仿宋_GB2312" w:eastAsia="方正仿宋_GB2312" w:cs="方正仿宋_GB2312"/>
          <w:b/>
          <w:color w:val="auto"/>
          <w:sz w:val="52"/>
          <w:szCs w:val="52"/>
          <w:highlight w:val="none"/>
        </w:rPr>
        <w:t>商务技术文件（封面）</w:t>
      </w:r>
    </w:p>
    <w:p w14:paraId="4B4A1992">
      <w:pPr>
        <w:snapToGrid w:val="0"/>
        <w:spacing w:before="165" w:beforeLines="50" w:after="50"/>
        <w:rPr>
          <w:rFonts w:hint="eastAsia" w:ascii="方正仿宋_GB2312" w:hAnsi="方正仿宋_GB2312" w:eastAsia="方正仿宋_GB2312" w:cs="方正仿宋_GB2312"/>
          <w:bCs/>
          <w:color w:val="auto"/>
          <w:sz w:val="24"/>
          <w:szCs w:val="20"/>
          <w:highlight w:val="none"/>
        </w:rPr>
      </w:pPr>
    </w:p>
    <w:p w14:paraId="1E5FC5C2">
      <w:pPr>
        <w:snapToGrid w:val="0"/>
        <w:spacing w:before="165" w:beforeLines="50" w:after="50"/>
        <w:rPr>
          <w:rFonts w:hint="eastAsia" w:ascii="方正仿宋_GB2312" w:hAnsi="方正仿宋_GB2312" w:eastAsia="方正仿宋_GB2312" w:cs="方正仿宋_GB2312"/>
          <w:bCs/>
          <w:color w:val="auto"/>
          <w:sz w:val="24"/>
          <w:szCs w:val="20"/>
          <w:highlight w:val="none"/>
        </w:rPr>
      </w:pPr>
    </w:p>
    <w:p w14:paraId="4590D176">
      <w:pPr>
        <w:snapToGrid w:val="0"/>
        <w:spacing w:before="165" w:beforeLines="50" w:after="50"/>
        <w:rPr>
          <w:rFonts w:hint="eastAsia" w:ascii="方正仿宋_GB2312" w:hAnsi="方正仿宋_GB2312" w:eastAsia="方正仿宋_GB2312" w:cs="方正仿宋_GB2312"/>
          <w:bCs/>
          <w:color w:val="auto"/>
          <w:sz w:val="24"/>
          <w:szCs w:val="20"/>
          <w:highlight w:val="none"/>
        </w:rPr>
      </w:pPr>
    </w:p>
    <w:p w14:paraId="451D14D1">
      <w:pPr>
        <w:snapToGrid w:val="0"/>
        <w:spacing w:before="165" w:beforeLines="50" w:after="50"/>
        <w:rPr>
          <w:rFonts w:hint="eastAsia" w:ascii="方正仿宋_GB2312" w:hAnsi="方正仿宋_GB2312" w:eastAsia="方正仿宋_GB2312" w:cs="方正仿宋_GB2312"/>
          <w:bCs/>
          <w:color w:val="auto"/>
          <w:sz w:val="24"/>
          <w:szCs w:val="20"/>
          <w:highlight w:val="none"/>
        </w:rPr>
      </w:pPr>
    </w:p>
    <w:p w14:paraId="31E26D95">
      <w:pPr>
        <w:snapToGrid w:val="0"/>
        <w:spacing w:before="165" w:beforeLines="50" w:after="50"/>
        <w:rPr>
          <w:rFonts w:hint="eastAsia" w:ascii="方正仿宋_GB2312" w:hAnsi="方正仿宋_GB2312" w:eastAsia="方正仿宋_GB2312" w:cs="方正仿宋_GB2312"/>
          <w:bCs/>
          <w:color w:val="auto"/>
          <w:sz w:val="24"/>
          <w:szCs w:val="20"/>
          <w:highlight w:val="none"/>
        </w:rPr>
      </w:pPr>
    </w:p>
    <w:p w14:paraId="21FDBDBD">
      <w:pPr>
        <w:snapToGrid w:val="0"/>
        <w:spacing w:before="165" w:beforeLines="50" w:after="50"/>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项目名称：</w:t>
      </w:r>
    </w:p>
    <w:p w14:paraId="0EEC028D">
      <w:pPr>
        <w:snapToGrid w:val="0"/>
        <w:spacing w:before="165" w:beforeLines="50" w:after="50"/>
        <w:ind w:firstLine="720" w:firstLineChars="225"/>
        <w:rPr>
          <w:rFonts w:hint="eastAsia" w:ascii="方正仿宋_GB2312" w:hAnsi="方正仿宋_GB2312" w:eastAsia="方正仿宋_GB2312" w:cs="方正仿宋_GB2312"/>
          <w:bCs/>
          <w:color w:val="auto"/>
          <w:sz w:val="32"/>
          <w:szCs w:val="32"/>
          <w:highlight w:val="none"/>
        </w:rPr>
      </w:pPr>
    </w:p>
    <w:p w14:paraId="2CD98121">
      <w:pPr>
        <w:snapToGrid w:val="0"/>
        <w:spacing w:before="165" w:beforeLines="50" w:after="50"/>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项目编号：</w:t>
      </w:r>
    </w:p>
    <w:p w14:paraId="38E687ED">
      <w:pPr>
        <w:snapToGrid w:val="0"/>
        <w:spacing w:before="165" w:beforeLines="50" w:after="50"/>
        <w:ind w:firstLine="720" w:firstLineChars="225"/>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 xml:space="preserve"> </w:t>
      </w:r>
    </w:p>
    <w:p w14:paraId="4B641B08">
      <w:pPr>
        <w:snapToGrid w:val="0"/>
        <w:spacing w:before="165" w:beforeLines="50" w:after="50"/>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所竞分标（如有则填写，无分标时填写“无”或者留空）：</w:t>
      </w:r>
    </w:p>
    <w:p w14:paraId="2633E639">
      <w:pPr>
        <w:snapToGrid w:val="0"/>
        <w:spacing w:before="165" w:beforeLines="50" w:after="50"/>
        <w:ind w:firstLine="720" w:firstLineChars="225"/>
        <w:rPr>
          <w:rFonts w:hint="eastAsia" w:ascii="方正仿宋_GB2312" w:hAnsi="方正仿宋_GB2312" w:eastAsia="方正仿宋_GB2312" w:cs="方正仿宋_GB2312"/>
          <w:bCs/>
          <w:color w:val="auto"/>
          <w:sz w:val="32"/>
          <w:szCs w:val="32"/>
          <w:highlight w:val="none"/>
        </w:rPr>
      </w:pPr>
    </w:p>
    <w:p w14:paraId="2C864EC9">
      <w:pPr>
        <w:pStyle w:val="7"/>
        <w:snapToGrid w:val="0"/>
        <w:spacing w:before="50" w:after="50"/>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供应商名称：</w:t>
      </w:r>
    </w:p>
    <w:p w14:paraId="11F372F0">
      <w:pPr>
        <w:pStyle w:val="7"/>
        <w:snapToGrid w:val="0"/>
        <w:spacing w:before="50" w:after="50"/>
        <w:ind w:firstLine="720" w:firstLineChars="225"/>
        <w:rPr>
          <w:rFonts w:hint="eastAsia" w:ascii="方正仿宋_GB2312" w:hAnsi="方正仿宋_GB2312" w:eastAsia="方正仿宋_GB2312" w:cs="方正仿宋_GB2312"/>
          <w:bCs/>
          <w:color w:val="auto"/>
          <w:sz w:val="32"/>
          <w:szCs w:val="32"/>
          <w:highlight w:val="none"/>
        </w:rPr>
      </w:pPr>
    </w:p>
    <w:p w14:paraId="40A2E100">
      <w:pPr>
        <w:pStyle w:val="7"/>
        <w:snapToGrid w:val="0"/>
        <w:spacing w:before="50" w:after="50"/>
        <w:ind w:firstLine="720" w:firstLineChars="225"/>
        <w:rPr>
          <w:rFonts w:hint="eastAsia" w:ascii="方正仿宋_GB2312" w:hAnsi="方正仿宋_GB2312" w:eastAsia="方正仿宋_GB2312" w:cs="方正仿宋_GB2312"/>
          <w:bCs/>
          <w:color w:val="auto"/>
          <w:sz w:val="32"/>
          <w:szCs w:val="32"/>
          <w:highlight w:val="none"/>
        </w:rPr>
      </w:pPr>
    </w:p>
    <w:p w14:paraId="30BCE75C">
      <w:pPr>
        <w:pStyle w:val="7"/>
        <w:snapToGrid w:val="0"/>
        <w:spacing w:before="50" w:after="50"/>
        <w:ind w:firstLine="1280" w:firstLineChars="400"/>
        <w:rPr>
          <w:rFonts w:hint="eastAsia" w:ascii="方正仿宋_GB2312" w:hAnsi="方正仿宋_GB2312" w:eastAsia="方正仿宋_GB2312" w:cs="方正仿宋_GB2312"/>
          <w:bCs/>
          <w:color w:val="auto"/>
          <w:sz w:val="32"/>
          <w:szCs w:val="32"/>
          <w:highlight w:val="none"/>
        </w:rPr>
      </w:pPr>
    </w:p>
    <w:p w14:paraId="70A2A833">
      <w:pPr>
        <w:snapToGrid w:val="0"/>
        <w:spacing w:before="165" w:beforeLines="50" w:after="50"/>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年    月    日</w:t>
      </w:r>
    </w:p>
    <w:p w14:paraId="1AC22F7F">
      <w:pPr>
        <w:snapToGrid w:val="0"/>
        <w:spacing w:before="165" w:beforeLines="50" w:after="50" w:line="360" w:lineRule="auto"/>
        <w:ind w:left="142" w:firstLine="643" w:firstLineChars="200"/>
        <w:jc w:val="left"/>
        <w:rPr>
          <w:rFonts w:hint="eastAsia" w:ascii="方正仿宋_GB2312" w:hAnsi="方正仿宋_GB2312" w:eastAsia="方正仿宋_GB2312" w:cs="方正仿宋_GB2312"/>
          <w:b/>
          <w:bCs/>
          <w:color w:val="auto"/>
          <w:sz w:val="32"/>
          <w:szCs w:val="32"/>
          <w:highlight w:val="none"/>
        </w:rPr>
        <w:sectPr>
          <w:pgSz w:w="11905" w:h="16838"/>
          <w:pgMar w:top="1440" w:right="1080" w:bottom="1440" w:left="1080" w:header="720" w:footer="720" w:gutter="0"/>
          <w:pgNumType w:fmt="decimal"/>
          <w:cols w:space="720" w:num="1"/>
          <w:docGrid w:type="lines" w:linePitch="331" w:charSpace="0"/>
        </w:sectPr>
      </w:pPr>
    </w:p>
    <w:p w14:paraId="54A8D0A9">
      <w:pPr>
        <w:jc w:val="center"/>
        <w:rPr>
          <w:rFonts w:hint="eastAsia" w:ascii="方正仿宋_GB2312" w:hAnsi="方正仿宋_GB2312" w:eastAsia="方正仿宋_GB2312" w:cs="方正仿宋_GB2312"/>
          <w:b/>
          <w:color w:val="auto"/>
          <w:kern w:val="0"/>
          <w:sz w:val="28"/>
          <w:szCs w:val="28"/>
          <w:highlight w:val="none"/>
        </w:rPr>
      </w:pPr>
      <w:r>
        <w:rPr>
          <w:rFonts w:hint="eastAsia" w:ascii="方正仿宋_GB2312" w:hAnsi="方正仿宋_GB2312" w:eastAsia="方正仿宋_GB2312" w:cs="方正仿宋_GB2312"/>
          <w:b/>
          <w:color w:val="auto"/>
          <w:kern w:val="0"/>
          <w:sz w:val="28"/>
          <w:szCs w:val="28"/>
          <w:highlight w:val="none"/>
        </w:rPr>
        <w:t>商务技术文件目录</w:t>
      </w:r>
    </w:p>
    <w:p w14:paraId="226EFA1C">
      <w:pPr>
        <w:pStyle w:val="83"/>
        <w:spacing w:line="360" w:lineRule="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一、无串通竞标行为的承诺函………………………………………………（页码）</w:t>
      </w:r>
    </w:p>
    <w:p w14:paraId="3D251636">
      <w:pPr>
        <w:pStyle w:val="83"/>
        <w:spacing w:line="360" w:lineRule="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二、法定代表人身份证明书及法定代表人有效身份证正反面复印件……（页码）</w:t>
      </w:r>
    </w:p>
    <w:p w14:paraId="13E36817">
      <w:pPr>
        <w:pStyle w:val="83"/>
        <w:spacing w:line="360" w:lineRule="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三、法定代表人授权委托书及委托代理人有效身份证正反面复印件（如有委托时）……………</w:t>
      </w:r>
      <w:r>
        <w:rPr>
          <w:rFonts w:hint="eastAsia" w:ascii="方正仿宋_GB2312" w:hAnsi="方正仿宋_GB2312" w:eastAsia="方正仿宋_GB2312" w:cs="方正仿宋_GB2312"/>
          <w:color w:val="auto"/>
          <w:highlight w:val="none"/>
          <w:lang w:val="zh-CN"/>
        </w:rPr>
        <w:t>…………………</w:t>
      </w:r>
      <w:r>
        <w:rPr>
          <w:rFonts w:hint="eastAsia" w:ascii="方正仿宋_GB2312" w:hAnsi="方正仿宋_GB2312" w:eastAsia="方正仿宋_GB2312" w:cs="方正仿宋_GB2312"/>
          <w:color w:val="auto"/>
          <w:highlight w:val="none"/>
        </w:rPr>
        <w:t>……………</w:t>
      </w:r>
      <w:r>
        <w:rPr>
          <w:rFonts w:hint="eastAsia" w:ascii="方正仿宋_GB2312" w:hAnsi="方正仿宋_GB2312" w:eastAsia="方正仿宋_GB2312" w:cs="方正仿宋_GB2312"/>
          <w:color w:val="auto"/>
          <w:highlight w:val="none"/>
          <w:lang w:val="zh-CN"/>
        </w:rPr>
        <w:t>…………………</w:t>
      </w:r>
      <w:r>
        <w:rPr>
          <w:rFonts w:hint="eastAsia" w:ascii="方正仿宋_GB2312" w:hAnsi="方正仿宋_GB2312" w:eastAsia="方正仿宋_GB2312" w:cs="方正仿宋_GB2312"/>
          <w:color w:val="auto"/>
          <w:highlight w:val="none"/>
        </w:rPr>
        <w:t>…………………（页码）</w:t>
      </w:r>
    </w:p>
    <w:p w14:paraId="73B75BD0">
      <w:pPr>
        <w:pStyle w:val="83"/>
        <w:spacing w:line="360" w:lineRule="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zh-CN"/>
        </w:rPr>
        <w:t>四、商务条款偏离表………………………………</w:t>
      </w:r>
      <w:r>
        <w:rPr>
          <w:rFonts w:hint="eastAsia" w:ascii="方正仿宋_GB2312" w:hAnsi="方正仿宋_GB2312" w:eastAsia="方正仿宋_GB2312" w:cs="方正仿宋_GB2312"/>
          <w:color w:val="auto"/>
          <w:highlight w:val="none"/>
        </w:rPr>
        <w:t>…………………………（页码）</w:t>
      </w:r>
    </w:p>
    <w:p w14:paraId="5A90AF9C">
      <w:pPr>
        <w:pStyle w:val="83"/>
        <w:spacing w:line="360" w:lineRule="auto"/>
        <w:rPr>
          <w:rFonts w:hint="eastAsia" w:ascii="方正仿宋_GB2312" w:hAnsi="方正仿宋_GB2312" w:eastAsia="方正仿宋_GB2312" w:cs="方正仿宋_GB2312"/>
          <w:color w:val="auto"/>
          <w:highlight w:val="none"/>
          <w:lang w:val="zh-CN"/>
        </w:rPr>
      </w:pPr>
      <w:bookmarkStart w:id="99" w:name="OLE_LINK7"/>
      <w:bookmarkStart w:id="100" w:name="OLE_LINK6"/>
      <w:bookmarkStart w:id="101" w:name="OLE_LINK5"/>
      <w:r>
        <w:rPr>
          <w:rFonts w:hint="eastAsia" w:ascii="方正仿宋_GB2312" w:hAnsi="方正仿宋_GB2312" w:eastAsia="方正仿宋_GB2312" w:cs="方正仿宋_GB2312"/>
          <w:color w:val="auto"/>
          <w:highlight w:val="none"/>
          <w:lang w:val="zh-CN"/>
        </w:rPr>
        <w:t>五、竞标人情况介绍……</w:t>
      </w:r>
      <w:r>
        <w:rPr>
          <w:rFonts w:hint="eastAsia" w:ascii="方正仿宋_GB2312" w:hAnsi="方正仿宋_GB2312" w:eastAsia="方正仿宋_GB2312" w:cs="方正仿宋_GB2312"/>
          <w:color w:val="auto"/>
          <w:highlight w:val="none"/>
        </w:rPr>
        <w:t>……………………………………………………（页码）</w:t>
      </w:r>
    </w:p>
    <w:p w14:paraId="026C17C8">
      <w:pPr>
        <w:pStyle w:val="83"/>
        <w:spacing w:line="360" w:lineRule="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zh-CN"/>
        </w:rPr>
        <w:t>六、供应商类似的业绩证明文件…………………………</w:t>
      </w:r>
      <w:r>
        <w:rPr>
          <w:rFonts w:hint="eastAsia" w:ascii="方正仿宋_GB2312" w:hAnsi="方正仿宋_GB2312" w:eastAsia="方正仿宋_GB2312" w:cs="方正仿宋_GB2312"/>
          <w:color w:val="auto"/>
          <w:highlight w:val="none"/>
        </w:rPr>
        <w:t>…………………（页码）</w:t>
      </w:r>
    </w:p>
    <w:p w14:paraId="621E91E3">
      <w:pPr>
        <w:pStyle w:val="83"/>
        <w:spacing w:line="360" w:lineRule="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七、技术需求偏离表</w:t>
      </w:r>
      <w:r>
        <w:rPr>
          <w:rFonts w:hint="eastAsia" w:ascii="方正仿宋_GB2312" w:hAnsi="方正仿宋_GB2312" w:eastAsia="方正仿宋_GB2312" w:cs="方正仿宋_GB2312"/>
          <w:color w:val="auto"/>
          <w:highlight w:val="none"/>
          <w:lang w:val="zh-CN"/>
        </w:rPr>
        <w:t>…………………………</w:t>
      </w:r>
      <w:r>
        <w:rPr>
          <w:rFonts w:hint="eastAsia" w:ascii="方正仿宋_GB2312" w:hAnsi="方正仿宋_GB2312" w:eastAsia="方正仿宋_GB2312" w:cs="方正仿宋_GB2312"/>
          <w:color w:val="auto"/>
          <w:highlight w:val="none"/>
        </w:rPr>
        <w:t>…</w:t>
      </w:r>
      <w:r>
        <w:rPr>
          <w:rFonts w:hint="eastAsia" w:ascii="方正仿宋_GB2312" w:hAnsi="方正仿宋_GB2312" w:eastAsia="方正仿宋_GB2312" w:cs="方正仿宋_GB2312"/>
          <w:color w:val="auto"/>
          <w:highlight w:val="none"/>
          <w:lang w:val="zh-CN"/>
        </w:rPr>
        <w:t>…</w:t>
      </w:r>
      <w:r>
        <w:rPr>
          <w:rFonts w:hint="eastAsia" w:ascii="方正仿宋_GB2312" w:hAnsi="方正仿宋_GB2312" w:eastAsia="方正仿宋_GB2312" w:cs="方正仿宋_GB2312"/>
          <w:color w:val="auto"/>
          <w:highlight w:val="none"/>
        </w:rPr>
        <w:t>…</w:t>
      </w:r>
      <w:r>
        <w:rPr>
          <w:rFonts w:hint="eastAsia" w:ascii="方正仿宋_GB2312" w:hAnsi="方正仿宋_GB2312" w:eastAsia="方正仿宋_GB2312" w:cs="方正仿宋_GB2312"/>
          <w:color w:val="auto"/>
          <w:highlight w:val="none"/>
          <w:lang w:val="zh-CN"/>
        </w:rPr>
        <w:t>………</w:t>
      </w:r>
      <w:r>
        <w:rPr>
          <w:rFonts w:hint="eastAsia" w:ascii="方正仿宋_GB2312" w:hAnsi="方正仿宋_GB2312" w:eastAsia="方正仿宋_GB2312" w:cs="方正仿宋_GB2312"/>
          <w:color w:val="auto"/>
          <w:highlight w:val="none"/>
        </w:rPr>
        <w:t>……………</w:t>
      </w:r>
      <w:r>
        <w:rPr>
          <w:rFonts w:hint="eastAsia" w:ascii="方正仿宋_GB2312" w:hAnsi="方正仿宋_GB2312" w:eastAsia="方正仿宋_GB2312" w:cs="方正仿宋_GB2312"/>
          <w:color w:val="auto"/>
          <w:highlight w:val="none"/>
          <w:lang w:val="zh-CN"/>
        </w:rPr>
        <w:t>…</w:t>
      </w:r>
      <w:r>
        <w:rPr>
          <w:rFonts w:hint="eastAsia" w:ascii="方正仿宋_GB2312" w:hAnsi="方正仿宋_GB2312" w:eastAsia="方正仿宋_GB2312" w:cs="方正仿宋_GB2312"/>
          <w:color w:val="auto"/>
          <w:highlight w:val="none"/>
        </w:rPr>
        <w:t>（页码）</w:t>
      </w:r>
      <w:bookmarkEnd w:id="99"/>
      <w:bookmarkEnd w:id="100"/>
    </w:p>
    <w:bookmarkEnd w:id="101"/>
    <w:p w14:paraId="3FACF687">
      <w:pPr>
        <w:pStyle w:val="83"/>
        <w:spacing w:line="360" w:lineRule="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八、</w:t>
      </w:r>
      <w:r>
        <w:rPr>
          <w:rFonts w:hint="eastAsia" w:ascii="方正仿宋_GB2312" w:hAnsi="方正仿宋_GB2312" w:eastAsia="方正仿宋_GB2312" w:cs="方正仿宋_GB2312"/>
          <w:bCs/>
          <w:color w:val="auto"/>
          <w:szCs w:val="21"/>
          <w:highlight w:val="none"/>
        </w:rPr>
        <w:t>施工组织设计</w:t>
      </w:r>
      <w:r>
        <w:rPr>
          <w:rFonts w:hint="eastAsia" w:ascii="方正仿宋_GB2312" w:hAnsi="方正仿宋_GB2312" w:eastAsia="方正仿宋_GB2312" w:cs="方正仿宋_GB2312"/>
          <w:color w:val="auto"/>
          <w:highlight w:val="none"/>
        </w:rPr>
        <w:t>……………………………………………………………（页码）</w:t>
      </w:r>
    </w:p>
    <w:p w14:paraId="1008B0CB">
      <w:pPr>
        <w:pStyle w:val="83"/>
        <w:spacing w:line="360" w:lineRule="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九、</w:t>
      </w:r>
      <w:r>
        <w:rPr>
          <w:rFonts w:hint="eastAsia" w:ascii="方正仿宋_GB2312" w:hAnsi="方正仿宋_GB2312" w:eastAsia="方正仿宋_GB2312" w:cs="方正仿宋_GB2312"/>
          <w:bCs/>
          <w:color w:val="auto"/>
          <w:szCs w:val="21"/>
          <w:highlight w:val="none"/>
        </w:rPr>
        <w:t>项目管理机构</w:t>
      </w:r>
      <w:r>
        <w:rPr>
          <w:rFonts w:hint="eastAsia" w:ascii="方正仿宋_GB2312" w:hAnsi="方正仿宋_GB2312" w:eastAsia="方正仿宋_GB2312" w:cs="方正仿宋_GB2312"/>
          <w:color w:val="auto"/>
          <w:highlight w:val="none"/>
        </w:rPr>
        <w:t>……………………………………………………………（页码）</w:t>
      </w:r>
    </w:p>
    <w:p w14:paraId="214E89C2">
      <w:pPr>
        <w:pStyle w:val="83"/>
        <w:spacing w:line="360" w:lineRule="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十、供应商认为需要提供的其他有关资料…………………………………（页码）</w:t>
      </w:r>
    </w:p>
    <w:p w14:paraId="63657653">
      <w:pPr>
        <w:spacing w:line="360" w:lineRule="auto"/>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注：以上目录是基本格式要求，各供应商可根据自身情况进一步向下增加内容或细化。</w:t>
      </w:r>
    </w:p>
    <w:p w14:paraId="3E28F417">
      <w:pPr>
        <w:spacing w:line="400" w:lineRule="exact"/>
        <w:rPr>
          <w:rFonts w:hint="eastAsia" w:ascii="方正仿宋_GB2312" w:hAnsi="方正仿宋_GB2312" w:eastAsia="方正仿宋_GB2312" w:cs="方正仿宋_GB2312"/>
          <w:color w:val="auto"/>
          <w:sz w:val="32"/>
          <w:szCs w:val="32"/>
          <w:highlight w:val="none"/>
        </w:rPr>
      </w:pPr>
    </w:p>
    <w:p w14:paraId="7E6C0043">
      <w:pPr>
        <w:spacing w:line="520" w:lineRule="exact"/>
        <w:rPr>
          <w:rFonts w:hint="eastAsia" w:ascii="方正仿宋_GB2312" w:hAnsi="方正仿宋_GB2312" w:eastAsia="方正仿宋_GB2312" w:cs="方正仿宋_GB2312"/>
          <w:color w:val="auto"/>
          <w:sz w:val="44"/>
          <w:szCs w:val="44"/>
          <w:highlight w:val="none"/>
        </w:rPr>
      </w:pPr>
      <w:r>
        <w:rPr>
          <w:rFonts w:hint="eastAsia" w:ascii="方正仿宋_GB2312" w:hAnsi="方正仿宋_GB2312" w:eastAsia="方正仿宋_GB2312" w:cs="方正仿宋_GB2312"/>
          <w:color w:val="auto"/>
          <w:sz w:val="44"/>
          <w:szCs w:val="44"/>
          <w:highlight w:val="none"/>
        </w:rPr>
        <w:br w:type="page"/>
      </w:r>
      <w:r>
        <w:rPr>
          <w:rFonts w:hint="eastAsia" w:ascii="方正仿宋_GB2312" w:hAnsi="方正仿宋_GB2312" w:eastAsia="方正仿宋_GB2312" w:cs="方正仿宋_GB2312"/>
          <w:color w:val="auto"/>
          <w:sz w:val="44"/>
          <w:szCs w:val="44"/>
          <w:highlight w:val="none"/>
        </w:rPr>
        <w:t xml:space="preserve">  </w:t>
      </w:r>
      <w:r>
        <w:rPr>
          <w:rFonts w:hint="eastAsia" w:ascii="方正仿宋_GB2312" w:hAnsi="方正仿宋_GB2312" w:eastAsia="方正仿宋_GB2312" w:cs="方正仿宋_GB2312"/>
          <w:b/>
          <w:color w:val="auto"/>
          <w:sz w:val="30"/>
          <w:szCs w:val="30"/>
          <w:highlight w:val="none"/>
        </w:rPr>
        <w:t>一、无串通竞标行为的承诺函</w:t>
      </w:r>
    </w:p>
    <w:p w14:paraId="51621D02">
      <w:pPr>
        <w:spacing w:line="520" w:lineRule="exact"/>
        <w:jc w:val="center"/>
        <w:rPr>
          <w:rFonts w:hint="eastAsia" w:ascii="方正仿宋_GB2312" w:hAnsi="方正仿宋_GB2312" w:eastAsia="方正仿宋_GB2312" w:cs="方正仿宋_GB2312"/>
          <w:color w:val="auto"/>
          <w:sz w:val="44"/>
          <w:szCs w:val="44"/>
          <w:highlight w:val="none"/>
        </w:rPr>
      </w:pPr>
    </w:p>
    <w:p w14:paraId="4D29340C">
      <w:pPr>
        <w:spacing w:after="165" w:afterLines="50" w:line="520" w:lineRule="exact"/>
        <w:jc w:val="center"/>
        <w:rPr>
          <w:rFonts w:hint="eastAsia" w:ascii="方正仿宋_GB2312" w:hAnsi="方正仿宋_GB2312" w:eastAsia="方正仿宋_GB2312" w:cs="方正仿宋_GB2312"/>
          <w:b/>
          <w:bCs/>
          <w:color w:val="auto"/>
          <w:sz w:val="30"/>
          <w:szCs w:val="30"/>
          <w:highlight w:val="none"/>
        </w:rPr>
      </w:pPr>
      <w:r>
        <w:rPr>
          <w:rFonts w:hint="eastAsia" w:ascii="方正仿宋_GB2312" w:hAnsi="方正仿宋_GB2312" w:eastAsia="方正仿宋_GB2312" w:cs="方正仿宋_GB2312"/>
          <w:b/>
          <w:bCs/>
          <w:color w:val="auto"/>
          <w:sz w:val="30"/>
          <w:szCs w:val="30"/>
          <w:highlight w:val="none"/>
        </w:rPr>
        <w:t>无串通竞标行为的承诺函</w:t>
      </w:r>
    </w:p>
    <w:p w14:paraId="3F993EB6">
      <w:pPr>
        <w:spacing w:line="440" w:lineRule="exact"/>
        <w:ind w:firstLine="482" w:firstLineChars="200"/>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一、我方承诺无下列相互串通竞标的情形：</w:t>
      </w:r>
    </w:p>
    <w:p w14:paraId="207BE683">
      <w:pPr>
        <w:spacing w:line="44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1.不同供应商的响应文件由同一单位或者个人编制；或者不同供应商报名的IP地址一致的；或者编制响应文件硬件设备CPU编号、硬盘编号、网卡地址一致的情况。</w:t>
      </w:r>
    </w:p>
    <w:p w14:paraId="2E924DF5">
      <w:pPr>
        <w:spacing w:line="44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2.不同供应商委托同一单位或者个人办理竞标事宜；</w:t>
      </w:r>
    </w:p>
    <w:p w14:paraId="337DFEE1">
      <w:pPr>
        <w:spacing w:line="44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3.不同的供应商的响应文件载明的项目管理员为同一个人；</w:t>
      </w:r>
    </w:p>
    <w:p w14:paraId="0B3B87E9">
      <w:pPr>
        <w:spacing w:line="44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4.不</w:t>
      </w:r>
      <w:r>
        <w:rPr>
          <w:rFonts w:hint="eastAsia" w:ascii="方正仿宋_GB2312" w:hAnsi="方正仿宋_GB2312" w:eastAsia="方正仿宋_GB2312" w:cs="方正仿宋_GB2312"/>
          <w:color w:val="auto"/>
          <w:spacing w:val="-6"/>
          <w:sz w:val="24"/>
          <w:highlight w:val="none"/>
        </w:rPr>
        <w:t>同供应商的响应文件异常一致或者竞标报价呈规律性差异；</w:t>
      </w:r>
    </w:p>
    <w:p w14:paraId="38581EEB">
      <w:pPr>
        <w:spacing w:line="44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5.不同供应商的响应文件相互混装；</w:t>
      </w:r>
    </w:p>
    <w:p w14:paraId="5A6C292F">
      <w:pPr>
        <w:spacing w:line="44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6.不同供应商的竞标保证金从同一单位或者个人账户转出。</w:t>
      </w:r>
    </w:p>
    <w:p w14:paraId="13B68EFB">
      <w:pPr>
        <w:spacing w:line="440" w:lineRule="exact"/>
        <w:ind w:firstLine="482" w:firstLineChars="200"/>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二、我方承诺无下列恶意串通的情形：</w:t>
      </w:r>
    </w:p>
    <w:p w14:paraId="154FBC24">
      <w:pPr>
        <w:spacing w:line="44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1.供应商直接或者间接从采购人或者采购代理机构处获得其他供应商的相关信息并修改其响应文件；</w:t>
      </w:r>
    </w:p>
    <w:p w14:paraId="5C59A603">
      <w:pPr>
        <w:spacing w:line="44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2.供应商按照采购人或者采购代理机构的授意撤换、修改响应文件；</w:t>
      </w:r>
    </w:p>
    <w:p w14:paraId="565845E0">
      <w:pPr>
        <w:spacing w:line="44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3.供</w:t>
      </w:r>
      <w:r>
        <w:rPr>
          <w:rFonts w:hint="eastAsia" w:ascii="方正仿宋_GB2312" w:hAnsi="方正仿宋_GB2312" w:eastAsia="方正仿宋_GB2312" w:cs="方正仿宋_GB2312"/>
          <w:color w:val="auto"/>
          <w:spacing w:val="-6"/>
          <w:sz w:val="24"/>
          <w:highlight w:val="none"/>
        </w:rPr>
        <w:t>应商之间协商报价、技术方案等响应文件的实质性内容；</w:t>
      </w:r>
    </w:p>
    <w:p w14:paraId="79B01EC1">
      <w:pPr>
        <w:spacing w:line="44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4.属于同一集团、协会、商会等组织成员的供应商按照该组织要求协同参加政府采购活动；</w:t>
      </w:r>
    </w:p>
    <w:p w14:paraId="7046744F">
      <w:pPr>
        <w:spacing w:line="44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222C53DA">
      <w:pPr>
        <w:spacing w:line="44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6.供应商之间商定部分供应商放弃参加政府采购活动或者放弃成交；</w:t>
      </w:r>
    </w:p>
    <w:p w14:paraId="76F0878B">
      <w:pPr>
        <w:spacing w:line="440" w:lineRule="exact"/>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7.供应商与采购人或者采购代理机构之间、供应商相互之间，为</w:t>
      </w:r>
      <w:r>
        <w:rPr>
          <w:rFonts w:hint="eastAsia" w:ascii="方正仿宋_GB2312" w:hAnsi="方正仿宋_GB2312" w:eastAsia="方正仿宋_GB2312" w:cs="方正仿宋_GB2312"/>
          <w:color w:val="auto"/>
          <w:spacing w:val="-6"/>
          <w:sz w:val="24"/>
          <w:highlight w:val="none"/>
        </w:rPr>
        <w:t>谋求特定供应商成交或者排斥其他供应商的其他串通行为。</w:t>
      </w:r>
    </w:p>
    <w:p w14:paraId="7B784BF4">
      <w:pPr>
        <w:spacing w:line="440" w:lineRule="exact"/>
        <w:ind w:firstLine="482" w:firstLineChars="200"/>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以上情形一经核查属实，接受政府采购监管部门对我方认定存在围标串标行为，我方愿意承担一切后果，并不再寻求任何旨在减轻或者免除法律责任的辩解。</w:t>
      </w:r>
    </w:p>
    <w:p w14:paraId="15518A98">
      <w:pPr>
        <w:autoSpaceDE w:val="0"/>
        <w:autoSpaceDN w:val="0"/>
        <w:spacing w:line="360" w:lineRule="auto"/>
        <w:ind w:left="4335" w:leftChars="1950" w:hanging="240" w:hangingChars="100"/>
        <w:rPr>
          <w:rFonts w:hint="eastAsia" w:ascii="方正仿宋_GB2312" w:hAnsi="方正仿宋_GB2312" w:eastAsia="方正仿宋_GB2312" w:cs="方正仿宋_GB2312"/>
          <w:color w:val="auto"/>
          <w:kern w:val="0"/>
          <w:sz w:val="24"/>
          <w:highlight w:val="none"/>
        </w:rPr>
      </w:pPr>
    </w:p>
    <w:p w14:paraId="4CDBD48A">
      <w:pPr>
        <w:autoSpaceDE w:val="0"/>
        <w:autoSpaceDN w:val="0"/>
        <w:spacing w:line="360" w:lineRule="auto"/>
        <w:ind w:left="4334" w:leftChars="2064"/>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供应商名称（电子签章）：</w:t>
      </w:r>
    </w:p>
    <w:p w14:paraId="20BDBA31">
      <w:pPr>
        <w:autoSpaceDE w:val="0"/>
        <w:autoSpaceDN w:val="0"/>
        <w:spacing w:line="360" w:lineRule="auto"/>
        <w:ind w:firstLine="6480" w:firstLineChars="2700"/>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color w:val="auto"/>
          <w:kern w:val="0"/>
          <w:sz w:val="24"/>
          <w:highlight w:val="none"/>
          <w:lang w:val="zh-CN"/>
        </w:rPr>
        <w:t xml:space="preserve">日期：  年  月   日 </w:t>
      </w:r>
      <w:r>
        <w:rPr>
          <w:rFonts w:hint="eastAsia" w:ascii="方正仿宋_GB2312" w:hAnsi="方正仿宋_GB2312" w:eastAsia="方正仿宋_GB2312" w:cs="方正仿宋_GB2312"/>
          <w:b/>
          <w:bCs/>
          <w:color w:val="auto"/>
          <w:sz w:val="32"/>
          <w:szCs w:val="32"/>
          <w:highlight w:val="none"/>
        </w:rPr>
        <w:br w:type="page"/>
      </w:r>
      <w:r>
        <w:rPr>
          <w:rFonts w:hint="eastAsia" w:ascii="方正仿宋_GB2312" w:hAnsi="方正仿宋_GB2312" w:eastAsia="方正仿宋_GB2312" w:cs="方正仿宋_GB2312"/>
          <w:b/>
          <w:bCs/>
          <w:color w:val="auto"/>
          <w:sz w:val="32"/>
          <w:szCs w:val="32"/>
          <w:highlight w:val="none"/>
        </w:rPr>
        <w:t xml:space="preserve">  </w:t>
      </w:r>
      <w:r>
        <w:rPr>
          <w:rFonts w:hint="eastAsia" w:ascii="方正仿宋_GB2312" w:hAnsi="方正仿宋_GB2312" w:eastAsia="方正仿宋_GB2312" w:cs="方正仿宋_GB2312"/>
          <w:b/>
          <w:color w:val="auto"/>
          <w:sz w:val="30"/>
          <w:szCs w:val="30"/>
          <w:highlight w:val="none"/>
        </w:rPr>
        <w:t>二、法定代表人身份证明书及法定代表人有效身份证正反面复印件</w:t>
      </w:r>
    </w:p>
    <w:p w14:paraId="260B2C3D">
      <w:pPr>
        <w:spacing w:line="520" w:lineRule="exact"/>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b/>
          <w:color w:val="auto"/>
          <w:sz w:val="32"/>
          <w:szCs w:val="32"/>
          <w:highlight w:val="none"/>
        </w:rPr>
        <w:t>法定代表人证明书</w:t>
      </w:r>
    </w:p>
    <w:p w14:paraId="3128778A">
      <w:pPr>
        <w:spacing w:line="360" w:lineRule="auto"/>
        <w:ind w:left="540"/>
        <w:contextualSpacing/>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供应商名称：</w:t>
      </w:r>
      <w:r>
        <w:rPr>
          <w:rFonts w:hint="eastAsia" w:ascii="方正仿宋_GB2312" w:hAnsi="方正仿宋_GB2312" w:eastAsia="方正仿宋_GB2312" w:cs="方正仿宋_GB2312"/>
          <w:color w:val="auto"/>
          <w:sz w:val="24"/>
          <w:highlight w:val="none"/>
          <w:u w:val="single"/>
        </w:rPr>
        <w:t xml:space="preserve">                                         </w:t>
      </w:r>
    </w:p>
    <w:p w14:paraId="179DA82B">
      <w:pPr>
        <w:spacing w:line="360" w:lineRule="auto"/>
        <w:ind w:left="540"/>
        <w:contextualSpacing/>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地    址：</w:t>
      </w:r>
      <w:r>
        <w:rPr>
          <w:rFonts w:hint="eastAsia" w:ascii="方正仿宋_GB2312" w:hAnsi="方正仿宋_GB2312" w:eastAsia="方正仿宋_GB2312" w:cs="方正仿宋_GB2312"/>
          <w:color w:val="auto"/>
          <w:sz w:val="24"/>
          <w:highlight w:val="none"/>
          <w:u w:val="single"/>
        </w:rPr>
        <w:t xml:space="preserve">                                           </w:t>
      </w:r>
    </w:p>
    <w:p w14:paraId="3388D198">
      <w:pPr>
        <w:spacing w:line="360" w:lineRule="auto"/>
        <w:ind w:left="540"/>
        <w:contextualSpacing/>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姓    名：</w:t>
      </w:r>
      <w:r>
        <w:rPr>
          <w:rFonts w:hint="eastAsia" w:ascii="方正仿宋_GB2312" w:hAnsi="方正仿宋_GB2312" w:eastAsia="方正仿宋_GB2312" w:cs="方正仿宋_GB2312"/>
          <w:color w:val="auto"/>
          <w:sz w:val="24"/>
          <w:highlight w:val="none"/>
          <w:u w:val="single"/>
        </w:rPr>
        <w:t xml:space="preserve">                </w:t>
      </w:r>
      <w:r>
        <w:rPr>
          <w:rFonts w:hint="eastAsia" w:ascii="方正仿宋_GB2312" w:hAnsi="方正仿宋_GB2312" w:eastAsia="方正仿宋_GB2312" w:cs="方正仿宋_GB2312"/>
          <w:color w:val="auto"/>
          <w:sz w:val="24"/>
          <w:highlight w:val="none"/>
        </w:rPr>
        <w:t>性    别：</w:t>
      </w:r>
      <w:r>
        <w:rPr>
          <w:rFonts w:hint="eastAsia" w:ascii="方正仿宋_GB2312" w:hAnsi="方正仿宋_GB2312" w:eastAsia="方正仿宋_GB2312" w:cs="方正仿宋_GB2312"/>
          <w:color w:val="auto"/>
          <w:sz w:val="24"/>
          <w:highlight w:val="none"/>
          <w:u w:val="single"/>
        </w:rPr>
        <w:t xml:space="preserve">                 </w:t>
      </w:r>
    </w:p>
    <w:p w14:paraId="3F7E1A0A">
      <w:pPr>
        <w:spacing w:line="360" w:lineRule="auto"/>
        <w:ind w:left="540"/>
        <w:contextualSpacing/>
        <w:rPr>
          <w:rFonts w:hint="eastAsia" w:ascii="方正仿宋_GB2312" w:hAnsi="方正仿宋_GB2312" w:eastAsia="方正仿宋_GB2312" w:cs="方正仿宋_GB2312"/>
          <w:color w:val="auto"/>
          <w:sz w:val="24"/>
          <w:highlight w:val="none"/>
          <w:u w:val="single"/>
        </w:rPr>
      </w:pPr>
      <w:r>
        <w:rPr>
          <w:rFonts w:hint="eastAsia" w:ascii="方正仿宋_GB2312" w:hAnsi="方正仿宋_GB2312" w:eastAsia="方正仿宋_GB2312" w:cs="方正仿宋_GB2312"/>
          <w:color w:val="auto"/>
          <w:sz w:val="24"/>
          <w:highlight w:val="none"/>
        </w:rPr>
        <w:t>年    龄：</w:t>
      </w:r>
      <w:r>
        <w:rPr>
          <w:rFonts w:hint="eastAsia" w:ascii="方正仿宋_GB2312" w:hAnsi="方正仿宋_GB2312" w:eastAsia="方正仿宋_GB2312" w:cs="方正仿宋_GB2312"/>
          <w:color w:val="auto"/>
          <w:sz w:val="24"/>
          <w:highlight w:val="none"/>
          <w:u w:val="single"/>
        </w:rPr>
        <w:t xml:space="preserve">                </w:t>
      </w:r>
      <w:r>
        <w:rPr>
          <w:rFonts w:hint="eastAsia" w:ascii="方正仿宋_GB2312" w:hAnsi="方正仿宋_GB2312" w:eastAsia="方正仿宋_GB2312" w:cs="方正仿宋_GB2312"/>
          <w:color w:val="auto"/>
          <w:sz w:val="24"/>
          <w:highlight w:val="none"/>
        </w:rPr>
        <w:t>职    务：</w:t>
      </w:r>
      <w:r>
        <w:rPr>
          <w:rFonts w:hint="eastAsia" w:ascii="方正仿宋_GB2312" w:hAnsi="方正仿宋_GB2312" w:eastAsia="方正仿宋_GB2312" w:cs="方正仿宋_GB2312"/>
          <w:color w:val="auto"/>
          <w:sz w:val="24"/>
          <w:highlight w:val="none"/>
          <w:u w:val="single"/>
        </w:rPr>
        <w:t xml:space="preserve">                 </w:t>
      </w:r>
    </w:p>
    <w:p w14:paraId="505E161E">
      <w:pPr>
        <w:spacing w:line="360" w:lineRule="auto"/>
        <w:ind w:left="540"/>
        <w:contextualSpacing/>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身份证号码：</w:t>
      </w:r>
      <w:r>
        <w:rPr>
          <w:rFonts w:hint="eastAsia" w:ascii="方正仿宋_GB2312" w:hAnsi="方正仿宋_GB2312" w:eastAsia="方正仿宋_GB2312" w:cs="方正仿宋_GB2312"/>
          <w:color w:val="auto"/>
          <w:sz w:val="24"/>
          <w:highlight w:val="none"/>
          <w:u w:val="single"/>
        </w:rPr>
        <w:t xml:space="preserve">                                         </w:t>
      </w:r>
    </w:p>
    <w:p w14:paraId="5A3380F3">
      <w:pPr>
        <w:spacing w:line="360" w:lineRule="auto"/>
        <w:ind w:firstLine="480" w:firstLineChars="200"/>
        <w:contextualSpacing/>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系</w:t>
      </w:r>
      <w:r>
        <w:rPr>
          <w:rFonts w:hint="eastAsia" w:ascii="方正仿宋_GB2312" w:hAnsi="方正仿宋_GB2312" w:eastAsia="方正仿宋_GB2312" w:cs="方正仿宋_GB2312"/>
          <w:color w:val="auto"/>
          <w:sz w:val="24"/>
          <w:highlight w:val="none"/>
          <w:u w:val="single"/>
        </w:rPr>
        <w:t xml:space="preserve">（供应商名称） </w:t>
      </w:r>
      <w:r>
        <w:rPr>
          <w:rFonts w:hint="eastAsia" w:ascii="方正仿宋_GB2312" w:hAnsi="方正仿宋_GB2312" w:eastAsia="方正仿宋_GB2312" w:cs="方正仿宋_GB2312"/>
          <w:color w:val="auto"/>
          <w:sz w:val="24"/>
          <w:highlight w:val="none"/>
        </w:rPr>
        <w:t>的法定代表人。</w:t>
      </w:r>
    </w:p>
    <w:p w14:paraId="7C3DB35C">
      <w:pPr>
        <w:spacing w:line="360" w:lineRule="auto"/>
        <w:ind w:left="540"/>
        <w:contextualSpacing/>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特此证明。</w:t>
      </w:r>
    </w:p>
    <w:p w14:paraId="12517732">
      <w:pPr>
        <w:spacing w:line="360" w:lineRule="auto"/>
        <w:contextualSpacing/>
        <w:rPr>
          <w:rFonts w:hint="eastAsia" w:ascii="方正仿宋_GB2312" w:hAnsi="方正仿宋_GB2312" w:eastAsia="方正仿宋_GB2312" w:cs="方正仿宋_GB2312"/>
          <w:color w:val="auto"/>
          <w:sz w:val="24"/>
          <w:highlight w:val="none"/>
        </w:rPr>
      </w:pPr>
    </w:p>
    <w:p w14:paraId="560FC7E1">
      <w:pPr>
        <w:spacing w:line="360" w:lineRule="auto"/>
        <w:ind w:left="540"/>
        <w:contextualSpacing/>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附件：法定代表人有效身份证正反面复印件</w:t>
      </w:r>
    </w:p>
    <w:p w14:paraId="0FFA415A">
      <w:pPr>
        <w:spacing w:line="360" w:lineRule="auto"/>
        <w:ind w:left="540"/>
        <w:contextualSpacing/>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highlight w:val="none"/>
        </w:rPr>
        <mc:AlternateContent>
          <mc:Choice Requires="wps">
            <w:drawing>
              <wp:inline distT="0" distB="0" distL="114300" distR="114300">
                <wp:extent cx="2240915" cy="1125855"/>
                <wp:effectExtent l="4445" t="4445" r="21590" b="12700"/>
                <wp:docPr id="1" name="Text Box 23"/>
                <wp:cNvGraphicFramePr/>
                <a:graphic xmlns:a="http://schemas.openxmlformats.org/drawingml/2006/main">
                  <a:graphicData uri="http://schemas.microsoft.com/office/word/2010/wordprocessingShape">
                    <wps:wsp>
                      <wps:cNvSpPr txBox="1">
                        <a:spLocks noRot="1"/>
                      </wps:cNvSpPr>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0537656">
                            <w:pPr>
                              <w:jc w:val="center"/>
                              <w:rPr>
                                <w:rFonts w:ascii="宋体"/>
                              </w:rPr>
                            </w:pPr>
                          </w:p>
                          <w:p w14:paraId="0C92D0E0">
                            <w:pPr>
                              <w:jc w:val="center"/>
                              <w:rPr>
                                <w:rFonts w:ascii="宋体" w:hAnsi="宋体"/>
                                <w:sz w:val="24"/>
                              </w:rPr>
                            </w:pPr>
                            <w:r>
                              <w:rPr>
                                <w:rFonts w:hint="eastAsia" w:ascii="宋体" w:hAnsi="宋体"/>
                                <w:sz w:val="24"/>
                              </w:rPr>
                              <w:t>法定代表人身份证复印件</w:t>
                            </w:r>
                          </w:p>
                          <w:p w14:paraId="3A3B6AF1">
                            <w:pPr>
                              <w:jc w:val="center"/>
                              <w:rPr>
                                <w:sz w:val="24"/>
                              </w:rPr>
                            </w:pPr>
                            <w:r>
                              <w:rPr>
                                <w:rFonts w:hint="eastAsia" w:ascii="宋体" w:hAnsi="宋体"/>
                                <w:sz w:val="24"/>
                              </w:rPr>
                              <w:t>（正面）</w:t>
                            </w:r>
                          </w:p>
                        </w:txbxContent>
                      </wps:txbx>
                      <wps:bodyPr anchor="ctr" anchorCtr="0" upright="1"/>
                    </wps:wsp>
                  </a:graphicData>
                </a:graphic>
              </wp:inline>
            </w:drawing>
          </mc:Choice>
          <mc:Fallback>
            <w:pict>
              <v:shape id="Text Box 23" o:spid="_x0000_s1026" o:spt="202" type="#_x0000_t202" style="height:88.65pt;width:176.45pt;v-text-anchor:middle;" fillcolor="#FFFFFF" filled="t" stroked="t" coordsize="21600,21600" o:gfxdata="UEsDBAoAAAAAAIdO4kAAAAAAAAAAAAAAAAAEAAAAZHJzL1BLAwQUAAAACACHTuJA1tzWQdMAAAAF&#10;AQAADwAAAGRycy9kb3ducmV2LnhtbE2PzU7DMBCE70i8g7WVuFE7rehPGqcHUDkikfIATrwkUe11&#10;FLs/5OlZuMBlpNWMZr4t9jfvxAXH2AfSkM0VCKQm2J5aDR/Hw+MGREyGrHGBUMMXRtiX93eFyW24&#10;0jteqtQKLqGYGw1dSkMuZWw69CbOw4DE3mcYvUl8jq20o7lyuXdyodRKetMTL3RmwOcOm1N19hre&#10;thtsp5fYqNOh8q/15OK0yrR+mGVqByLhLf2F4Qef0aFkpjqcyUbhNPAj6VfZWz4ttiBqDq3XS5Bl&#10;If/Tl99QSwMEFAAAAAgAh07iQADqvVAZAgAAdAQAAA4AAABkcnMvZTJvRG9jLnhtbK1UTY/TMBC9&#10;I/EfLN9pPqBoN2q6ElvKZQWIXX6AazuJhb/kcZv03zN2ut2ycOiBHJKx/fz85s04q7vJaHKQAZSz&#10;La0WJSXScieU7Vv682n77oYSiMwKpp2VLT1KoHfrt29Wo29k7QanhQwESSw0o2/pEKNvigL4IA2D&#10;hfPS4mLngmERh6EvRGAjshtd1GX5sRhdED44LgFwdjMv0hNjuIbQdZ3icuP43kgbZ9YgNYuYEgzK&#10;A11ntV0nefzWdSAj0S3FTGN+4yEY79K7WK9Y0wfmB8VPEtg1El7lZJiyeOiZasMiI/ug/qIyigcH&#10;rosL7kwxJ5IdwSyq8pU3jwPzMueCVoM/mw7/j5Z/PXwPRAnsBEosM1jwJzlF8slNpH6f7Bk9NIh6&#10;9IiLE84naEoV/IPjv4BY98Ohr1UCFxfoeSvgvoSeumDSF1MmSIH+H8/+pwM5Ttb1h/K2WlLCca2q&#10;6uXNcplZX7b7APGLdIakoKUBC5zFsMMDxCSANc+QrNFpJbZK6zwI/e5eB3Jg2Azb/JzY4RKmLRlb&#10;eruskxCGHd5hZ2FoPLoEtp+Tv9wBl8Rlfv5FnIRtGAyzAIFRQrHGqChDjgbJxGcrSDx6LITF+0eT&#10;FiMFJVridU1RRkam9DVI9EPbU13mUqQKxWk3IU0Kd04csbLM8sHhveAx0NPgPs73ZO+D6oc/KozN&#10;mK0+XZzU7ZfjfN7Lz2L9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bc1kHTAAAABQEAAA8AAAAA&#10;AAAAAQAgAAAAIgAAAGRycy9kb3ducmV2LnhtbFBLAQIUABQAAAAIAIdO4kAA6r1QGQIAAHQEAAAO&#10;AAAAAAAAAAEAIAAAACIBAABkcnMvZTJvRG9jLnhtbFBLBQYAAAAABgAGAFkBAACtBQAAAAA=&#10;">
                <v:fill on="t" focussize="0,0"/>
                <v:stroke color="#000000" joinstyle="miter" dashstyle="dash"/>
                <v:imagedata o:title=""/>
                <o:lock v:ext="edit" rotation="t" aspectratio="f"/>
                <v:textbox>
                  <w:txbxContent>
                    <w:p w14:paraId="10537656">
                      <w:pPr>
                        <w:jc w:val="center"/>
                        <w:rPr>
                          <w:rFonts w:ascii="宋体"/>
                        </w:rPr>
                      </w:pPr>
                    </w:p>
                    <w:p w14:paraId="0C92D0E0">
                      <w:pPr>
                        <w:jc w:val="center"/>
                        <w:rPr>
                          <w:rFonts w:ascii="宋体" w:hAnsi="宋体"/>
                          <w:sz w:val="24"/>
                        </w:rPr>
                      </w:pPr>
                      <w:r>
                        <w:rPr>
                          <w:rFonts w:hint="eastAsia" w:ascii="宋体" w:hAnsi="宋体"/>
                          <w:sz w:val="24"/>
                        </w:rPr>
                        <w:t>法定代表人身份证复印件</w:t>
                      </w:r>
                    </w:p>
                    <w:p w14:paraId="3A3B6AF1">
                      <w:pPr>
                        <w:jc w:val="center"/>
                        <w:rPr>
                          <w:sz w:val="24"/>
                        </w:rPr>
                      </w:pPr>
                      <w:r>
                        <w:rPr>
                          <w:rFonts w:hint="eastAsia" w:ascii="宋体" w:hAnsi="宋体"/>
                          <w:sz w:val="24"/>
                        </w:rPr>
                        <w:t>（正面）</w:t>
                      </w:r>
                    </w:p>
                  </w:txbxContent>
                </v:textbox>
                <w10:wrap type="none"/>
                <w10:anchorlock/>
              </v:shape>
            </w:pict>
          </mc:Fallback>
        </mc:AlternateContent>
      </w:r>
      <w:r>
        <w:rPr>
          <w:rFonts w:hint="eastAsia" w:ascii="方正仿宋_GB2312" w:hAnsi="方正仿宋_GB2312" w:eastAsia="方正仿宋_GB2312" w:cs="方正仿宋_GB2312"/>
          <w:color w:val="auto"/>
          <w:highlight w:val="none"/>
        </w:rPr>
        <w:t xml:space="preserve">      </w:t>
      </w:r>
      <w:r>
        <w:rPr>
          <w:rFonts w:hint="eastAsia" w:ascii="方正仿宋_GB2312" w:hAnsi="方正仿宋_GB2312" w:eastAsia="方正仿宋_GB2312" w:cs="方正仿宋_GB2312"/>
          <w:color w:val="auto"/>
          <w:highlight w:val="none"/>
        </w:rPr>
        <mc:AlternateContent>
          <mc:Choice Requires="wps">
            <w:drawing>
              <wp:inline distT="0" distB="0" distL="114300" distR="114300">
                <wp:extent cx="2240915" cy="1125855"/>
                <wp:effectExtent l="4445" t="4445" r="21590" b="12700"/>
                <wp:docPr id="2" name="文本框 108"/>
                <wp:cNvGraphicFramePr/>
                <a:graphic xmlns:a="http://schemas.openxmlformats.org/drawingml/2006/main">
                  <a:graphicData uri="http://schemas.microsoft.com/office/word/2010/wordprocessingShape">
                    <wps:wsp>
                      <wps:cNvSpPr txBox="1">
                        <a:spLocks noRot="1"/>
                      </wps:cNvSpPr>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DA218D4">
                            <w:pPr>
                              <w:jc w:val="center"/>
                              <w:rPr>
                                <w:rFonts w:ascii="宋体"/>
                              </w:rPr>
                            </w:pPr>
                          </w:p>
                          <w:p w14:paraId="00970903">
                            <w:pPr>
                              <w:jc w:val="center"/>
                              <w:rPr>
                                <w:rFonts w:ascii="宋体" w:hAnsi="宋体"/>
                                <w:sz w:val="24"/>
                              </w:rPr>
                            </w:pPr>
                            <w:r>
                              <w:rPr>
                                <w:rFonts w:hint="eastAsia" w:ascii="宋体" w:hAnsi="宋体"/>
                                <w:sz w:val="24"/>
                              </w:rPr>
                              <w:t>法定代表人身份证复印件</w:t>
                            </w:r>
                          </w:p>
                          <w:p w14:paraId="2A77152D">
                            <w:pPr>
                              <w:jc w:val="center"/>
                              <w:rPr>
                                <w:sz w:val="24"/>
                              </w:rPr>
                            </w:pPr>
                            <w:r>
                              <w:rPr>
                                <w:rFonts w:hint="eastAsia" w:ascii="宋体" w:hAnsi="宋体"/>
                                <w:sz w:val="24"/>
                              </w:rPr>
                              <w:t>（反面）</w:t>
                            </w:r>
                          </w:p>
                        </w:txbxContent>
                      </wps:txbx>
                      <wps:bodyPr anchor="ctr" anchorCtr="0" upright="1"/>
                    </wps:wsp>
                  </a:graphicData>
                </a:graphic>
              </wp:inline>
            </w:drawing>
          </mc:Choice>
          <mc:Fallback>
            <w:pict>
              <v:shape id="文本框 108" o:spid="_x0000_s1026" o:spt="202" type="#_x0000_t202" style="height:88.65pt;width:176.45pt;v-text-anchor:middle;" fillcolor="#FFFFFF" filled="t" stroked="t" coordsize="21600,21600" o:gfxdata="UEsDBAoAAAAAAIdO4kAAAAAAAAAAAAAAAAAEAAAAZHJzL1BLAwQUAAAACACHTuJA1tzWQdMAAAAF&#10;AQAADwAAAGRycy9kb3ducmV2LnhtbE2PzU7DMBCE70i8g7WVuFE7rehPGqcHUDkikfIATrwkUe11&#10;FLs/5OlZuMBlpNWMZr4t9jfvxAXH2AfSkM0VCKQm2J5aDR/Hw+MGREyGrHGBUMMXRtiX93eFyW24&#10;0jteqtQKLqGYGw1dSkMuZWw69CbOw4DE3mcYvUl8jq20o7lyuXdyodRKetMTL3RmwOcOm1N19hre&#10;thtsp5fYqNOh8q/15OK0yrR+mGVqByLhLf2F4Qef0aFkpjqcyUbhNPAj6VfZWz4ttiBqDq3XS5Bl&#10;If/Tl99QSwMEFAAAAAgAh07iQEBbOREpAgAAdgQAAA4AAABkcnMvZTJvRG9jLnhtbK1Uy47TMBTd&#10;I/EPlvc0D1HUiZqOxJSyGQFi4ANc20ks/JLtNukPwB+wYsOe7+p3zLUTOg9mpC7IIr2Oj4/vPefe&#10;Li8HJdGeOy+MrnExyzHimhomdFvjr182rxYY+UA0I9JoXuMD9/hy9fLFsrcVL01nJOMOAYn2VW9r&#10;3IVgqyzztOOK+JmxXMNmY5wiAZauzZgjPbArmZV5/ibrjWPWGcq9h6/rcRNPjO4cQtM0gvK1oTvF&#10;dRhZHZckQEm+E9bjVcq2aTgNH5vG84BkjaHSkN5wCcTb+M5WS1K1jthO0CkFck4Kj2pSRGi49ES1&#10;JoGgnRP/UClBnfGmCTNqVDYWkhSBKor8kTY3HbE81QJSe3sS3f8/Wvph/8khwWpcYqSJAsOPP38c&#10;f/05/v6OinwRBeqtrwB3YwEZhrdmgLZJxXp7beg3j7T5bEDZIoKze+jxqIdzUZqhcSr+QtEIKMCB&#10;w8kBPgRE4WNZvs4vijlGFPaKopwv5vPEenfcOh/ec6NQDGrswOKUDNlf+xATINVfSLzNGynYRkiZ&#10;Fq7dXkmH9gTaYZOeif0BTGrU1/hiXsZECPR4A70FobKgk9ftWPyzxHl6niKOia2J78YEGEQRRSol&#10;Ancp6jhh7zRD4WDBCg0TiGMuijOMJIeBjVFCBiLkOUjQQ+rJl9GK6FAYtgPQxHBr2AGcJZp2BiaD&#10;BoenxVUYJ2VnnWi7Bw5DOyapp9GJ/X5/ne67+7tY3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W&#10;3NZB0wAAAAUBAAAPAAAAAAAAAAEAIAAAACIAAABkcnMvZG93bnJldi54bWxQSwECFAAUAAAACACH&#10;TuJAQFs5ESkCAAB2BAAADgAAAAAAAAABACAAAAAiAQAAZHJzL2Uyb0RvYy54bWxQSwUGAAAAAAYA&#10;BgBZAQAAvQUAAAAA&#10;">
                <v:fill on="t" focussize="0,0"/>
                <v:stroke color="#000000" joinstyle="miter" dashstyle="dash"/>
                <v:imagedata o:title=""/>
                <o:lock v:ext="edit" rotation="t" aspectratio="f"/>
                <v:textbox>
                  <w:txbxContent>
                    <w:p w14:paraId="0DA218D4">
                      <w:pPr>
                        <w:jc w:val="center"/>
                        <w:rPr>
                          <w:rFonts w:ascii="宋体"/>
                        </w:rPr>
                      </w:pPr>
                    </w:p>
                    <w:p w14:paraId="00970903">
                      <w:pPr>
                        <w:jc w:val="center"/>
                        <w:rPr>
                          <w:rFonts w:ascii="宋体" w:hAnsi="宋体"/>
                          <w:sz w:val="24"/>
                        </w:rPr>
                      </w:pPr>
                      <w:r>
                        <w:rPr>
                          <w:rFonts w:hint="eastAsia" w:ascii="宋体" w:hAnsi="宋体"/>
                          <w:sz w:val="24"/>
                        </w:rPr>
                        <w:t>法定代表人身份证复印件</w:t>
                      </w:r>
                    </w:p>
                    <w:p w14:paraId="2A77152D">
                      <w:pPr>
                        <w:jc w:val="center"/>
                        <w:rPr>
                          <w:sz w:val="24"/>
                        </w:rPr>
                      </w:pPr>
                      <w:r>
                        <w:rPr>
                          <w:rFonts w:hint="eastAsia" w:ascii="宋体" w:hAnsi="宋体"/>
                          <w:sz w:val="24"/>
                        </w:rPr>
                        <w:t>（反面）</w:t>
                      </w:r>
                    </w:p>
                  </w:txbxContent>
                </v:textbox>
                <w10:wrap type="none"/>
                <w10:anchorlock/>
              </v:shape>
            </w:pict>
          </mc:Fallback>
        </mc:AlternateContent>
      </w:r>
    </w:p>
    <w:p w14:paraId="18691CA7">
      <w:pPr>
        <w:autoSpaceDE w:val="0"/>
        <w:autoSpaceDN w:val="0"/>
        <w:spacing w:line="360" w:lineRule="auto"/>
        <w:ind w:left="4334" w:leftChars="2064" w:firstLine="240" w:firstLineChars="100"/>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供应商名称（电子签章）：</w:t>
      </w:r>
    </w:p>
    <w:p w14:paraId="3C4B8B15">
      <w:pPr>
        <w:spacing w:line="360" w:lineRule="auto"/>
        <w:contextualSpacing/>
        <w:jc w:val="center"/>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color w:val="auto"/>
          <w:kern w:val="0"/>
          <w:sz w:val="24"/>
          <w:highlight w:val="none"/>
          <w:lang w:val="zh-CN"/>
        </w:rPr>
        <w:t xml:space="preserve">                                                 </w:t>
      </w:r>
      <w:r>
        <w:rPr>
          <w:rFonts w:hint="eastAsia" w:ascii="方正仿宋_GB2312" w:hAnsi="方正仿宋_GB2312" w:eastAsia="方正仿宋_GB2312" w:cs="方正仿宋_GB2312"/>
          <w:color w:val="auto"/>
          <w:kern w:val="0"/>
          <w:sz w:val="24"/>
          <w:highlight w:val="none"/>
        </w:rPr>
        <w:t xml:space="preserve">  </w:t>
      </w:r>
      <w:r>
        <w:rPr>
          <w:rFonts w:hint="eastAsia" w:ascii="方正仿宋_GB2312" w:hAnsi="方正仿宋_GB2312" w:eastAsia="方正仿宋_GB2312" w:cs="方正仿宋_GB2312"/>
          <w:color w:val="auto"/>
          <w:kern w:val="0"/>
          <w:sz w:val="24"/>
          <w:highlight w:val="none"/>
          <w:lang w:val="zh-CN"/>
        </w:rPr>
        <w:t xml:space="preserve"> 日期：  </w:t>
      </w:r>
      <w:r>
        <w:rPr>
          <w:rFonts w:hint="eastAsia" w:ascii="方正仿宋_GB2312" w:hAnsi="方正仿宋_GB2312" w:eastAsia="方正仿宋_GB2312" w:cs="方正仿宋_GB2312"/>
          <w:color w:val="auto"/>
          <w:kern w:val="0"/>
          <w:sz w:val="24"/>
          <w:highlight w:val="none"/>
        </w:rPr>
        <w:t xml:space="preserve"> </w:t>
      </w:r>
      <w:r>
        <w:rPr>
          <w:rFonts w:hint="eastAsia" w:ascii="方正仿宋_GB2312" w:hAnsi="方正仿宋_GB2312" w:eastAsia="方正仿宋_GB2312" w:cs="方正仿宋_GB2312"/>
          <w:color w:val="auto"/>
          <w:kern w:val="0"/>
          <w:sz w:val="24"/>
          <w:highlight w:val="none"/>
          <w:lang w:val="zh-CN"/>
        </w:rPr>
        <w:t xml:space="preserve">年  </w:t>
      </w:r>
      <w:r>
        <w:rPr>
          <w:rFonts w:hint="eastAsia" w:ascii="方正仿宋_GB2312" w:hAnsi="方正仿宋_GB2312" w:eastAsia="方正仿宋_GB2312" w:cs="方正仿宋_GB2312"/>
          <w:color w:val="auto"/>
          <w:kern w:val="0"/>
          <w:sz w:val="24"/>
          <w:highlight w:val="none"/>
        </w:rPr>
        <w:t xml:space="preserve"> </w:t>
      </w:r>
      <w:r>
        <w:rPr>
          <w:rFonts w:hint="eastAsia" w:ascii="方正仿宋_GB2312" w:hAnsi="方正仿宋_GB2312" w:eastAsia="方正仿宋_GB2312" w:cs="方正仿宋_GB2312"/>
          <w:color w:val="auto"/>
          <w:kern w:val="0"/>
          <w:sz w:val="24"/>
          <w:highlight w:val="none"/>
          <w:lang w:val="zh-CN"/>
        </w:rPr>
        <w:t>月   日</w:t>
      </w:r>
    </w:p>
    <w:p w14:paraId="367993BB">
      <w:pPr>
        <w:spacing w:line="360" w:lineRule="auto"/>
        <w:contextualSpacing/>
        <w:jc w:val="left"/>
        <w:rPr>
          <w:rFonts w:hint="eastAsia" w:ascii="方正仿宋_GB2312" w:hAnsi="方正仿宋_GB2312" w:eastAsia="方正仿宋_GB2312" w:cs="方正仿宋_GB2312"/>
          <w:color w:val="auto"/>
          <w:sz w:val="24"/>
          <w:highlight w:val="none"/>
        </w:rPr>
      </w:pPr>
    </w:p>
    <w:p w14:paraId="71C93EBD">
      <w:pPr>
        <w:spacing w:line="360" w:lineRule="auto"/>
        <w:contextualSpacing/>
        <w:jc w:val="lef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注：1.自然人竞标的无需提供，联合体竞标的只需牵头人出具。</w:t>
      </w:r>
    </w:p>
    <w:p w14:paraId="65E22B0E">
      <w:pPr>
        <w:spacing w:line="360" w:lineRule="auto"/>
        <w:ind w:firstLine="480" w:firstLineChars="200"/>
        <w:contextualSpacing/>
        <w:jc w:val="left"/>
        <w:rPr>
          <w:rFonts w:hint="eastAsia" w:ascii="方正仿宋_GB2312" w:hAnsi="方正仿宋_GB2312" w:eastAsia="方正仿宋_GB2312" w:cs="方正仿宋_GB2312"/>
          <w:color w:val="auto"/>
          <w:sz w:val="24"/>
          <w:highlight w:val="none"/>
        </w:rPr>
        <w:sectPr>
          <w:pgSz w:w="11905" w:h="16838"/>
          <w:pgMar w:top="1440" w:right="1080" w:bottom="1440" w:left="1080" w:header="720" w:footer="720" w:gutter="0"/>
          <w:pgNumType w:fmt="decimal"/>
          <w:cols w:space="720" w:num="1"/>
          <w:docGrid w:type="lines" w:linePitch="331" w:charSpace="0"/>
        </w:sectPr>
      </w:pPr>
      <w:r>
        <w:rPr>
          <w:rFonts w:hint="eastAsia" w:ascii="方正仿宋_GB2312" w:hAnsi="方正仿宋_GB2312" w:eastAsia="方正仿宋_GB2312" w:cs="方正仿宋_GB2312"/>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9973F1A">
      <w:pPr>
        <w:spacing w:line="520" w:lineRule="exact"/>
        <w:ind w:firstLine="602" w:firstLineChars="200"/>
        <w:jc w:val="left"/>
        <w:rPr>
          <w:rFonts w:hint="eastAsia" w:ascii="方正仿宋_GB2312" w:hAnsi="方正仿宋_GB2312" w:eastAsia="方正仿宋_GB2312" w:cs="方正仿宋_GB2312"/>
          <w:bCs/>
          <w:color w:val="auto"/>
          <w:sz w:val="44"/>
          <w:szCs w:val="44"/>
          <w:highlight w:val="none"/>
        </w:rPr>
      </w:pPr>
      <w:r>
        <w:rPr>
          <w:rFonts w:hint="eastAsia" w:ascii="方正仿宋_GB2312" w:hAnsi="方正仿宋_GB2312" w:eastAsia="方正仿宋_GB2312" w:cs="方正仿宋_GB2312"/>
          <w:b/>
          <w:color w:val="auto"/>
          <w:sz w:val="30"/>
          <w:szCs w:val="30"/>
          <w:highlight w:val="none"/>
        </w:rPr>
        <w:t>三、法定代表人授权委托书及委托代理人有效身份证正反面复印件（如有委托时）</w:t>
      </w:r>
    </w:p>
    <w:p w14:paraId="19D31134">
      <w:pPr>
        <w:spacing w:line="500" w:lineRule="exact"/>
        <w:jc w:val="center"/>
        <w:rPr>
          <w:rFonts w:hint="eastAsia" w:ascii="方正仿宋_GB2312" w:hAnsi="方正仿宋_GB2312" w:eastAsia="方正仿宋_GB2312" w:cs="方正仿宋_GB2312"/>
          <w:color w:val="auto"/>
          <w:sz w:val="44"/>
          <w:szCs w:val="44"/>
          <w:highlight w:val="none"/>
        </w:rPr>
      </w:pPr>
    </w:p>
    <w:p w14:paraId="7C7CB811">
      <w:pPr>
        <w:spacing w:line="520" w:lineRule="exact"/>
        <w:jc w:val="center"/>
        <w:rPr>
          <w:rFonts w:hint="eastAsia" w:ascii="方正仿宋_GB2312" w:hAnsi="方正仿宋_GB2312" w:eastAsia="方正仿宋_GB2312" w:cs="方正仿宋_GB2312"/>
          <w:b/>
          <w:bCs/>
          <w:color w:val="auto"/>
          <w:sz w:val="30"/>
          <w:szCs w:val="30"/>
          <w:highlight w:val="none"/>
        </w:rPr>
      </w:pPr>
      <w:r>
        <w:rPr>
          <w:rFonts w:hint="eastAsia" w:ascii="方正仿宋_GB2312" w:hAnsi="方正仿宋_GB2312" w:eastAsia="方正仿宋_GB2312" w:cs="方正仿宋_GB2312"/>
          <w:b/>
          <w:bCs/>
          <w:color w:val="auto"/>
          <w:sz w:val="30"/>
          <w:szCs w:val="30"/>
          <w:highlight w:val="none"/>
        </w:rPr>
        <w:t>授权委托书（非联合体竞标格式）</w:t>
      </w:r>
    </w:p>
    <w:p w14:paraId="00C9D566">
      <w:pPr>
        <w:spacing w:line="520" w:lineRule="exact"/>
        <w:jc w:val="center"/>
        <w:rPr>
          <w:rFonts w:hint="eastAsia" w:ascii="方正仿宋_GB2312" w:hAnsi="方正仿宋_GB2312" w:eastAsia="方正仿宋_GB2312" w:cs="方正仿宋_GB2312"/>
          <w:b/>
          <w:bCs/>
          <w:color w:val="auto"/>
          <w:sz w:val="30"/>
          <w:szCs w:val="30"/>
          <w:highlight w:val="none"/>
        </w:rPr>
      </w:pPr>
      <w:r>
        <w:rPr>
          <w:rFonts w:hint="eastAsia" w:ascii="方正仿宋_GB2312" w:hAnsi="方正仿宋_GB2312" w:eastAsia="方正仿宋_GB2312" w:cs="方正仿宋_GB2312"/>
          <w:b/>
          <w:bCs/>
          <w:color w:val="auto"/>
          <w:sz w:val="30"/>
          <w:szCs w:val="30"/>
          <w:highlight w:val="none"/>
        </w:rPr>
        <w:t>（如有委托时）</w:t>
      </w:r>
    </w:p>
    <w:p w14:paraId="2BBE12B7">
      <w:pPr>
        <w:spacing w:line="520" w:lineRule="exact"/>
        <w:rPr>
          <w:rFonts w:hint="eastAsia" w:ascii="方正仿宋_GB2312" w:hAnsi="方正仿宋_GB2312" w:eastAsia="方正仿宋_GB2312" w:cs="方正仿宋_GB2312"/>
          <w:color w:val="auto"/>
          <w:sz w:val="32"/>
          <w:szCs w:val="32"/>
          <w:highlight w:val="none"/>
        </w:rPr>
      </w:pPr>
    </w:p>
    <w:p w14:paraId="0FDDEDD3">
      <w:pPr>
        <w:spacing w:line="360" w:lineRule="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致：</w:t>
      </w:r>
      <w:r>
        <w:rPr>
          <w:rFonts w:hint="eastAsia" w:ascii="方正仿宋_GB2312" w:hAnsi="方正仿宋_GB2312" w:eastAsia="方正仿宋_GB2312" w:cs="方正仿宋_GB2312"/>
          <w:color w:val="auto"/>
          <w:sz w:val="24"/>
          <w:highlight w:val="none"/>
          <w:u w:val="single"/>
        </w:rPr>
        <w:t>广西同盛工程咨询有限公司</w:t>
      </w:r>
    </w:p>
    <w:p w14:paraId="5C6C1014">
      <w:pPr>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我</w:t>
      </w:r>
      <w:r>
        <w:rPr>
          <w:rFonts w:hint="eastAsia" w:ascii="方正仿宋_GB2312" w:hAnsi="方正仿宋_GB2312" w:eastAsia="方正仿宋_GB2312" w:cs="方正仿宋_GB2312"/>
          <w:color w:val="auto"/>
          <w:sz w:val="24"/>
          <w:highlight w:val="none"/>
          <w:u w:val="single"/>
        </w:rPr>
        <w:t xml:space="preserve">  （姓名）  </w:t>
      </w:r>
      <w:r>
        <w:rPr>
          <w:rFonts w:hint="eastAsia" w:ascii="方正仿宋_GB2312" w:hAnsi="方正仿宋_GB2312" w:eastAsia="方正仿宋_GB2312" w:cs="方正仿宋_GB2312"/>
          <w:color w:val="auto"/>
          <w:sz w:val="24"/>
          <w:highlight w:val="none"/>
        </w:rPr>
        <w:t>系</w:t>
      </w:r>
      <w:r>
        <w:rPr>
          <w:rFonts w:hint="eastAsia" w:ascii="方正仿宋_GB2312" w:hAnsi="方正仿宋_GB2312" w:eastAsia="方正仿宋_GB2312" w:cs="方正仿宋_GB2312"/>
          <w:color w:val="auto"/>
          <w:sz w:val="24"/>
          <w:highlight w:val="none"/>
          <w:u w:val="single"/>
        </w:rPr>
        <w:t xml:space="preserve">  （供应商名称）  </w:t>
      </w:r>
      <w:r>
        <w:rPr>
          <w:rFonts w:hint="eastAsia" w:ascii="方正仿宋_GB2312" w:hAnsi="方正仿宋_GB2312" w:eastAsia="方正仿宋_GB2312" w:cs="方正仿宋_GB2312"/>
          <w:color w:val="auto"/>
          <w:sz w:val="24"/>
          <w:highlight w:val="none"/>
        </w:rPr>
        <w:t>的（</w:t>
      </w:r>
      <w:r>
        <w:rPr>
          <w:rFonts w:hint="eastAsia" w:ascii="方正仿宋_GB2312" w:hAnsi="方正仿宋_GB2312" w:eastAsia="方正仿宋_GB2312" w:cs="方正仿宋_GB2312"/>
          <w:color w:val="auto"/>
          <w:sz w:val="24"/>
          <w:highlight w:val="none"/>
          <w:u w:val="single"/>
        </w:rPr>
        <w:t>□法定代表人/□负责人/□自然人本人</w:t>
      </w:r>
      <w:r>
        <w:rPr>
          <w:rFonts w:hint="eastAsia" w:ascii="方正仿宋_GB2312" w:hAnsi="方正仿宋_GB2312" w:eastAsia="方正仿宋_GB2312" w:cs="方正仿宋_GB2312"/>
          <w:color w:val="auto"/>
          <w:sz w:val="24"/>
          <w:highlight w:val="none"/>
        </w:rPr>
        <w:t>），现授权</w:t>
      </w:r>
      <w:r>
        <w:rPr>
          <w:rFonts w:hint="eastAsia" w:ascii="方正仿宋_GB2312" w:hAnsi="方正仿宋_GB2312" w:eastAsia="方正仿宋_GB2312" w:cs="方正仿宋_GB2312"/>
          <w:color w:val="auto"/>
          <w:sz w:val="24"/>
          <w:highlight w:val="none"/>
          <w:u w:val="single"/>
        </w:rPr>
        <w:t xml:space="preserve"> （姓名、职务） </w:t>
      </w:r>
      <w:r>
        <w:rPr>
          <w:rFonts w:hint="eastAsia" w:ascii="方正仿宋_GB2312" w:hAnsi="方正仿宋_GB2312" w:eastAsia="方正仿宋_GB2312" w:cs="方正仿宋_GB2312"/>
          <w:color w:val="auto"/>
          <w:sz w:val="24"/>
          <w:highlight w:val="none"/>
        </w:rPr>
        <w:t>以我方的名义参加</w:t>
      </w:r>
      <w:r>
        <w:rPr>
          <w:rFonts w:hint="eastAsia" w:ascii="方正仿宋_GB2312" w:hAnsi="方正仿宋_GB2312" w:eastAsia="方正仿宋_GB2312" w:cs="方正仿宋_GB2312"/>
          <w:color w:val="auto"/>
          <w:sz w:val="24"/>
          <w:highlight w:val="none"/>
          <w:u w:val="single"/>
        </w:rPr>
        <w:t xml:space="preserve">    （项目名称、项目编号）   </w:t>
      </w:r>
      <w:r>
        <w:rPr>
          <w:rFonts w:hint="eastAsia" w:ascii="方正仿宋_GB2312" w:hAnsi="方正仿宋_GB2312" w:eastAsia="方正仿宋_GB2312" w:cs="方正仿宋_GB2312"/>
          <w:color w:val="auto"/>
          <w:sz w:val="24"/>
          <w:highlight w:val="none"/>
        </w:rPr>
        <w:t>项目的竞标活动，并代表我方全权办理针对上述项目的所有采购程序和环节的具体事务和签署相关文件。</w:t>
      </w:r>
    </w:p>
    <w:p w14:paraId="4ECF71F2">
      <w:pPr>
        <w:spacing w:line="360" w:lineRule="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我方对委托代理人的签字事项负全部责任。</w:t>
      </w:r>
    </w:p>
    <w:p w14:paraId="2D96AF4F">
      <w:pPr>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本授权书自签署之日起生效，在撤销授权的书面通知以前，本授权书一直有效。委托代理人在授权书有效期内签署的所有文件不因授权的撤销而失效。</w:t>
      </w:r>
    </w:p>
    <w:p w14:paraId="4F3683EF">
      <w:pPr>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委托代理人无转委托权，特此委托。</w:t>
      </w:r>
    </w:p>
    <w:p w14:paraId="4EC07AF3">
      <w:pPr>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附：法定代表人身份证明书及委托代理人有效身份证正反面复印件</w:t>
      </w:r>
    </w:p>
    <w:p w14:paraId="64F59DF5">
      <w:pPr>
        <w:spacing w:line="360" w:lineRule="auto"/>
        <w:rPr>
          <w:rFonts w:hint="eastAsia" w:ascii="方正仿宋_GB2312" w:hAnsi="方正仿宋_GB2312" w:eastAsia="方正仿宋_GB2312" w:cs="方正仿宋_GB2312"/>
          <w:color w:val="auto"/>
          <w:sz w:val="24"/>
          <w:highlight w:val="none"/>
        </w:rPr>
      </w:pPr>
    </w:p>
    <w:p w14:paraId="47A0131F">
      <w:pPr>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委托代理人（签字或盖章）：              法定代表人（签字或盖章）：                    </w:t>
      </w:r>
    </w:p>
    <w:p w14:paraId="1E26D401">
      <w:pPr>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委托代理人身份证号码：                              </w:t>
      </w:r>
    </w:p>
    <w:p w14:paraId="3D0308C5">
      <w:pPr>
        <w:spacing w:line="360" w:lineRule="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w:t>
      </w:r>
    </w:p>
    <w:p w14:paraId="6AD25524">
      <w:pPr>
        <w:spacing w:line="360" w:lineRule="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kern w:val="0"/>
          <w:sz w:val="24"/>
          <w:highlight w:val="none"/>
        </w:rPr>
        <w:t>供应商名称（电子签章）：</w:t>
      </w:r>
    </w:p>
    <w:p w14:paraId="7E1EFCFC">
      <w:pPr>
        <w:spacing w:line="360" w:lineRule="auto"/>
        <w:contextualSpacing/>
        <w:jc w:val="center"/>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color w:val="auto"/>
          <w:kern w:val="0"/>
          <w:sz w:val="24"/>
          <w:highlight w:val="none"/>
          <w:lang w:val="zh-CN"/>
        </w:rPr>
        <w:t xml:space="preserve">                              </w:t>
      </w:r>
      <w:r>
        <w:rPr>
          <w:rFonts w:hint="eastAsia" w:ascii="方正仿宋_GB2312" w:hAnsi="方正仿宋_GB2312" w:eastAsia="方正仿宋_GB2312" w:cs="方正仿宋_GB2312"/>
          <w:color w:val="auto"/>
          <w:kern w:val="0"/>
          <w:sz w:val="24"/>
          <w:highlight w:val="none"/>
        </w:rPr>
        <w:t xml:space="preserve"> </w:t>
      </w:r>
      <w:r>
        <w:rPr>
          <w:rFonts w:hint="eastAsia" w:ascii="方正仿宋_GB2312" w:hAnsi="方正仿宋_GB2312" w:eastAsia="方正仿宋_GB2312" w:cs="方正仿宋_GB2312"/>
          <w:color w:val="auto"/>
          <w:kern w:val="0"/>
          <w:sz w:val="24"/>
          <w:highlight w:val="none"/>
          <w:lang w:val="zh-CN"/>
        </w:rPr>
        <w:t xml:space="preserve">日期：  年 </w:t>
      </w:r>
      <w:r>
        <w:rPr>
          <w:rFonts w:hint="eastAsia" w:ascii="方正仿宋_GB2312" w:hAnsi="方正仿宋_GB2312" w:eastAsia="方正仿宋_GB2312" w:cs="方正仿宋_GB2312"/>
          <w:color w:val="auto"/>
          <w:kern w:val="0"/>
          <w:sz w:val="24"/>
          <w:highlight w:val="none"/>
        </w:rPr>
        <w:t xml:space="preserve"> </w:t>
      </w:r>
      <w:r>
        <w:rPr>
          <w:rFonts w:hint="eastAsia" w:ascii="方正仿宋_GB2312" w:hAnsi="方正仿宋_GB2312" w:eastAsia="方正仿宋_GB2312" w:cs="方正仿宋_GB2312"/>
          <w:color w:val="auto"/>
          <w:kern w:val="0"/>
          <w:sz w:val="24"/>
          <w:highlight w:val="none"/>
          <w:lang w:val="zh-CN"/>
        </w:rPr>
        <w:t xml:space="preserve"> 月   日</w:t>
      </w:r>
    </w:p>
    <w:p w14:paraId="70A334D0">
      <w:pPr>
        <w:spacing w:line="360" w:lineRule="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注：1.法定代表人必须在授权委托书上亲笔签字或盖章，委托代理人必须在授权委托书上签字或盖章，</w:t>
      </w:r>
      <w:r>
        <w:rPr>
          <w:rFonts w:hint="eastAsia" w:ascii="方正仿宋_GB2312" w:hAnsi="方正仿宋_GB2312" w:eastAsia="方正仿宋_GB2312" w:cs="方正仿宋_GB2312"/>
          <w:b/>
          <w:color w:val="auto"/>
          <w:sz w:val="24"/>
          <w:highlight w:val="none"/>
        </w:rPr>
        <w:t>否则其响应文件按无效响应处理。</w:t>
      </w:r>
    </w:p>
    <w:p w14:paraId="08C3892E">
      <w:pPr>
        <w:spacing w:line="360" w:lineRule="auto"/>
        <w:ind w:firstLine="480" w:firstLineChars="200"/>
        <w:jc w:val="lef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060C332">
      <w:pPr>
        <w:spacing w:line="360" w:lineRule="auto"/>
        <w:ind w:firstLine="48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 w:val="24"/>
          <w:highlight w:val="none"/>
        </w:rPr>
        <w:t>3.法人、其他组织竞标时“我方”是指“我单位”，自然人竞标时“我方”是指“本人”。</w:t>
      </w:r>
    </w:p>
    <w:p w14:paraId="3B0BFB8B">
      <w:pPr>
        <w:spacing w:line="360" w:lineRule="auto"/>
        <w:ind w:firstLine="602"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color w:val="auto"/>
          <w:sz w:val="30"/>
          <w:szCs w:val="30"/>
          <w:highlight w:val="none"/>
        </w:rPr>
        <w:t>四、商务条款偏离表</w:t>
      </w:r>
    </w:p>
    <w:p w14:paraId="1B661CAC">
      <w:pPr>
        <w:spacing w:line="500" w:lineRule="exact"/>
        <w:jc w:val="center"/>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商务条款偏离表</w:t>
      </w:r>
    </w:p>
    <w:p w14:paraId="7B3257BD">
      <w:pPr>
        <w:spacing w:line="520" w:lineRule="exact"/>
        <w:rPr>
          <w:rFonts w:hint="eastAsia" w:ascii="方正仿宋_GB2312" w:hAnsi="方正仿宋_GB2312" w:eastAsia="方正仿宋_GB2312" w:cs="方正仿宋_GB2312"/>
          <w:color w:val="auto"/>
          <w:sz w:val="32"/>
          <w:szCs w:val="32"/>
          <w:highlight w:val="none"/>
        </w:rPr>
      </w:pPr>
    </w:p>
    <w:p w14:paraId="399F1B35">
      <w:pPr>
        <w:spacing w:line="360" w:lineRule="auto"/>
        <w:contextualSpacing/>
        <w:rPr>
          <w:rFonts w:hint="eastAsia" w:ascii="方正仿宋_GB2312" w:hAnsi="方正仿宋_GB2312" w:eastAsia="方正仿宋_GB2312" w:cs="方正仿宋_GB2312"/>
          <w:color w:val="auto"/>
          <w:sz w:val="24"/>
          <w:highlight w:val="none"/>
          <w:u w:val="single"/>
        </w:rPr>
      </w:pPr>
      <w:r>
        <w:rPr>
          <w:rFonts w:hint="eastAsia" w:ascii="方正仿宋_GB2312" w:hAnsi="方正仿宋_GB2312" w:eastAsia="方正仿宋_GB2312" w:cs="方正仿宋_GB2312"/>
          <w:color w:val="auto"/>
          <w:sz w:val="24"/>
          <w:highlight w:val="none"/>
        </w:rPr>
        <w:t>采购项目编号：</w:t>
      </w:r>
      <w:r>
        <w:rPr>
          <w:rFonts w:hint="eastAsia" w:ascii="方正仿宋_GB2312" w:hAnsi="方正仿宋_GB2312" w:eastAsia="方正仿宋_GB2312" w:cs="方正仿宋_GB2312"/>
          <w:color w:val="auto"/>
          <w:sz w:val="24"/>
          <w:highlight w:val="none"/>
          <w:u w:val="single"/>
        </w:rPr>
        <w:t xml:space="preserve">                </w:t>
      </w:r>
    </w:p>
    <w:p w14:paraId="7FA635D1">
      <w:pPr>
        <w:spacing w:line="360" w:lineRule="auto"/>
        <w:contextualSpacing/>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采购项目名称：</w:t>
      </w:r>
      <w:r>
        <w:rPr>
          <w:rFonts w:hint="eastAsia" w:ascii="方正仿宋_GB2312" w:hAnsi="方正仿宋_GB2312" w:eastAsia="方正仿宋_GB2312" w:cs="方正仿宋_GB2312"/>
          <w:color w:val="auto"/>
          <w:sz w:val="24"/>
          <w:highlight w:val="none"/>
          <w:u w:val="single"/>
        </w:rPr>
        <w:t xml:space="preserve">                 </w:t>
      </w:r>
    </w:p>
    <w:p w14:paraId="7C2C349E">
      <w:pPr>
        <w:spacing w:line="360" w:lineRule="auto"/>
        <w:contextualSpacing/>
        <w:rPr>
          <w:rFonts w:hint="eastAsia" w:ascii="方正仿宋_GB2312" w:hAnsi="方正仿宋_GB2312" w:eastAsia="方正仿宋_GB2312" w:cs="方正仿宋_GB2312"/>
          <w:color w:val="auto"/>
          <w:sz w:val="24"/>
          <w:highlight w:val="none"/>
          <w:u w:val="single"/>
        </w:rPr>
      </w:pPr>
      <w:r>
        <w:rPr>
          <w:rFonts w:hint="eastAsia" w:ascii="方正仿宋_GB2312" w:hAnsi="方正仿宋_GB2312" w:eastAsia="方正仿宋_GB2312" w:cs="方正仿宋_GB2312"/>
          <w:color w:val="auto"/>
          <w:sz w:val="24"/>
          <w:highlight w:val="none"/>
        </w:rPr>
        <w:t>分标号</w:t>
      </w:r>
      <w:r>
        <w:rPr>
          <w:rFonts w:hint="eastAsia" w:ascii="方正仿宋_GB2312" w:hAnsi="方正仿宋_GB2312" w:eastAsia="方正仿宋_GB2312" w:cs="方正仿宋_GB2312"/>
          <w:color w:val="auto"/>
          <w:szCs w:val="21"/>
          <w:highlight w:val="none"/>
        </w:rPr>
        <w:t>（此处有分标时填写具体分标号，无分标时填写“无”）</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highlight w:val="none"/>
          <w:u w:val="single"/>
        </w:rPr>
        <w:t xml:space="preserve">        </w:t>
      </w:r>
    </w:p>
    <w:tbl>
      <w:tblPr>
        <w:tblStyle w:val="2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449"/>
        <w:gridCol w:w="3196"/>
        <w:gridCol w:w="1274"/>
      </w:tblGrid>
      <w:tr w14:paraId="3641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2E2B2F6C">
            <w:pPr>
              <w:spacing w:line="340" w:lineRule="exact"/>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项号</w:t>
            </w:r>
          </w:p>
        </w:tc>
        <w:tc>
          <w:tcPr>
            <w:tcW w:w="3449" w:type="dxa"/>
            <w:tcBorders>
              <w:top w:val="single" w:color="auto" w:sz="4" w:space="0"/>
              <w:left w:val="single" w:color="auto" w:sz="4" w:space="0"/>
              <w:bottom w:val="single" w:color="auto" w:sz="4" w:space="0"/>
              <w:right w:val="single" w:color="auto" w:sz="4" w:space="0"/>
            </w:tcBorders>
            <w:noWrap w:val="0"/>
            <w:vAlign w:val="center"/>
          </w:tcPr>
          <w:p w14:paraId="6592EEB9">
            <w:pPr>
              <w:spacing w:line="340" w:lineRule="exact"/>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竞争性磋商文件的商务需求</w:t>
            </w:r>
          </w:p>
        </w:tc>
        <w:tc>
          <w:tcPr>
            <w:tcW w:w="3196" w:type="dxa"/>
            <w:tcBorders>
              <w:top w:val="single" w:color="auto" w:sz="4" w:space="0"/>
              <w:left w:val="single" w:color="auto" w:sz="4" w:space="0"/>
              <w:bottom w:val="single" w:color="auto" w:sz="4" w:space="0"/>
              <w:right w:val="single" w:color="auto" w:sz="4" w:space="0"/>
            </w:tcBorders>
            <w:noWrap w:val="0"/>
            <w:vAlign w:val="center"/>
          </w:tcPr>
          <w:p w14:paraId="5538632E">
            <w:pPr>
              <w:spacing w:line="340" w:lineRule="exact"/>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4F444D2">
            <w:pPr>
              <w:spacing w:line="340" w:lineRule="exact"/>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偏离说明</w:t>
            </w:r>
          </w:p>
        </w:tc>
      </w:tr>
      <w:tr w14:paraId="2CBC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BD47E2E">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w:t>
            </w:r>
          </w:p>
        </w:tc>
        <w:tc>
          <w:tcPr>
            <w:tcW w:w="3449" w:type="dxa"/>
            <w:tcBorders>
              <w:top w:val="single" w:color="auto" w:sz="4" w:space="0"/>
              <w:left w:val="single" w:color="auto" w:sz="4" w:space="0"/>
              <w:bottom w:val="single" w:color="auto" w:sz="4" w:space="0"/>
              <w:right w:val="single" w:color="auto" w:sz="4" w:space="0"/>
            </w:tcBorders>
            <w:noWrap w:val="0"/>
            <w:vAlign w:val="top"/>
          </w:tcPr>
          <w:p w14:paraId="5A9CE694">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  ……</w:t>
            </w:r>
          </w:p>
          <w:p w14:paraId="43AB8E4D">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  ……</w:t>
            </w:r>
          </w:p>
          <w:p w14:paraId="69B09090">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  ……</w:t>
            </w:r>
          </w:p>
          <w:p w14:paraId="1B1F16E8">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p>
        </w:tc>
        <w:tc>
          <w:tcPr>
            <w:tcW w:w="3196" w:type="dxa"/>
            <w:tcBorders>
              <w:top w:val="single" w:color="auto" w:sz="4" w:space="0"/>
              <w:left w:val="single" w:color="auto" w:sz="4" w:space="0"/>
              <w:bottom w:val="single" w:color="auto" w:sz="4" w:space="0"/>
              <w:right w:val="single" w:color="auto" w:sz="4" w:space="0"/>
            </w:tcBorders>
            <w:noWrap w:val="0"/>
            <w:vAlign w:val="top"/>
          </w:tcPr>
          <w:p w14:paraId="0D0B598F">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  ……</w:t>
            </w:r>
          </w:p>
          <w:p w14:paraId="3CC65936">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  ……</w:t>
            </w:r>
          </w:p>
          <w:p w14:paraId="383BA275">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  ……</w:t>
            </w:r>
          </w:p>
          <w:p w14:paraId="415AB2E7">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A41BF82">
            <w:pPr>
              <w:spacing w:line="300" w:lineRule="exact"/>
              <w:rPr>
                <w:rFonts w:hint="eastAsia" w:ascii="方正仿宋_GB2312" w:hAnsi="方正仿宋_GB2312" w:eastAsia="方正仿宋_GB2312" w:cs="方正仿宋_GB2312"/>
                <w:color w:val="auto"/>
                <w:sz w:val="24"/>
                <w:highlight w:val="none"/>
              </w:rPr>
            </w:pPr>
          </w:p>
        </w:tc>
      </w:tr>
      <w:tr w14:paraId="5BB1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1CED548">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p>
        </w:tc>
        <w:tc>
          <w:tcPr>
            <w:tcW w:w="3449" w:type="dxa"/>
            <w:tcBorders>
              <w:top w:val="single" w:color="auto" w:sz="4" w:space="0"/>
              <w:left w:val="single" w:color="auto" w:sz="4" w:space="0"/>
              <w:bottom w:val="single" w:color="auto" w:sz="4" w:space="0"/>
              <w:right w:val="single" w:color="auto" w:sz="4" w:space="0"/>
            </w:tcBorders>
            <w:noWrap w:val="0"/>
            <w:vAlign w:val="top"/>
          </w:tcPr>
          <w:p w14:paraId="0F185841">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  ……</w:t>
            </w:r>
          </w:p>
          <w:p w14:paraId="072B90E9">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  ……</w:t>
            </w:r>
          </w:p>
          <w:p w14:paraId="4DBD6965">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  ……</w:t>
            </w:r>
          </w:p>
          <w:p w14:paraId="7AEB76A0">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p>
        </w:tc>
        <w:tc>
          <w:tcPr>
            <w:tcW w:w="3196" w:type="dxa"/>
            <w:tcBorders>
              <w:top w:val="single" w:color="auto" w:sz="4" w:space="0"/>
              <w:left w:val="single" w:color="auto" w:sz="4" w:space="0"/>
              <w:bottom w:val="single" w:color="auto" w:sz="4" w:space="0"/>
              <w:right w:val="single" w:color="auto" w:sz="4" w:space="0"/>
            </w:tcBorders>
            <w:noWrap w:val="0"/>
            <w:vAlign w:val="top"/>
          </w:tcPr>
          <w:p w14:paraId="3E72FC34">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  ……</w:t>
            </w:r>
          </w:p>
          <w:p w14:paraId="7039625A">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  ……</w:t>
            </w:r>
          </w:p>
          <w:p w14:paraId="5B1A1757">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  ……</w:t>
            </w:r>
          </w:p>
          <w:p w14:paraId="466EDDA4">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F1DA64A">
            <w:pPr>
              <w:spacing w:line="300" w:lineRule="exact"/>
              <w:rPr>
                <w:rFonts w:hint="eastAsia" w:ascii="方正仿宋_GB2312" w:hAnsi="方正仿宋_GB2312" w:eastAsia="方正仿宋_GB2312" w:cs="方正仿宋_GB2312"/>
                <w:color w:val="auto"/>
                <w:sz w:val="24"/>
                <w:highlight w:val="none"/>
              </w:rPr>
            </w:pPr>
          </w:p>
        </w:tc>
      </w:tr>
    </w:tbl>
    <w:p w14:paraId="26E8DB1D">
      <w:pPr>
        <w:pStyle w:val="14"/>
        <w:spacing w:line="400" w:lineRule="exact"/>
        <w:ind w:firstLine="0" w:firstLineChars="0"/>
        <w:contextualSpacing/>
        <w:rPr>
          <w:rFonts w:hint="eastAsia" w:ascii="方正仿宋_GB2312" w:hAnsi="方正仿宋_GB2312" w:eastAsia="方正仿宋_GB2312" w:cs="方正仿宋_GB2312"/>
          <w:color w:val="auto"/>
          <w:sz w:val="21"/>
          <w:szCs w:val="21"/>
          <w:highlight w:val="none"/>
        </w:rPr>
      </w:pPr>
    </w:p>
    <w:p w14:paraId="1D58604C">
      <w:pPr>
        <w:pStyle w:val="14"/>
        <w:spacing w:line="400" w:lineRule="exact"/>
        <w:ind w:firstLine="0" w:firstLineChars="0"/>
        <w:contextualSpacing/>
        <w:rPr>
          <w:rFonts w:hint="eastAsia" w:ascii="方正仿宋_GB2312" w:hAnsi="方正仿宋_GB2312" w:eastAsia="方正仿宋_GB2312" w:cs="方正仿宋_GB2312"/>
          <w:color w:val="auto"/>
          <w:sz w:val="21"/>
          <w:szCs w:val="21"/>
          <w:highlight w:val="none"/>
        </w:rPr>
      </w:pPr>
    </w:p>
    <w:p w14:paraId="54EE5DEF">
      <w:pPr>
        <w:pStyle w:val="14"/>
        <w:spacing w:line="400" w:lineRule="exact"/>
        <w:ind w:firstLine="0" w:firstLineChars="0"/>
        <w:contextualSpacing/>
        <w:rPr>
          <w:rFonts w:hint="eastAsia" w:ascii="方正仿宋_GB2312" w:hAnsi="方正仿宋_GB2312" w:eastAsia="方正仿宋_GB2312" w:cs="方正仿宋_GB2312"/>
          <w:color w:val="auto"/>
          <w:sz w:val="21"/>
          <w:szCs w:val="21"/>
          <w:highlight w:val="none"/>
        </w:rPr>
      </w:pPr>
    </w:p>
    <w:p w14:paraId="138DA67A">
      <w:pPr>
        <w:pStyle w:val="14"/>
        <w:spacing w:line="400" w:lineRule="exact"/>
        <w:ind w:firstLine="0" w:firstLineChars="0"/>
        <w:contextualSpacing/>
        <w:rPr>
          <w:rFonts w:hint="eastAsia" w:ascii="方正仿宋_GB2312" w:hAnsi="方正仿宋_GB2312" w:eastAsia="方正仿宋_GB2312" w:cs="方正仿宋_GB2312"/>
          <w:color w:val="auto"/>
          <w:sz w:val="21"/>
          <w:szCs w:val="21"/>
          <w:highlight w:val="none"/>
        </w:rPr>
      </w:pPr>
    </w:p>
    <w:p w14:paraId="3DAF2847">
      <w:pPr>
        <w:pStyle w:val="14"/>
        <w:spacing w:line="400" w:lineRule="exact"/>
        <w:ind w:firstLine="0" w:firstLineChars="0"/>
        <w:contextualSpacing/>
        <w:rPr>
          <w:rFonts w:hint="eastAsia" w:ascii="方正仿宋_GB2312" w:hAnsi="方正仿宋_GB2312" w:eastAsia="方正仿宋_GB2312" w:cs="方正仿宋_GB2312"/>
          <w:color w:val="auto"/>
          <w:sz w:val="21"/>
          <w:szCs w:val="21"/>
          <w:highlight w:val="none"/>
        </w:rPr>
      </w:pPr>
    </w:p>
    <w:p w14:paraId="0C30E2C9">
      <w:pPr>
        <w:pStyle w:val="14"/>
        <w:spacing w:line="400" w:lineRule="exact"/>
        <w:ind w:firstLine="0" w:firstLineChars="0"/>
        <w:contextualSpacing/>
        <w:rPr>
          <w:rFonts w:hint="eastAsia" w:ascii="方正仿宋_GB2312" w:hAnsi="方正仿宋_GB2312" w:eastAsia="方正仿宋_GB2312" w:cs="方正仿宋_GB2312"/>
          <w:color w:val="auto"/>
          <w:sz w:val="21"/>
          <w:szCs w:val="21"/>
          <w:highlight w:val="none"/>
        </w:rPr>
      </w:pPr>
    </w:p>
    <w:p w14:paraId="64BC7B0E">
      <w:pPr>
        <w:pStyle w:val="14"/>
        <w:spacing w:line="400" w:lineRule="exact"/>
        <w:ind w:firstLine="0" w:firstLineChars="0"/>
        <w:contextualSpacing/>
        <w:rPr>
          <w:rFonts w:hint="eastAsia" w:ascii="方正仿宋_GB2312" w:hAnsi="方正仿宋_GB2312" w:eastAsia="方正仿宋_GB2312" w:cs="方正仿宋_GB2312"/>
          <w:color w:val="auto"/>
          <w:sz w:val="21"/>
          <w:szCs w:val="21"/>
          <w:highlight w:val="none"/>
        </w:rPr>
      </w:pPr>
    </w:p>
    <w:p w14:paraId="410FE23F">
      <w:pPr>
        <w:pStyle w:val="14"/>
        <w:spacing w:line="400" w:lineRule="exact"/>
        <w:ind w:firstLine="0" w:firstLineChars="0"/>
        <w:contextualSpacing/>
        <w:rPr>
          <w:rFonts w:hint="eastAsia" w:ascii="方正仿宋_GB2312" w:hAnsi="方正仿宋_GB2312" w:eastAsia="方正仿宋_GB2312" w:cs="方正仿宋_GB2312"/>
          <w:color w:val="auto"/>
          <w:sz w:val="21"/>
          <w:szCs w:val="21"/>
          <w:highlight w:val="none"/>
        </w:rPr>
      </w:pPr>
    </w:p>
    <w:p w14:paraId="4E5BEE2F">
      <w:pPr>
        <w:pStyle w:val="14"/>
        <w:spacing w:line="400" w:lineRule="exact"/>
        <w:ind w:firstLine="0" w:firstLineChars="0"/>
        <w:contextualSpacing/>
        <w:rPr>
          <w:rFonts w:hint="eastAsia" w:ascii="方正仿宋_GB2312" w:hAnsi="方正仿宋_GB2312" w:eastAsia="方正仿宋_GB2312" w:cs="方正仿宋_GB2312"/>
          <w:color w:val="auto"/>
          <w:sz w:val="21"/>
          <w:szCs w:val="21"/>
          <w:highlight w:val="none"/>
        </w:rPr>
      </w:pPr>
    </w:p>
    <w:p w14:paraId="36159444">
      <w:pPr>
        <w:pStyle w:val="14"/>
        <w:spacing w:line="400" w:lineRule="exact"/>
        <w:ind w:firstLine="0" w:firstLineChars="0"/>
        <w:contextualSpacing/>
        <w:rPr>
          <w:rFonts w:hint="eastAsia" w:ascii="方正仿宋_GB2312" w:hAnsi="方正仿宋_GB2312" w:eastAsia="方正仿宋_GB2312" w:cs="方正仿宋_GB2312"/>
          <w:color w:val="auto"/>
          <w:sz w:val="21"/>
          <w:szCs w:val="21"/>
          <w:highlight w:val="none"/>
        </w:rPr>
      </w:pPr>
    </w:p>
    <w:p w14:paraId="1A91258A">
      <w:pPr>
        <w:pStyle w:val="14"/>
        <w:spacing w:line="400" w:lineRule="exact"/>
        <w:ind w:firstLine="0" w:firstLineChars="0"/>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注：</w:t>
      </w:r>
    </w:p>
    <w:p w14:paraId="031AD76E">
      <w:pPr>
        <w:pStyle w:val="14"/>
        <w:spacing w:line="400" w:lineRule="exact"/>
        <w:ind w:firstLine="0" w:firstLineChars="0"/>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1.说明：应对照磋商文件“第二章 采购需求”中的商务条款逐条作出明确响应，并作出偏离说明。</w:t>
      </w:r>
    </w:p>
    <w:p w14:paraId="543EAE79">
      <w:pPr>
        <w:pStyle w:val="14"/>
        <w:spacing w:line="400" w:lineRule="exact"/>
        <w:ind w:firstLine="0" w:firstLineChars="0"/>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当响应文件的商务内容低于竞争性磋商文件要求时，竞标人应当如实写明“负偏离”，否则视为虚假应标。</w:t>
      </w:r>
    </w:p>
    <w:p w14:paraId="7FA25886">
      <w:pPr>
        <w:spacing w:line="400" w:lineRule="exac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3.表格内容均需按要求填写，不得留空，否则按竞标无效处理。</w:t>
      </w:r>
    </w:p>
    <w:p w14:paraId="3AF627F8">
      <w:pPr>
        <w:pStyle w:val="17"/>
        <w:spacing w:line="400" w:lineRule="exact"/>
        <w:contextualSpacing/>
        <w:rPr>
          <w:rFonts w:hint="eastAsia" w:ascii="方正仿宋_GB2312" w:hAnsi="方正仿宋_GB2312" w:eastAsia="方正仿宋_GB2312" w:cs="方正仿宋_GB2312"/>
          <w:color w:val="auto"/>
          <w:sz w:val="21"/>
          <w:szCs w:val="18"/>
          <w:highlight w:val="none"/>
        </w:rPr>
      </w:pPr>
      <w:r>
        <w:rPr>
          <w:rFonts w:hint="eastAsia" w:ascii="方正仿宋_GB2312" w:hAnsi="方正仿宋_GB2312" w:eastAsia="方正仿宋_GB2312" w:cs="方正仿宋_GB2312"/>
          <w:color w:val="auto"/>
          <w:sz w:val="21"/>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1A5E59F0">
      <w:pPr>
        <w:pStyle w:val="17"/>
        <w:spacing w:line="400" w:lineRule="exact"/>
        <w:contextualSpacing/>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5.采购需求中带“▲”及“★”的条款，也要分别在本表“</w:t>
      </w:r>
      <w:r>
        <w:rPr>
          <w:rFonts w:hint="eastAsia" w:ascii="方正仿宋_GB2312" w:hAnsi="方正仿宋_GB2312" w:eastAsia="方正仿宋_GB2312" w:cs="方正仿宋_GB2312"/>
          <w:color w:val="auto"/>
          <w:sz w:val="21"/>
          <w:szCs w:val="18"/>
          <w:highlight w:val="none"/>
        </w:rPr>
        <w:t>竞争性磋商文件的商务需求</w:t>
      </w:r>
      <w:r>
        <w:rPr>
          <w:rFonts w:hint="eastAsia" w:ascii="方正仿宋_GB2312" w:hAnsi="方正仿宋_GB2312" w:eastAsia="方正仿宋_GB2312" w:cs="方正仿宋_GB2312"/>
          <w:color w:val="auto"/>
          <w:sz w:val="21"/>
          <w:highlight w:val="none"/>
        </w:rPr>
        <w:t>”、“</w:t>
      </w:r>
      <w:r>
        <w:rPr>
          <w:rFonts w:hint="eastAsia" w:ascii="方正仿宋_GB2312" w:hAnsi="方正仿宋_GB2312" w:eastAsia="方正仿宋_GB2312" w:cs="方正仿宋_GB2312"/>
          <w:color w:val="auto"/>
          <w:sz w:val="21"/>
          <w:szCs w:val="18"/>
          <w:highlight w:val="none"/>
        </w:rPr>
        <w:t>响应文件承诺的商务条款</w:t>
      </w:r>
      <w:r>
        <w:rPr>
          <w:rFonts w:hint="eastAsia" w:ascii="方正仿宋_GB2312" w:hAnsi="方正仿宋_GB2312" w:eastAsia="方正仿宋_GB2312" w:cs="方正仿宋_GB2312"/>
          <w:color w:val="auto"/>
          <w:sz w:val="21"/>
          <w:highlight w:val="none"/>
        </w:rPr>
        <w:t>”中标记，否则按竞标无效处理。</w:t>
      </w:r>
    </w:p>
    <w:p w14:paraId="7344B4CC">
      <w:pPr>
        <w:spacing w:line="360" w:lineRule="auto"/>
        <w:ind w:firstLine="3840" w:firstLineChars="1600"/>
        <w:rPr>
          <w:rFonts w:hint="eastAsia" w:ascii="方正仿宋_GB2312" w:hAnsi="方正仿宋_GB2312" w:eastAsia="方正仿宋_GB2312" w:cs="方正仿宋_GB2312"/>
          <w:color w:val="auto"/>
          <w:kern w:val="0"/>
          <w:sz w:val="24"/>
          <w:highlight w:val="none"/>
        </w:rPr>
      </w:pPr>
    </w:p>
    <w:p w14:paraId="5A548B20">
      <w:pPr>
        <w:autoSpaceDE w:val="0"/>
        <w:autoSpaceDN w:val="0"/>
        <w:spacing w:line="360" w:lineRule="auto"/>
        <w:ind w:left="4335" w:leftChars="1950" w:hanging="240" w:hangingChars="100"/>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供应商名称（电子签章）：</w:t>
      </w:r>
    </w:p>
    <w:p w14:paraId="6D6D2918">
      <w:pPr>
        <w:jc w:val="center"/>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rPr>
        <w:t xml:space="preserve">                                          </w:t>
      </w:r>
      <w:r>
        <w:rPr>
          <w:rFonts w:hint="eastAsia" w:ascii="方正仿宋_GB2312" w:hAnsi="方正仿宋_GB2312" w:eastAsia="方正仿宋_GB2312" w:cs="方正仿宋_GB2312"/>
          <w:color w:val="auto"/>
          <w:kern w:val="0"/>
          <w:sz w:val="24"/>
          <w:highlight w:val="none"/>
          <w:lang w:val="zh-CN"/>
        </w:rPr>
        <w:t>日期：  年  月   日</w:t>
      </w:r>
    </w:p>
    <w:p w14:paraId="2CCF72D3">
      <w:pPr>
        <w:spacing w:line="360" w:lineRule="auto"/>
        <w:contextualSpacing/>
        <w:jc w:val="center"/>
        <w:rPr>
          <w:rFonts w:hint="eastAsia" w:ascii="方正仿宋_GB2312" w:hAnsi="方正仿宋_GB2312" w:eastAsia="方正仿宋_GB2312" w:cs="方正仿宋_GB2312"/>
          <w:b/>
          <w:color w:val="auto"/>
          <w:sz w:val="24"/>
          <w:highlight w:val="none"/>
        </w:rPr>
      </w:pPr>
    </w:p>
    <w:p w14:paraId="482B67F6">
      <w:pPr>
        <w:snapToGrid w:val="0"/>
        <w:ind w:firstLine="602" w:firstLineChars="200"/>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五、竞标人情况介绍</w:t>
      </w:r>
    </w:p>
    <w:p w14:paraId="30F0F856">
      <w:pPr>
        <w:snapToGrid w:val="0"/>
        <w:spacing w:line="360" w:lineRule="auto"/>
        <w:ind w:firstLine="602" w:firstLineChars="200"/>
        <w:rPr>
          <w:rFonts w:hint="eastAsia" w:ascii="方正仿宋_GB2312" w:hAnsi="方正仿宋_GB2312" w:eastAsia="方正仿宋_GB2312" w:cs="方正仿宋_GB2312"/>
          <w:b/>
          <w:color w:val="auto"/>
          <w:sz w:val="30"/>
          <w:szCs w:val="30"/>
          <w:highlight w:val="none"/>
        </w:rPr>
      </w:pPr>
    </w:p>
    <w:p w14:paraId="7D05A6B1">
      <w:pPr>
        <w:snapToGrid w:val="0"/>
        <w:spacing w:line="360" w:lineRule="auto"/>
        <w:ind w:left="4410" w:leftChars="2100" w:firstLine="6480" w:firstLineChars="2700"/>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zh-CN"/>
        </w:rPr>
        <w:t>供</w:t>
      </w:r>
      <w:r>
        <w:rPr>
          <w:rFonts w:hint="eastAsia" w:ascii="方正仿宋_GB2312" w:hAnsi="方正仿宋_GB2312" w:eastAsia="方正仿宋_GB2312" w:cs="方正仿宋_GB2312"/>
          <w:color w:val="auto"/>
          <w:kern w:val="0"/>
          <w:sz w:val="24"/>
          <w:highlight w:val="none"/>
        </w:rPr>
        <w:t>供</w:t>
      </w:r>
      <w:r>
        <w:rPr>
          <w:rFonts w:hint="eastAsia" w:ascii="方正仿宋_GB2312" w:hAnsi="方正仿宋_GB2312" w:eastAsia="方正仿宋_GB2312" w:cs="方正仿宋_GB2312"/>
          <w:color w:val="auto"/>
          <w:kern w:val="0"/>
          <w:sz w:val="24"/>
          <w:highlight w:val="none"/>
          <w:lang w:val="zh-CN"/>
        </w:rPr>
        <w:t>应商名称(电子签章)：</w:t>
      </w:r>
    </w:p>
    <w:p w14:paraId="122F6819">
      <w:pPr>
        <w:snapToGrid w:val="0"/>
        <w:spacing w:line="360" w:lineRule="auto"/>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 xml:space="preserve">                                                  </w:t>
      </w:r>
      <w:r>
        <w:rPr>
          <w:rFonts w:hint="eastAsia" w:ascii="方正仿宋_GB2312" w:hAnsi="方正仿宋_GB2312" w:eastAsia="方正仿宋_GB2312" w:cs="方正仿宋_GB2312"/>
          <w:color w:val="auto"/>
          <w:kern w:val="0"/>
          <w:sz w:val="24"/>
          <w:highlight w:val="none"/>
        </w:rPr>
        <w:t xml:space="preserve"> </w:t>
      </w:r>
      <w:r>
        <w:rPr>
          <w:rFonts w:hint="eastAsia" w:ascii="方正仿宋_GB2312" w:hAnsi="方正仿宋_GB2312" w:eastAsia="方正仿宋_GB2312" w:cs="方正仿宋_GB2312"/>
          <w:color w:val="auto"/>
          <w:kern w:val="0"/>
          <w:sz w:val="24"/>
          <w:highlight w:val="none"/>
          <w:lang w:val="zh-CN"/>
        </w:rPr>
        <w:t>日期</w:t>
      </w:r>
      <w:r>
        <w:rPr>
          <w:rFonts w:hint="eastAsia" w:ascii="方正仿宋_GB2312" w:hAnsi="方正仿宋_GB2312" w:eastAsia="方正仿宋_GB2312" w:cs="方正仿宋_GB2312"/>
          <w:color w:val="auto"/>
          <w:kern w:val="0"/>
          <w:sz w:val="24"/>
          <w:highlight w:val="none"/>
        </w:rPr>
        <w:t xml:space="preserve">：  年  </w:t>
      </w:r>
      <w:r>
        <w:rPr>
          <w:rFonts w:hint="eastAsia" w:ascii="方正仿宋_GB2312" w:hAnsi="方正仿宋_GB2312" w:eastAsia="方正仿宋_GB2312" w:cs="方正仿宋_GB2312"/>
          <w:color w:val="auto"/>
          <w:kern w:val="0"/>
          <w:sz w:val="24"/>
          <w:highlight w:val="none"/>
          <w:lang w:val="zh-CN"/>
        </w:rPr>
        <w:t>月</w:t>
      </w:r>
      <w:r>
        <w:rPr>
          <w:rFonts w:hint="eastAsia" w:ascii="方正仿宋_GB2312" w:hAnsi="方正仿宋_GB2312" w:eastAsia="方正仿宋_GB2312" w:cs="方正仿宋_GB2312"/>
          <w:color w:val="auto"/>
          <w:kern w:val="0"/>
          <w:sz w:val="24"/>
          <w:highlight w:val="none"/>
        </w:rPr>
        <w:t xml:space="preserve">  </w:t>
      </w:r>
      <w:r>
        <w:rPr>
          <w:rFonts w:hint="eastAsia" w:ascii="方正仿宋_GB2312" w:hAnsi="方正仿宋_GB2312" w:eastAsia="方正仿宋_GB2312" w:cs="方正仿宋_GB2312"/>
          <w:color w:val="auto"/>
          <w:kern w:val="0"/>
          <w:sz w:val="24"/>
          <w:highlight w:val="none"/>
          <w:lang w:val="zh-CN"/>
        </w:rPr>
        <w:t>日</w:t>
      </w:r>
    </w:p>
    <w:p w14:paraId="182BEE39">
      <w:pPr>
        <w:snapToGrid w:val="0"/>
        <w:ind w:firstLine="301" w:firstLineChars="100"/>
        <w:rPr>
          <w:rFonts w:hint="eastAsia" w:ascii="方正仿宋_GB2312" w:hAnsi="方正仿宋_GB2312" w:eastAsia="方正仿宋_GB2312" w:cs="方正仿宋_GB2312"/>
          <w:b/>
          <w:color w:val="auto"/>
          <w:sz w:val="30"/>
          <w:szCs w:val="30"/>
          <w:highlight w:val="none"/>
        </w:rPr>
      </w:pPr>
    </w:p>
    <w:p w14:paraId="7CA28732">
      <w:pPr>
        <w:snapToGrid w:val="0"/>
        <w:ind w:firstLine="602" w:firstLineChars="200"/>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六、供应商类似的业绩证明文件</w:t>
      </w:r>
    </w:p>
    <w:p w14:paraId="05085A38">
      <w:pPr>
        <w:pStyle w:val="23"/>
        <w:snapToGrid w:val="0"/>
        <w:ind w:left="480" w:hanging="480"/>
        <w:rPr>
          <w:rFonts w:hint="eastAsia" w:ascii="方正仿宋_GB2312" w:hAnsi="方正仿宋_GB2312" w:eastAsia="方正仿宋_GB2312" w:cs="方正仿宋_GB2312"/>
          <w:color w:val="auto"/>
          <w:sz w:val="24"/>
          <w:highlight w:val="none"/>
        </w:rPr>
      </w:pPr>
    </w:p>
    <w:p w14:paraId="7FA9B892">
      <w:pPr>
        <w:autoSpaceDE w:val="0"/>
        <w:autoSpaceDN w:val="0"/>
        <w:spacing w:line="360" w:lineRule="auto"/>
        <w:ind w:firstLine="120"/>
        <w:jc w:val="center"/>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相关项目业绩一览表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497"/>
        <w:gridCol w:w="2372"/>
        <w:gridCol w:w="1638"/>
        <w:gridCol w:w="2305"/>
      </w:tblGrid>
      <w:tr w14:paraId="66F2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26" w:type="dxa"/>
            <w:noWrap w:val="0"/>
            <w:vAlign w:val="center"/>
          </w:tcPr>
          <w:p w14:paraId="26283B25">
            <w:pPr>
              <w:pStyle w:val="17"/>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序号</w:t>
            </w:r>
          </w:p>
        </w:tc>
        <w:tc>
          <w:tcPr>
            <w:tcW w:w="2497" w:type="dxa"/>
            <w:noWrap w:val="0"/>
            <w:vAlign w:val="center"/>
          </w:tcPr>
          <w:p w14:paraId="3F822604">
            <w:pPr>
              <w:pStyle w:val="17"/>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采购人名称</w:t>
            </w:r>
          </w:p>
        </w:tc>
        <w:tc>
          <w:tcPr>
            <w:tcW w:w="2372" w:type="dxa"/>
            <w:noWrap w:val="0"/>
            <w:vAlign w:val="center"/>
          </w:tcPr>
          <w:p w14:paraId="6C54768E">
            <w:pPr>
              <w:pStyle w:val="17"/>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项目名称</w:t>
            </w:r>
          </w:p>
        </w:tc>
        <w:tc>
          <w:tcPr>
            <w:tcW w:w="1638" w:type="dxa"/>
            <w:noWrap w:val="0"/>
            <w:vAlign w:val="center"/>
          </w:tcPr>
          <w:p w14:paraId="41D51FF2">
            <w:pPr>
              <w:pStyle w:val="17"/>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合同金额（万元）</w:t>
            </w:r>
          </w:p>
        </w:tc>
        <w:tc>
          <w:tcPr>
            <w:tcW w:w="2305" w:type="dxa"/>
            <w:noWrap w:val="0"/>
            <w:vAlign w:val="center"/>
          </w:tcPr>
          <w:p w14:paraId="580E7210">
            <w:pPr>
              <w:pStyle w:val="17"/>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采购人联系人及联系电话</w:t>
            </w:r>
          </w:p>
        </w:tc>
      </w:tr>
      <w:tr w14:paraId="7FEB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26" w:type="dxa"/>
            <w:noWrap w:val="0"/>
            <w:vAlign w:val="center"/>
          </w:tcPr>
          <w:p w14:paraId="55DF39DF">
            <w:pPr>
              <w:pStyle w:val="17"/>
              <w:jc w:val="center"/>
              <w:rPr>
                <w:rFonts w:hint="eastAsia" w:ascii="方正仿宋_GB2312" w:hAnsi="方正仿宋_GB2312" w:eastAsia="方正仿宋_GB2312" w:cs="方正仿宋_GB2312"/>
                <w:color w:val="auto"/>
                <w:sz w:val="24"/>
                <w:szCs w:val="24"/>
                <w:highlight w:val="none"/>
              </w:rPr>
            </w:pPr>
          </w:p>
        </w:tc>
        <w:tc>
          <w:tcPr>
            <w:tcW w:w="2497" w:type="dxa"/>
            <w:noWrap w:val="0"/>
            <w:vAlign w:val="center"/>
          </w:tcPr>
          <w:p w14:paraId="46813117">
            <w:pPr>
              <w:pStyle w:val="17"/>
              <w:jc w:val="center"/>
              <w:rPr>
                <w:rFonts w:hint="eastAsia" w:ascii="方正仿宋_GB2312" w:hAnsi="方正仿宋_GB2312" w:eastAsia="方正仿宋_GB2312" w:cs="方正仿宋_GB2312"/>
                <w:color w:val="auto"/>
                <w:sz w:val="24"/>
                <w:szCs w:val="24"/>
                <w:highlight w:val="none"/>
              </w:rPr>
            </w:pPr>
          </w:p>
        </w:tc>
        <w:tc>
          <w:tcPr>
            <w:tcW w:w="2372" w:type="dxa"/>
            <w:noWrap w:val="0"/>
            <w:vAlign w:val="center"/>
          </w:tcPr>
          <w:p w14:paraId="25EAC6DB">
            <w:pPr>
              <w:pStyle w:val="17"/>
              <w:jc w:val="center"/>
              <w:rPr>
                <w:rFonts w:hint="eastAsia" w:ascii="方正仿宋_GB2312" w:hAnsi="方正仿宋_GB2312" w:eastAsia="方正仿宋_GB2312" w:cs="方正仿宋_GB2312"/>
                <w:color w:val="auto"/>
                <w:sz w:val="24"/>
                <w:szCs w:val="24"/>
                <w:highlight w:val="none"/>
              </w:rPr>
            </w:pPr>
          </w:p>
        </w:tc>
        <w:tc>
          <w:tcPr>
            <w:tcW w:w="1638" w:type="dxa"/>
            <w:noWrap w:val="0"/>
            <w:vAlign w:val="center"/>
          </w:tcPr>
          <w:p w14:paraId="7B5F00C0">
            <w:pPr>
              <w:pStyle w:val="17"/>
              <w:jc w:val="center"/>
              <w:rPr>
                <w:rFonts w:hint="eastAsia" w:ascii="方正仿宋_GB2312" w:hAnsi="方正仿宋_GB2312" w:eastAsia="方正仿宋_GB2312" w:cs="方正仿宋_GB2312"/>
                <w:color w:val="auto"/>
                <w:sz w:val="24"/>
                <w:szCs w:val="24"/>
                <w:highlight w:val="none"/>
              </w:rPr>
            </w:pPr>
          </w:p>
        </w:tc>
        <w:tc>
          <w:tcPr>
            <w:tcW w:w="2305" w:type="dxa"/>
            <w:noWrap w:val="0"/>
            <w:vAlign w:val="center"/>
          </w:tcPr>
          <w:p w14:paraId="5E169362">
            <w:pPr>
              <w:pStyle w:val="17"/>
              <w:jc w:val="center"/>
              <w:rPr>
                <w:rFonts w:hint="eastAsia" w:ascii="方正仿宋_GB2312" w:hAnsi="方正仿宋_GB2312" w:eastAsia="方正仿宋_GB2312" w:cs="方正仿宋_GB2312"/>
                <w:color w:val="auto"/>
                <w:sz w:val="24"/>
                <w:szCs w:val="24"/>
                <w:highlight w:val="none"/>
              </w:rPr>
            </w:pPr>
          </w:p>
        </w:tc>
      </w:tr>
      <w:tr w14:paraId="12E6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26" w:type="dxa"/>
            <w:noWrap w:val="0"/>
            <w:vAlign w:val="center"/>
          </w:tcPr>
          <w:p w14:paraId="230F9CE1">
            <w:pPr>
              <w:pStyle w:val="17"/>
              <w:jc w:val="center"/>
              <w:rPr>
                <w:rFonts w:hint="eastAsia" w:ascii="方正仿宋_GB2312" w:hAnsi="方正仿宋_GB2312" w:eastAsia="方正仿宋_GB2312" w:cs="方正仿宋_GB2312"/>
                <w:color w:val="auto"/>
                <w:sz w:val="24"/>
                <w:szCs w:val="24"/>
                <w:highlight w:val="none"/>
              </w:rPr>
            </w:pPr>
          </w:p>
        </w:tc>
        <w:tc>
          <w:tcPr>
            <w:tcW w:w="2497" w:type="dxa"/>
            <w:noWrap w:val="0"/>
            <w:vAlign w:val="center"/>
          </w:tcPr>
          <w:p w14:paraId="0A853B51">
            <w:pPr>
              <w:pStyle w:val="17"/>
              <w:jc w:val="center"/>
              <w:rPr>
                <w:rFonts w:hint="eastAsia" w:ascii="方正仿宋_GB2312" w:hAnsi="方正仿宋_GB2312" w:eastAsia="方正仿宋_GB2312" w:cs="方正仿宋_GB2312"/>
                <w:color w:val="auto"/>
                <w:sz w:val="24"/>
                <w:szCs w:val="24"/>
                <w:highlight w:val="none"/>
              </w:rPr>
            </w:pPr>
          </w:p>
        </w:tc>
        <w:tc>
          <w:tcPr>
            <w:tcW w:w="2372" w:type="dxa"/>
            <w:noWrap w:val="0"/>
            <w:vAlign w:val="center"/>
          </w:tcPr>
          <w:p w14:paraId="2B87A7E9">
            <w:pPr>
              <w:pStyle w:val="17"/>
              <w:jc w:val="center"/>
              <w:rPr>
                <w:rFonts w:hint="eastAsia" w:ascii="方正仿宋_GB2312" w:hAnsi="方正仿宋_GB2312" w:eastAsia="方正仿宋_GB2312" w:cs="方正仿宋_GB2312"/>
                <w:color w:val="auto"/>
                <w:sz w:val="24"/>
                <w:szCs w:val="24"/>
                <w:highlight w:val="none"/>
              </w:rPr>
            </w:pPr>
          </w:p>
        </w:tc>
        <w:tc>
          <w:tcPr>
            <w:tcW w:w="1638" w:type="dxa"/>
            <w:noWrap w:val="0"/>
            <w:vAlign w:val="center"/>
          </w:tcPr>
          <w:p w14:paraId="52BBB322">
            <w:pPr>
              <w:pStyle w:val="17"/>
              <w:jc w:val="center"/>
              <w:rPr>
                <w:rFonts w:hint="eastAsia" w:ascii="方正仿宋_GB2312" w:hAnsi="方正仿宋_GB2312" w:eastAsia="方正仿宋_GB2312" w:cs="方正仿宋_GB2312"/>
                <w:color w:val="auto"/>
                <w:sz w:val="24"/>
                <w:szCs w:val="24"/>
                <w:highlight w:val="none"/>
              </w:rPr>
            </w:pPr>
          </w:p>
        </w:tc>
        <w:tc>
          <w:tcPr>
            <w:tcW w:w="2305" w:type="dxa"/>
            <w:noWrap w:val="0"/>
            <w:vAlign w:val="center"/>
          </w:tcPr>
          <w:p w14:paraId="426DDC3B">
            <w:pPr>
              <w:pStyle w:val="17"/>
              <w:jc w:val="center"/>
              <w:rPr>
                <w:rFonts w:hint="eastAsia" w:ascii="方正仿宋_GB2312" w:hAnsi="方正仿宋_GB2312" w:eastAsia="方正仿宋_GB2312" w:cs="方正仿宋_GB2312"/>
                <w:color w:val="auto"/>
                <w:sz w:val="24"/>
                <w:szCs w:val="24"/>
                <w:highlight w:val="none"/>
              </w:rPr>
            </w:pPr>
          </w:p>
        </w:tc>
      </w:tr>
      <w:tr w14:paraId="33E0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26" w:type="dxa"/>
            <w:noWrap w:val="0"/>
            <w:vAlign w:val="center"/>
          </w:tcPr>
          <w:p w14:paraId="46A83844">
            <w:pPr>
              <w:pStyle w:val="17"/>
              <w:jc w:val="center"/>
              <w:rPr>
                <w:rFonts w:hint="eastAsia" w:ascii="方正仿宋_GB2312" w:hAnsi="方正仿宋_GB2312" w:eastAsia="方正仿宋_GB2312" w:cs="方正仿宋_GB2312"/>
                <w:color w:val="auto"/>
                <w:sz w:val="24"/>
                <w:szCs w:val="24"/>
                <w:highlight w:val="none"/>
              </w:rPr>
            </w:pPr>
          </w:p>
        </w:tc>
        <w:tc>
          <w:tcPr>
            <w:tcW w:w="2497" w:type="dxa"/>
            <w:noWrap w:val="0"/>
            <w:vAlign w:val="center"/>
          </w:tcPr>
          <w:p w14:paraId="50731EDF">
            <w:pPr>
              <w:pStyle w:val="17"/>
              <w:jc w:val="center"/>
              <w:rPr>
                <w:rFonts w:hint="eastAsia" w:ascii="方正仿宋_GB2312" w:hAnsi="方正仿宋_GB2312" w:eastAsia="方正仿宋_GB2312" w:cs="方正仿宋_GB2312"/>
                <w:color w:val="auto"/>
                <w:sz w:val="24"/>
                <w:szCs w:val="24"/>
                <w:highlight w:val="none"/>
              </w:rPr>
            </w:pPr>
          </w:p>
        </w:tc>
        <w:tc>
          <w:tcPr>
            <w:tcW w:w="2372" w:type="dxa"/>
            <w:noWrap w:val="0"/>
            <w:vAlign w:val="center"/>
          </w:tcPr>
          <w:p w14:paraId="2D8550A2">
            <w:pPr>
              <w:pStyle w:val="17"/>
              <w:jc w:val="center"/>
              <w:rPr>
                <w:rFonts w:hint="eastAsia" w:ascii="方正仿宋_GB2312" w:hAnsi="方正仿宋_GB2312" w:eastAsia="方正仿宋_GB2312" w:cs="方正仿宋_GB2312"/>
                <w:color w:val="auto"/>
                <w:sz w:val="24"/>
                <w:szCs w:val="24"/>
                <w:highlight w:val="none"/>
              </w:rPr>
            </w:pPr>
          </w:p>
        </w:tc>
        <w:tc>
          <w:tcPr>
            <w:tcW w:w="1638" w:type="dxa"/>
            <w:noWrap w:val="0"/>
            <w:vAlign w:val="center"/>
          </w:tcPr>
          <w:p w14:paraId="7149642F">
            <w:pPr>
              <w:pStyle w:val="17"/>
              <w:jc w:val="center"/>
              <w:rPr>
                <w:rFonts w:hint="eastAsia" w:ascii="方正仿宋_GB2312" w:hAnsi="方正仿宋_GB2312" w:eastAsia="方正仿宋_GB2312" w:cs="方正仿宋_GB2312"/>
                <w:color w:val="auto"/>
                <w:sz w:val="24"/>
                <w:szCs w:val="24"/>
                <w:highlight w:val="none"/>
              </w:rPr>
            </w:pPr>
          </w:p>
        </w:tc>
        <w:tc>
          <w:tcPr>
            <w:tcW w:w="2305" w:type="dxa"/>
            <w:noWrap w:val="0"/>
            <w:vAlign w:val="center"/>
          </w:tcPr>
          <w:p w14:paraId="76982E5E">
            <w:pPr>
              <w:pStyle w:val="17"/>
              <w:jc w:val="center"/>
              <w:rPr>
                <w:rFonts w:hint="eastAsia" w:ascii="方正仿宋_GB2312" w:hAnsi="方正仿宋_GB2312" w:eastAsia="方正仿宋_GB2312" w:cs="方正仿宋_GB2312"/>
                <w:color w:val="auto"/>
                <w:sz w:val="24"/>
                <w:szCs w:val="24"/>
                <w:highlight w:val="none"/>
              </w:rPr>
            </w:pPr>
          </w:p>
        </w:tc>
      </w:tr>
      <w:tr w14:paraId="27F0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26" w:type="dxa"/>
            <w:noWrap w:val="0"/>
            <w:vAlign w:val="center"/>
          </w:tcPr>
          <w:p w14:paraId="3C8AA136">
            <w:pPr>
              <w:pStyle w:val="17"/>
              <w:jc w:val="center"/>
              <w:rPr>
                <w:rFonts w:hint="eastAsia" w:ascii="方正仿宋_GB2312" w:hAnsi="方正仿宋_GB2312" w:eastAsia="方正仿宋_GB2312" w:cs="方正仿宋_GB2312"/>
                <w:color w:val="auto"/>
                <w:sz w:val="24"/>
                <w:szCs w:val="24"/>
                <w:highlight w:val="none"/>
              </w:rPr>
            </w:pPr>
          </w:p>
        </w:tc>
        <w:tc>
          <w:tcPr>
            <w:tcW w:w="2497" w:type="dxa"/>
            <w:noWrap w:val="0"/>
            <w:vAlign w:val="center"/>
          </w:tcPr>
          <w:p w14:paraId="03ABEDB8">
            <w:pPr>
              <w:pStyle w:val="17"/>
              <w:jc w:val="center"/>
              <w:rPr>
                <w:rFonts w:hint="eastAsia" w:ascii="方正仿宋_GB2312" w:hAnsi="方正仿宋_GB2312" w:eastAsia="方正仿宋_GB2312" w:cs="方正仿宋_GB2312"/>
                <w:color w:val="auto"/>
                <w:sz w:val="24"/>
                <w:szCs w:val="24"/>
                <w:highlight w:val="none"/>
              </w:rPr>
            </w:pPr>
          </w:p>
        </w:tc>
        <w:tc>
          <w:tcPr>
            <w:tcW w:w="2372" w:type="dxa"/>
            <w:noWrap w:val="0"/>
            <w:vAlign w:val="center"/>
          </w:tcPr>
          <w:p w14:paraId="5831F196">
            <w:pPr>
              <w:pStyle w:val="17"/>
              <w:jc w:val="center"/>
              <w:rPr>
                <w:rFonts w:hint="eastAsia" w:ascii="方正仿宋_GB2312" w:hAnsi="方正仿宋_GB2312" w:eastAsia="方正仿宋_GB2312" w:cs="方正仿宋_GB2312"/>
                <w:color w:val="auto"/>
                <w:sz w:val="24"/>
                <w:szCs w:val="24"/>
                <w:highlight w:val="none"/>
              </w:rPr>
            </w:pPr>
          </w:p>
        </w:tc>
        <w:tc>
          <w:tcPr>
            <w:tcW w:w="1638" w:type="dxa"/>
            <w:noWrap w:val="0"/>
            <w:vAlign w:val="center"/>
          </w:tcPr>
          <w:p w14:paraId="0B270B05">
            <w:pPr>
              <w:pStyle w:val="17"/>
              <w:jc w:val="center"/>
              <w:rPr>
                <w:rFonts w:hint="eastAsia" w:ascii="方正仿宋_GB2312" w:hAnsi="方正仿宋_GB2312" w:eastAsia="方正仿宋_GB2312" w:cs="方正仿宋_GB2312"/>
                <w:color w:val="auto"/>
                <w:sz w:val="24"/>
                <w:szCs w:val="24"/>
                <w:highlight w:val="none"/>
              </w:rPr>
            </w:pPr>
          </w:p>
        </w:tc>
        <w:tc>
          <w:tcPr>
            <w:tcW w:w="2305" w:type="dxa"/>
            <w:noWrap w:val="0"/>
            <w:vAlign w:val="center"/>
          </w:tcPr>
          <w:p w14:paraId="661AE926">
            <w:pPr>
              <w:pStyle w:val="17"/>
              <w:jc w:val="center"/>
              <w:rPr>
                <w:rFonts w:hint="eastAsia" w:ascii="方正仿宋_GB2312" w:hAnsi="方正仿宋_GB2312" w:eastAsia="方正仿宋_GB2312" w:cs="方正仿宋_GB2312"/>
                <w:color w:val="auto"/>
                <w:sz w:val="24"/>
                <w:szCs w:val="24"/>
                <w:highlight w:val="none"/>
              </w:rPr>
            </w:pPr>
          </w:p>
        </w:tc>
      </w:tr>
      <w:tr w14:paraId="4120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26" w:type="dxa"/>
            <w:noWrap w:val="0"/>
            <w:vAlign w:val="center"/>
          </w:tcPr>
          <w:p w14:paraId="3A19D4FB">
            <w:pPr>
              <w:pStyle w:val="17"/>
              <w:jc w:val="center"/>
              <w:rPr>
                <w:rFonts w:hint="eastAsia" w:ascii="方正仿宋_GB2312" w:hAnsi="方正仿宋_GB2312" w:eastAsia="方正仿宋_GB2312" w:cs="方正仿宋_GB2312"/>
                <w:color w:val="auto"/>
                <w:sz w:val="24"/>
                <w:szCs w:val="24"/>
                <w:highlight w:val="none"/>
              </w:rPr>
            </w:pPr>
          </w:p>
        </w:tc>
        <w:tc>
          <w:tcPr>
            <w:tcW w:w="2497" w:type="dxa"/>
            <w:noWrap w:val="0"/>
            <w:vAlign w:val="center"/>
          </w:tcPr>
          <w:p w14:paraId="0E12367E">
            <w:pPr>
              <w:pStyle w:val="17"/>
              <w:jc w:val="center"/>
              <w:rPr>
                <w:rFonts w:hint="eastAsia" w:ascii="方正仿宋_GB2312" w:hAnsi="方正仿宋_GB2312" w:eastAsia="方正仿宋_GB2312" w:cs="方正仿宋_GB2312"/>
                <w:color w:val="auto"/>
                <w:sz w:val="24"/>
                <w:szCs w:val="24"/>
                <w:highlight w:val="none"/>
              </w:rPr>
            </w:pPr>
          </w:p>
        </w:tc>
        <w:tc>
          <w:tcPr>
            <w:tcW w:w="2372" w:type="dxa"/>
            <w:noWrap w:val="0"/>
            <w:vAlign w:val="center"/>
          </w:tcPr>
          <w:p w14:paraId="3A4424EE">
            <w:pPr>
              <w:pStyle w:val="17"/>
              <w:jc w:val="center"/>
              <w:rPr>
                <w:rFonts w:hint="eastAsia" w:ascii="方正仿宋_GB2312" w:hAnsi="方正仿宋_GB2312" w:eastAsia="方正仿宋_GB2312" w:cs="方正仿宋_GB2312"/>
                <w:color w:val="auto"/>
                <w:sz w:val="24"/>
                <w:szCs w:val="24"/>
                <w:highlight w:val="none"/>
              </w:rPr>
            </w:pPr>
          </w:p>
        </w:tc>
        <w:tc>
          <w:tcPr>
            <w:tcW w:w="1638" w:type="dxa"/>
            <w:noWrap w:val="0"/>
            <w:vAlign w:val="center"/>
          </w:tcPr>
          <w:p w14:paraId="7B5857A5">
            <w:pPr>
              <w:pStyle w:val="17"/>
              <w:jc w:val="center"/>
              <w:rPr>
                <w:rFonts w:hint="eastAsia" w:ascii="方正仿宋_GB2312" w:hAnsi="方正仿宋_GB2312" w:eastAsia="方正仿宋_GB2312" w:cs="方正仿宋_GB2312"/>
                <w:color w:val="auto"/>
                <w:sz w:val="24"/>
                <w:szCs w:val="24"/>
                <w:highlight w:val="none"/>
              </w:rPr>
            </w:pPr>
          </w:p>
        </w:tc>
        <w:tc>
          <w:tcPr>
            <w:tcW w:w="2305" w:type="dxa"/>
            <w:noWrap w:val="0"/>
            <w:vAlign w:val="center"/>
          </w:tcPr>
          <w:p w14:paraId="57034D99">
            <w:pPr>
              <w:pStyle w:val="17"/>
              <w:jc w:val="center"/>
              <w:rPr>
                <w:rFonts w:hint="eastAsia" w:ascii="方正仿宋_GB2312" w:hAnsi="方正仿宋_GB2312" w:eastAsia="方正仿宋_GB2312" w:cs="方正仿宋_GB2312"/>
                <w:color w:val="auto"/>
                <w:sz w:val="24"/>
                <w:szCs w:val="24"/>
                <w:highlight w:val="none"/>
              </w:rPr>
            </w:pPr>
          </w:p>
        </w:tc>
      </w:tr>
    </w:tbl>
    <w:p w14:paraId="6ADFF5A3">
      <w:pPr>
        <w:pStyle w:val="17"/>
        <w:spacing w:line="360" w:lineRule="auto"/>
        <w:ind w:left="72"/>
        <w:rPr>
          <w:rFonts w:hint="eastAsia" w:ascii="方正仿宋_GB2312" w:hAnsi="方正仿宋_GB2312" w:eastAsia="方正仿宋_GB2312" w:cs="方正仿宋_GB2312"/>
          <w:color w:val="auto"/>
          <w:sz w:val="24"/>
          <w:szCs w:val="24"/>
          <w:highlight w:val="none"/>
        </w:rPr>
      </w:pPr>
    </w:p>
    <w:p w14:paraId="477CC6D5">
      <w:pPr>
        <w:pStyle w:val="17"/>
        <w:spacing w:line="360" w:lineRule="auto"/>
        <w:ind w:left="7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注：供应商可按上述的格式自行编制，须随表提交相应的合同</w:t>
      </w:r>
      <w:r>
        <w:rPr>
          <w:rFonts w:hint="eastAsia" w:ascii="方正仿宋_GB2312" w:hAnsi="方正仿宋_GB2312" w:eastAsia="方正仿宋_GB2312" w:cs="方正仿宋_GB2312"/>
          <w:color w:val="auto"/>
          <w:sz w:val="24"/>
          <w:szCs w:val="24"/>
          <w:highlight w:val="none"/>
          <w:lang w:val="en-US" w:eastAsia="zh-CN"/>
        </w:rPr>
        <w:t>或中标（成交）通知书</w:t>
      </w:r>
      <w:r>
        <w:rPr>
          <w:rFonts w:hint="eastAsia" w:ascii="方正仿宋_GB2312" w:hAnsi="方正仿宋_GB2312" w:eastAsia="方正仿宋_GB2312" w:cs="方正仿宋_GB2312"/>
          <w:color w:val="auto"/>
          <w:sz w:val="24"/>
          <w:szCs w:val="24"/>
          <w:highlight w:val="none"/>
        </w:rPr>
        <w:t>复印件。</w:t>
      </w:r>
    </w:p>
    <w:p w14:paraId="31DC5210">
      <w:pPr>
        <w:autoSpaceDE w:val="0"/>
        <w:autoSpaceDN w:val="0"/>
        <w:spacing w:line="360" w:lineRule="auto"/>
        <w:ind w:left="4305" w:leftChars="1950" w:hanging="210" w:hangingChars="1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 </w:t>
      </w:r>
    </w:p>
    <w:p w14:paraId="5C94090D">
      <w:pPr>
        <w:autoSpaceDE w:val="0"/>
        <w:autoSpaceDN w:val="0"/>
        <w:spacing w:line="360" w:lineRule="auto"/>
        <w:ind w:left="4335" w:leftChars="1950" w:hanging="240" w:hangingChars="100"/>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供应商名称（电子签章）：</w:t>
      </w:r>
    </w:p>
    <w:p w14:paraId="2C834840">
      <w:pPr>
        <w:jc w:val="center"/>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rPr>
        <w:t xml:space="preserve">                                          </w:t>
      </w:r>
      <w:r>
        <w:rPr>
          <w:rFonts w:hint="eastAsia" w:ascii="方正仿宋_GB2312" w:hAnsi="方正仿宋_GB2312" w:eastAsia="方正仿宋_GB2312" w:cs="方正仿宋_GB2312"/>
          <w:color w:val="auto"/>
          <w:kern w:val="0"/>
          <w:sz w:val="24"/>
          <w:highlight w:val="none"/>
          <w:lang w:val="zh-CN"/>
        </w:rPr>
        <w:t>日期：  年  月   日</w:t>
      </w:r>
    </w:p>
    <w:p w14:paraId="66052C2E">
      <w:pPr>
        <w:snapToGrid w:val="0"/>
        <w:spacing w:line="360" w:lineRule="auto"/>
        <w:rPr>
          <w:rFonts w:hint="eastAsia" w:ascii="方正仿宋_GB2312" w:hAnsi="方正仿宋_GB2312" w:eastAsia="方正仿宋_GB2312" w:cs="方正仿宋_GB2312"/>
          <w:color w:val="auto"/>
          <w:kern w:val="0"/>
          <w:sz w:val="24"/>
          <w:highlight w:val="none"/>
          <w:lang w:val="zh-CN"/>
        </w:rPr>
      </w:pPr>
    </w:p>
    <w:p w14:paraId="7D3DA6A5">
      <w:pPr>
        <w:snapToGrid w:val="0"/>
        <w:spacing w:before="120" w:beforeLines="50" w:after="50"/>
        <w:rPr>
          <w:rFonts w:hint="eastAsia" w:ascii="方正仿宋_GB2312" w:hAnsi="方正仿宋_GB2312" w:eastAsia="方正仿宋_GB2312" w:cs="方正仿宋_GB2312"/>
          <w:color w:val="auto"/>
          <w:kern w:val="0"/>
          <w:sz w:val="24"/>
          <w:highlight w:val="none"/>
          <w:lang w:val="zh-CN"/>
        </w:rPr>
        <w:sectPr>
          <w:headerReference r:id="rId11" w:type="default"/>
          <w:footerReference r:id="rId12" w:type="default"/>
          <w:pgSz w:w="11900" w:h="16839"/>
          <w:pgMar w:top="1440" w:right="1080" w:bottom="1440" w:left="1080" w:header="969" w:footer="502" w:gutter="0"/>
          <w:pgNumType w:fmt="decimal"/>
          <w:cols w:space="720" w:num="1"/>
        </w:sectPr>
      </w:pPr>
    </w:p>
    <w:p w14:paraId="72A5FB73">
      <w:pPr>
        <w:snapToGrid w:val="0"/>
        <w:spacing w:before="120" w:beforeLines="50" w:after="50"/>
        <w:ind w:firstLine="602" w:firstLineChars="200"/>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七、技术需求偏离表</w:t>
      </w:r>
    </w:p>
    <w:p w14:paraId="057BD639">
      <w:pPr>
        <w:spacing w:line="500" w:lineRule="exact"/>
        <w:jc w:val="center"/>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技术需求偏离表</w:t>
      </w:r>
    </w:p>
    <w:p w14:paraId="01C12332">
      <w:pPr>
        <w:spacing w:line="360" w:lineRule="auto"/>
        <w:ind w:firstLine="240" w:firstLineChars="100"/>
        <w:contextualSpacing/>
        <w:rPr>
          <w:rFonts w:hint="eastAsia" w:ascii="方正仿宋_GB2312" w:hAnsi="方正仿宋_GB2312" w:eastAsia="方正仿宋_GB2312" w:cs="方正仿宋_GB2312"/>
          <w:color w:val="auto"/>
          <w:sz w:val="24"/>
          <w:highlight w:val="none"/>
          <w:u w:val="single"/>
        </w:rPr>
      </w:pPr>
      <w:r>
        <w:rPr>
          <w:rFonts w:hint="eastAsia" w:ascii="方正仿宋_GB2312" w:hAnsi="方正仿宋_GB2312" w:eastAsia="方正仿宋_GB2312" w:cs="方正仿宋_GB2312"/>
          <w:color w:val="auto"/>
          <w:sz w:val="24"/>
          <w:highlight w:val="none"/>
        </w:rPr>
        <w:t>采购项目编号：</w:t>
      </w:r>
      <w:r>
        <w:rPr>
          <w:rFonts w:hint="eastAsia" w:ascii="方正仿宋_GB2312" w:hAnsi="方正仿宋_GB2312" w:eastAsia="方正仿宋_GB2312" w:cs="方正仿宋_GB2312"/>
          <w:color w:val="auto"/>
          <w:sz w:val="24"/>
          <w:highlight w:val="none"/>
          <w:u w:val="single"/>
        </w:rPr>
        <w:t xml:space="preserve">                </w:t>
      </w:r>
    </w:p>
    <w:p w14:paraId="33DBF314">
      <w:pPr>
        <w:spacing w:line="360" w:lineRule="auto"/>
        <w:ind w:firstLine="240" w:firstLineChars="100"/>
        <w:contextualSpacing/>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采购项目名称：</w:t>
      </w:r>
      <w:r>
        <w:rPr>
          <w:rFonts w:hint="eastAsia" w:ascii="方正仿宋_GB2312" w:hAnsi="方正仿宋_GB2312" w:eastAsia="方正仿宋_GB2312" w:cs="方正仿宋_GB2312"/>
          <w:color w:val="auto"/>
          <w:sz w:val="24"/>
          <w:highlight w:val="none"/>
          <w:u w:val="single"/>
        </w:rPr>
        <w:t xml:space="preserve">                 </w:t>
      </w:r>
    </w:p>
    <w:p w14:paraId="1F95C781">
      <w:pPr>
        <w:spacing w:line="360" w:lineRule="auto"/>
        <w:ind w:firstLine="240" w:firstLineChars="100"/>
        <w:contextualSpacing/>
        <w:rPr>
          <w:rFonts w:hint="eastAsia" w:ascii="方正仿宋_GB2312" w:hAnsi="方正仿宋_GB2312" w:eastAsia="方正仿宋_GB2312" w:cs="方正仿宋_GB2312"/>
          <w:color w:val="auto"/>
          <w:sz w:val="24"/>
          <w:highlight w:val="none"/>
          <w:u w:val="single"/>
        </w:rPr>
      </w:pPr>
      <w:r>
        <w:rPr>
          <w:rFonts w:hint="eastAsia" w:ascii="方正仿宋_GB2312" w:hAnsi="方正仿宋_GB2312" w:eastAsia="方正仿宋_GB2312" w:cs="方正仿宋_GB2312"/>
          <w:color w:val="auto"/>
          <w:sz w:val="24"/>
          <w:highlight w:val="none"/>
        </w:rPr>
        <w:t>分标号</w:t>
      </w:r>
      <w:r>
        <w:rPr>
          <w:rFonts w:hint="eastAsia" w:ascii="方正仿宋_GB2312" w:hAnsi="方正仿宋_GB2312" w:eastAsia="方正仿宋_GB2312" w:cs="方正仿宋_GB2312"/>
          <w:color w:val="auto"/>
          <w:szCs w:val="21"/>
          <w:highlight w:val="none"/>
        </w:rPr>
        <w:t>（此处有分标时填写具体分标号，无分标时填写“无”）</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highlight w:val="none"/>
          <w:u w:val="single"/>
        </w:rPr>
        <w:t xml:space="preserve">        </w:t>
      </w:r>
    </w:p>
    <w:tbl>
      <w:tblPr>
        <w:tblStyle w:val="2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752"/>
        <w:gridCol w:w="3317"/>
        <w:gridCol w:w="1561"/>
      </w:tblGrid>
      <w:tr w14:paraId="1FAA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55" w:type="dxa"/>
            <w:tcBorders>
              <w:top w:val="single" w:color="auto" w:sz="4" w:space="0"/>
              <w:left w:val="single" w:color="auto" w:sz="4" w:space="0"/>
              <w:bottom w:val="single" w:color="auto" w:sz="4" w:space="0"/>
              <w:right w:val="single" w:color="auto" w:sz="4" w:space="0"/>
            </w:tcBorders>
            <w:noWrap w:val="0"/>
            <w:vAlign w:val="center"/>
          </w:tcPr>
          <w:p w14:paraId="691043AA">
            <w:pPr>
              <w:spacing w:line="340" w:lineRule="exact"/>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项号</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65EDC256">
            <w:pPr>
              <w:spacing w:line="340" w:lineRule="exact"/>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竞争性磋商文件采购需求</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5E6DF0CE">
            <w:pPr>
              <w:spacing w:line="340" w:lineRule="exact"/>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响应文件采购需求承诺</w:t>
            </w:r>
          </w:p>
        </w:tc>
        <w:tc>
          <w:tcPr>
            <w:tcW w:w="1561" w:type="dxa"/>
            <w:tcBorders>
              <w:top w:val="single" w:color="auto" w:sz="4" w:space="0"/>
              <w:left w:val="single" w:color="auto" w:sz="4" w:space="0"/>
              <w:bottom w:val="single" w:color="auto" w:sz="4" w:space="0"/>
              <w:right w:val="single" w:color="auto" w:sz="4" w:space="0"/>
            </w:tcBorders>
            <w:noWrap w:val="0"/>
            <w:vAlign w:val="center"/>
          </w:tcPr>
          <w:p w14:paraId="12332513">
            <w:pPr>
              <w:spacing w:line="340" w:lineRule="exact"/>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偏离说明</w:t>
            </w:r>
          </w:p>
        </w:tc>
      </w:tr>
      <w:tr w14:paraId="19F8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855" w:type="dxa"/>
            <w:tcBorders>
              <w:top w:val="single" w:color="auto" w:sz="4" w:space="0"/>
              <w:left w:val="single" w:color="auto" w:sz="4" w:space="0"/>
              <w:bottom w:val="single" w:color="auto" w:sz="4" w:space="0"/>
              <w:right w:val="single" w:color="auto" w:sz="4" w:space="0"/>
            </w:tcBorders>
            <w:noWrap w:val="0"/>
            <w:vAlign w:val="top"/>
          </w:tcPr>
          <w:p w14:paraId="6B3DF4F7">
            <w:pPr>
              <w:spacing w:line="340" w:lineRule="exact"/>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一</w:t>
            </w:r>
          </w:p>
        </w:tc>
        <w:tc>
          <w:tcPr>
            <w:tcW w:w="3752" w:type="dxa"/>
            <w:tcBorders>
              <w:top w:val="single" w:color="auto" w:sz="4" w:space="0"/>
              <w:left w:val="single" w:color="auto" w:sz="4" w:space="0"/>
              <w:bottom w:val="single" w:color="auto" w:sz="4" w:space="0"/>
              <w:right w:val="single" w:color="auto" w:sz="4" w:space="0"/>
            </w:tcBorders>
            <w:noWrap w:val="0"/>
            <w:vAlign w:val="top"/>
          </w:tcPr>
          <w:p w14:paraId="09108B4E">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  ……</w:t>
            </w:r>
          </w:p>
          <w:p w14:paraId="6F12E386">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  ……</w:t>
            </w:r>
          </w:p>
          <w:p w14:paraId="77BAC230">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  ……</w:t>
            </w:r>
          </w:p>
          <w:p w14:paraId="7B5D5369">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p>
        </w:tc>
        <w:tc>
          <w:tcPr>
            <w:tcW w:w="3317" w:type="dxa"/>
            <w:tcBorders>
              <w:top w:val="single" w:color="auto" w:sz="4" w:space="0"/>
              <w:left w:val="single" w:color="auto" w:sz="4" w:space="0"/>
              <w:bottom w:val="single" w:color="auto" w:sz="4" w:space="0"/>
              <w:right w:val="single" w:color="auto" w:sz="4" w:space="0"/>
            </w:tcBorders>
            <w:noWrap w:val="0"/>
            <w:vAlign w:val="top"/>
          </w:tcPr>
          <w:p w14:paraId="4E2C28EC">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  ……</w:t>
            </w:r>
          </w:p>
          <w:p w14:paraId="7707BDD2">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  ……</w:t>
            </w:r>
          </w:p>
          <w:p w14:paraId="43E8BF3F">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  ……</w:t>
            </w:r>
          </w:p>
          <w:p w14:paraId="6831A53B">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p>
        </w:tc>
        <w:tc>
          <w:tcPr>
            <w:tcW w:w="1561" w:type="dxa"/>
            <w:tcBorders>
              <w:top w:val="single" w:color="auto" w:sz="4" w:space="0"/>
              <w:left w:val="single" w:color="auto" w:sz="4" w:space="0"/>
              <w:bottom w:val="single" w:color="auto" w:sz="4" w:space="0"/>
              <w:right w:val="single" w:color="auto" w:sz="4" w:space="0"/>
            </w:tcBorders>
            <w:noWrap w:val="0"/>
            <w:vAlign w:val="top"/>
          </w:tcPr>
          <w:p w14:paraId="6347C042">
            <w:pPr>
              <w:spacing w:line="300" w:lineRule="exact"/>
              <w:rPr>
                <w:rFonts w:hint="eastAsia" w:ascii="方正仿宋_GB2312" w:hAnsi="方正仿宋_GB2312" w:eastAsia="方正仿宋_GB2312" w:cs="方正仿宋_GB2312"/>
                <w:color w:val="auto"/>
                <w:sz w:val="24"/>
                <w:highlight w:val="none"/>
              </w:rPr>
            </w:pPr>
          </w:p>
        </w:tc>
      </w:tr>
      <w:tr w14:paraId="0046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855" w:type="dxa"/>
            <w:tcBorders>
              <w:top w:val="single" w:color="auto" w:sz="4" w:space="0"/>
              <w:left w:val="single" w:color="auto" w:sz="4" w:space="0"/>
              <w:bottom w:val="single" w:color="auto" w:sz="4" w:space="0"/>
              <w:right w:val="single" w:color="auto" w:sz="4" w:space="0"/>
            </w:tcBorders>
            <w:noWrap w:val="0"/>
            <w:vAlign w:val="top"/>
          </w:tcPr>
          <w:p w14:paraId="70835E6D">
            <w:pPr>
              <w:spacing w:line="340" w:lineRule="exact"/>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二</w:t>
            </w:r>
          </w:p>
        </w:tc>
        <w:tc>
          <w:tcPr>
            <w:tcW w:w="3752" w:type="dxa"/>
            <w:tcBorders>
              <w:top w:val="single" w:color="auto" w:sz="4" w:space="0"/>
              <w:left w:val="single" w:color="auto" w:sz="4" w:space="0"/>
              <w:bottom w:val="single" w:color="auto" w:sz="4" w:space="0"/>
              <w:right w:val="single" w:color="auto" w:sz="4" w:space="0"/>
            </w:tcBorders>
            <w:noWrap w:val="0"/>
            <w:vAlign w:val="top"/>
          </w:tcPr>
          <w:p w14:paraId="454D288B">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  ……</w:t>
            </w:r>
          </w:p>
          <w:p w14:paraId="4A7A8427">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  ……</w:t>
            </w:r>
          </w:p>
          <w:p w14:paraId="0CD394AD">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  ……</w:t>
            </w:r>
          </w:p>
          <w:p w14:paraId="7561EB35">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p>
        </w:tc>
        <w:tc>
          <w:tcPr>
            <w:tcW w:w="3317" w:type="dxa"/>
            <w:tcBorders>
              <w:top w:val="single" w:color="auto" w:sz="4" w:space="0"/>
              <w:left w:val="single" w:color="auto" w:sz="4" w:space="0"/>
              <w:bottom w:val="single" w:color="auto" w:sz="4" w:space="0"/>
              <w:right w:val="single" w:color="auto" w:sz="4" w:space="0"/>
            </w:tcBorders>
            <w:noWrap w:val="0"/>
            <w:vAlign w:val="top"/>
          </w:tcPr>
          <w:p w14:paraId="7C744DD4">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  ……</w:t>
            </w:r>
          </w:p>
          <w:p w14:paraId="1F179141">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  ……</w:t>
            </w:r>
          </w:p>
          <w:p w14:paraId="0A80715B">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  ……</w:t>
            </w:r>
          </w:p>
          <w:p w14:paraId="66F851A6">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p>
        </w:tc>
        <w:tc>
          <w:tcPr>
            <w:tcW w:w="1561" w:type="dxa"/>
            <w:tcBorders>
              <w:top w:val="single" w:color="auto" w:sz="4" w:space="0"/>
              <w:left w:val="single" w:color="auto" w:sz="4" w:space="0"/>
              <w:bottom w:val="single" w:color="auto" w:sz="4" w:space="0"/>
              <w:right w:val="single" w:color="auto" w:sz="4" w:space="0"/>
            </w:tcBorders>
            <w:noWrap w:val="0"/>
            <w:vAlign w:val="top"/>
          </w:tcPr>
          <w:p w14:paraId="5BB201AC">
            <w:pPr>
              <w:spacing w:line="300" w:lineRule="exact"/>
              <w:rPr>
                <w:rFonts w:hint="eastAsia" w:ascii="方正仿宋_GB2312" w:hAnsi="方正仿宋_GB2312" w:eastAsia="方正仿宋_GB2312" w:cs="方正仿宋_GB2312"/>
                <w:color w:val="auto"/>
                <w:sz w:val="24"/>
                <w:highlight w:val="none"/>
              </w:rPr>
            </w:pPr>
          </w:p>
        </w:tc>
      </w:tr>
      <w:tr w14:paraId="10D1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855" w:type="dxa"/>
            <w:tcBorders>
              <w:top w:val="single" w:color="auto" w:sz="4" w:space="0"/>
              <w:left w:val="single" w:color="auto" w:sz="4" w:space="0"/>
              <w:bottom w:val="single" w:color="auto" w:sz="4" w:space="0"/>
              <w:right w:val="single" w:color="auto" w:sz="4" w:space="0"/>
            </w:tcBorders>
            <w:noWrap w:val="0"/>
            <w:vAlign w:val="top"/>
          </w:tcPr>
          <w:p w14:paraId="74A2A0A4">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p>
        </w:tc>
        <w:tc>
          <w:tcPr>
            <w:tcW w:w="3752" w:type="dxa"/>
            <w:tcBorders>
              <w:top w:val="single" w:color="auto" w:sz="4" w:space="0"/>
              <w:left w:val="single" w:color="auto" w:sz="4" w:space="0"/>
              <w:bottom w:val="single" w:color="auto" w:sz="4" w:space="0"/>
              <w:right w:val="single" w:color="auto" w:sz="4" w:space="0"/>
            </w:tcBorders>
            <w:noWrap w:val="0"/>
            <w:vAlign w:val="top"/>
          </w:tcPr>
          <w:p w14:paraId="5570A194">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  ……</w:t>
            </w:r>
          </w:p>
          <w:p w14:paraId="05B43CCD">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  ……</w:t>
            </w:r>
          </w:p>
          <w:p w14:paraId="239B7139">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  ……</w:t>
            </w:r>
          </w:p>
          <w:p w14:paraId="29AE7F2F">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p>
        </w:tc>
        <w:tc>
          <w:tcPr>
            <w:tcW w:w="3317" w:type="dxa"/>
            <w:tcBorders>
              <w:top w:val="single" w:color="auto" w:sz="4" w:space="0"/>
              <w:left w:val="single" w:color="auto" w:sz="4" w:space="0"/>
              <w:bottom w:val="single" w:color="auto" w:sz="4" w:space="0"/>
              <w:right w:val="single" w:color="auto" w:sz="4" w:space="0"/>
            </w:tcBorders>
            <w:noWrap w:val="0"/>
            <w:vAlign w:val="top"/>
          </w:tcPr>
          <w:p w14:paraId="0EBC39D5">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  ……</w:t>
            </w:r>
          </w:p>
          <w:p w14:paraId="47AA785A">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  ……</w:t>
            </w:r>
          </w:p>
          <w:p w14:paraId="6AAD426B">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  ……</w:t>
            </w:r>
          </w:p>
          <w:p w14:paraId="2CCE98C8">
            <w:pPr>
              <w:spacing w:line="34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w:t>
            </w:r>
          </w:p>
        </w:tc>
        <w:tc>
          <w:tcPr>
            <w:tcW w:w="1561" w:type="dxa"/>
            <w:tcBorders>
              <w:top w:val="single" w:color="auto" w:sz="4" w:space="0"/>
              <w:left w:val="single" w:color="auto" w:sz="4" w:space="0"/>
              <w:bottom w:val="single" w:color="auto" w:sz="4" w:space="0"/>
              <w:right w:val="single" w:color="auto" w:sz="4" w:space="0"/>
            </w:tcBorders>
            <w:noWrap w:val="0"/>
            <w:vAlign w:val="top"/>
          </w:tcPr>
          <w:p w14:paraId="0C580174">
            <w:pPr>
              <w:spacing w:line="300" w:lineRule="exact"/>
              <w:rPr>
                <w:rFonts w:hint="eastAsia" w:ascii="方正仿宋_GB2312" w:hAnsi="方正仿宋_GB2312" w:eastAsia="方正仿宋_GB2312" w:cs="方正仿宋_GB2312"/>
                <w:color w:val="auto"/>
                <w:sz w:val="24"/>
                <w:highlight w:val="none"/>
              </w:rPr>
            </w:pPr>
          </w:p>
        </w:tc>
      </w:tr>
    </w:tbl>
    <w:p w14:paraId="02B6EE9E">
      <w:pPr>
        <w:pStyle w:val="12"/>
        <w:spacing w:after="0" w:line="360" w:lineRule="exact"/>
        <w:ind w:left="840" w:hanging="420"/>
        <w:contextualSpacing/>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注：</w:t>
      </w:r>
    </w:p>
    <w:p w14:paraId="3F277138">
      <w:pPr>
        <w:pStyle w:val="14"/>
        <w:spacing w:line="360" w:lineRule="exact"/>
        <w:ind w:firstLine="420" w:firstLineChars="200"/>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1.说明：应对照磋商文件“第二章”中“采购需求”的采购清单及技术参数条款逐条作出明确响应，并作出偏离说明。</w:t>
      </w:r>
    </w:p>
    <w:p w14:paraId="51427F0F">
      <w:pPr>
        <w:pStyle w:val="14"/>
        <w:spacing w:line="360" w:lineRule="exact"/>
        <w:ind w:firstLine="420" w:firstLineChars="200"/>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当响应文件的商务内容低于竞争性磋商文件要求时，竞标人应当如实写明“负偏离”，否则视为虚假应标</w:t>
      </w:r>
    </w:p>
    <w:p w14:paraId="1CEA14CF">
      <w:pPr>
        <w:spacing w:line="360" w:lineRule="exact"/>
        <w:ind w:firstLine="420" w:firstLineChars="200"/>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3.表格内容均需按要求填写并盖章，不得留空，否则按竞标无效处理。</w:t>
      </w:r>
    </w:p>
    <w:p w14:paraId="1E691E0C">
      <w:pPr>
        <w:pStyle w:val="14"/>
        <w:spacing w:line="360" w:lineRule="exact"/>
        <w:ind w:firstLine="420" w:firstLineChars="200"/>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C56966F">
      <w:pPr>
        <w:pStyle w:val="14"/>
        <w:spacing w:line="360" w:lineRule="exact"/>
        <w:ind w:firstLine="420" w:firstLineChars="200"/>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5.采购需求中带“▲”及“★”的条款，也要分别在本表“竞争性磋商文件采购需求”、“响应文件采购需求承诺”中标记，否则按竞标无效处理。</w:t>
      </w:r>
    </w:p>
    <w:p w14:paraId="37794696">
      <w:pPr>
        <w:pStyle w:val="14"/>
        <w:spacing w:line="360" w:lineRule="exact"/>
        <w:ind w:firstLine="420" w:firstLineChars="200"/>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6.如技术偏离表中的竞标响应与佐证材料不一致的，以佐证材料为准。</w:t>
      </w:r>
    </w:p>
    <w:p w14:paraId="71EB92B7">
      <w:pPr>
        <w:autoSpaceDE w:val="0"/>
        <w:autoSpaceDN w:val="0"/>
        <w:spacing w:line="360" w:lineRule="auto"/>
        <w:ind w:left="4335" w:leftChars="1950" w:hanging="240" w:hangingChars="100"/>
        <w:rPr>
          <w:rFonts w:hint="eastAsia" w:ascii="方正仿宋_GB2312" w:hAnsi="方正仿宋_GB2312" w:eastAsia="方正仿宋_GB2312" w:cs="方正仿宋_GB2312"/>
          <w:color w:val="auto"/>
          <w:kern w:val="0"/>
          <w:sz w:val="24"/>
          <w:highlight w:val="none"/>
        </w:rPr>
      </w:pPr>
    </w:p>
    <w:p w14:paraId="01785459">
      <w:pPr>
        <w:autoSpaceDE w:val="0"/>
        <w:autoSpaceDN w:val="0"/>
        <w:spacing w:line="360" w:lineRule="auto"/>
        <w:ind w:left="4335" w:leftChars="1950" w:hanging="240" w:hangingChars="100"/>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供应商名称（电子签章）：</w:t>
      </w:r>
    </w:p>
    <w:p w14:paraId="280103F2">
      <w:pPr>
        <w:jc w:val="center"/>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rPr>
        <w:t xml:space="preserve">                                          </w:t>
      </w:r>
      <w:r>
        <w:rPr>
          <w:rFonts w:hint="eastAsia" w:ascii="方正仿宋_GB2312" w:hAnsi="方正仿宋_GB2312" w:eastAsia="方正仿宋_GB2312" w:cs="方正仿宋_GB2312"/>
          <w:color w:val="auto"/>
          <w:kern w:val="0"/>
          <w:sz w:val="24"/>
          <w:highlight w:val="none"/>
          <w:lang w:val="zh-CN"/>
        </w:rPr>
        <w:t>日期：  年  月   日</w:t>
      </w:r>
    </w:p>
    <w:p w14:paraId="0BD199C1">
      <w:pPr>
        <w:snapToGrid w:val="0"/>
        <w:spacing w:line="360" w:lineRule="auto"/>
        <w:ind w:firstLine="602" w:firstLineChars="200"/>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八、施工组织设计（包括但不限于拟投入本工程的主要施工设备表；拟配备本工程的试验和检测仪器设备表；计划开、竣工日期和施工进度计划、主要施工方法等内容）（格式自拟）</w:t>
      </w:r>
    </w:p>
    <w:p w14:paraId="73434B72">
      <w:pPr>
        <w:snapToGrid w:val="0"/>
        <w:spacing w:line="360" w:lineRule="auto"/>
        <w:rPr>
          <w:rFonts w:hint="eastAsia" w:ascii="方正仿宋_GB2312" w:hAnsi="方正仿宋_GB2312" w:eastAsia="方正仿宋_GB2312" w:cs="方正仿宋_GB2312"/>
          <w:b/>
          <w:color w:val="auto"/>
          <w:sz w:val="30"/>
          <w:szCs w:val="30"/>
          <w:highlight w:val="none"/>
        </w:rPr>
      </w:pPr>
    </w:p>
    <w:p w14:paraId="54E758B8">
      <w:pPr>
        <w:snapToGrid w:val="0"/>
        <w:spacing w:line="360" w:lineRule="auto"/>
        <w:rPr>
          <w:rFonts w:hint="eastAsia" w:ascii="方正仿宋_GB2312" w:hAnsi="方正仿宋_GB2312" w:eastAsia="方正仿宋_GB2312" w:cs="方正仿宋_GB2312"/>
          <w:b/>
          <w:color w:val="auto"/>
          <w:sz w:val="30"/>
          <w:szCs w:val="30"/>
          <w:highlight w:val="none"/>
        </w:rPr>
      </w:pPr>
    </w:p>
    <w:p w14:paraId="28AAAA14">
      <w:pPr>
        <w:snapToGrid w:val="0"/>
        <w:spacing w:line="360" w:lineRule="auto"/>
        <w:rPr>
          <w:rFonts w:hint="eastAsia" w:ascii="方正仿宋_GB2312" w:hAnsi="方正仿宋_GB2312" w:eastAsia="方正仿宋_GB2312" w:cs="方正仿宋_GB2312"/>
          <w:b/>
          <w:color w:val="auto"/>
          <w:sz w:val="30"/>
          <w:szCs w:val="30"/>
          <w:highlight w:val="none"/>
        </w:rPr>
      </w:pPr>
    </w:p>
    <w:p w14:paraId="34895F83">
      <w:pPr>
        <w:snapToGrid w:val="0"/>
        <w:spacing w:line="360" w:lineRule="auto"/>
        <w:rPr>
          <w:rFonts w:hint="eastAsia" w:ascii="方正仿宋_GB2312" w:hAnsi="方正仿宋_GB2312" w:eastAsia="方正仿宋_GB2312" w:cs="方正仿宋_GB2312"/>
          <w:b/>
          <w:color w:val="auto"/>
          <w:sz w:val="30"/>
          <w:szCs w:val="30"/>
          <w:highlight w:val="none"/>
        </w:rPr>
      </w:pPr>
    </w:p>
    <w:p w14:paraId="5DE3380D">
      <w:pPr>
        <w:snapToGrid w:val="0"/>
        <w:spacing w:line="360" w:lineRule="auto"/>
        <w:rPr>
          <w:rFonts w:hint="eastAsia" w:ascii="方正仿宋_GB2312" w:hAnsi="方正仿宋_GB2312" w:eastAsia="方正仿宋_GB2312" w:cs="方正仿宋_GB2312"/>
          <w:b/>
          <w:color w:val="auto"/>
          <w:sz w:val="30"/>
          <w:szCs w:val="30"/>
          <w:highlight w:val="none"/>
        </w:rPr>
      </w:pPr>
    </w:p>
    <w:p w14:paraId="6C98D26B">
      <w:pPr>
        <w:snapToGrid w:val="0"/>
        <w:spacing w:line="360" w:lineRule="auto"/>
        <w:rPr>
          <w:rFonts w:hint="eastAsia" w:ascii="方正仿宋_GB2312" w:hAnsi="方正仿宋_GB2312" w:eastAsia="方正仿宋_GB2312" w:cs="方正仿宋_GB2312"/>
          <w:b/>
          <w:color w:val="auto"/>
          <w:sz w:val="30"/>
          <w:szCs w:val="30"/>
          <w:highlight w:val="none"/>
        </w:rPr>
      </w:pPr>
    </w:p>
    <w:p w14:paraId="74C7F9BA">
      <w:pPr>
        <w:snapToGrid w:val="0"/>
        <w:spacing w:line="360" w:lineRule="auto"/>
        <w:rPr>
          <w:rFonts w:hint="eastAsia" w:ascii="方正仿宋_GB2312" w:hAnsi="方正仿宋_GB2312" w:eastAsia="方正仿宋_GB2312" w:cs="方正仿宋_GB2312"/>
          <w:b/>
          <w:color w:val="auto"/>
          <w:sz w:val="30"/>
          <w:szCs w:val="30"/>
          <w:highlight w:val="none"/>
        </w:rPr>
        <w:sectPr>
          <w:headerReference r:id="rId13" w:type="default"/>
          <w:pgSz w:w="11900" w:h="16839"/>
          <w:pgMar w:top="1440" w:right="1080" w:bottom="1440" w:left="1080" w:header="969" w:footer="502" w:gutter="0"/>
          <w:pgNumType w:fmt="decimal"/>
          <w:cols w:space="720" w:num="1"/>
        </w:sectPr>
      </w:pPr>
    </w:p>
    <w:p w14:paraId="0DC47C78">
      <w:pPr>
        <w:snapToGrid w:val="0"/>
        <w:spacing w:line="360" w:lineRule="auto"/>
        <w:ind w:firstLine="602" w:firstLineChars="200"/>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九、项目管理机构</w:t>
      </w:r>
    </w:p>
    <w:p w14:paraId="45D8DAC2">
      <w:pPr>
        <w:pStyle w:val="90"/>
        <w:jc w:val="center"/>
        <w:rPr>
          <w:rFonts w:hint="eastAsia" w:ascii="方正仿宋_GB2312" w:hAnsi="方正仿宋_GB2312" w:eastAsia="方正仿宋_GB2312" w:cs="方正仿宋_GB2312"/>
          <w:b/>
          <w:bCs/>
          <w:color w:val="auto"/>
          <w:sz w:val="28"/>
          <w:szCs w:val="28"/>
          <w:highlight w:val="none"/>
        </w:rPr>
      </w:pPr>
      <w:bookmarkStart w:id="102" w:name="_Toc172364025"/>
      <w:bookmarkStart w:id="103" w:name="_Toc3341"/>
      <w:bookmarkStart w:id="104" w:name="_Toc173579005"/>
      <w:bookmarkStart w:id="105" w:name="_Toc32245"/>
      <w:bookmarkStart w:id="106" w:name="_Toc251052184"/>
      <w:bookmarkStart w:id="107" w:name="_Toc153274947"/>
      <w:bookmarkStart w:id="108" w:name="_Toc251052200"/>
      <w:bookmarkStart w:id="109" w:name="_Toc173579006"/>
      <w:bookmarkStart w:id="110" w:name="_Toc389065364"/>
      <w:bookmarkStart w:id="111" w:name="_Toc153274948"/>
      <w:bookmarkStart w:id="112" w:name="_Toc172364026"/>
      <w:r>
        <w:rPr>
          <w:rFonts w:hint="eastAsia" w:ascii="方正仿宋_GB2312" w:hAnsi="方正仿宋_GB2312" w:eastAsia="方正仿宋_GB2312" w:cs="方正仿宋_GB2312"/>
          <w:b/>
          <w:bCs/>
          <w:color w:val="auto"/>
          <w:sz w:val="24"/>
          <w:highlight w:val="none"/>
        </w:rPr>
        <w:t>项目管理机构配备情况表</w:t>
      </w:r>
      <w:bookmarkEnd w:id="102"/>
      <w:bookmarkEnd w:id="103"/>
      <w:bookmarkEnd w:id="104"/>
      <w:bookmarkEnd w:id="105"/>
      <w:bookmarkEnd w:id="106"/>
      <w:bookmarkEnd w:id="107"/>
    </w:p>
    <w:p w14:paraId="7990CF7E">
      <w:pPr>
        <w:pStyle w:val="90"/>
        <w:rPr>
          <w:rFonts w:hint="eastAsia" w:ascii="方正仿宋_GB2312" w:hAnsi="方正仿宋_GB2312" w:eastAsia="方正仿宋_GB2312" w:cs="方正仿宋_GB2312"/>
          <w:color w:val="auto"/>
          <w:highlight w:val="none"/>
          <w:u w:val="single"/>
        </w:rPr>
      </w:pPr>
    </w:p>
    <w:p w14:paraId="2C6FB02D">
      <w:pPr>
        <w:pStyle w:val="90"/>
        <w:ind w:firstLine="210" w:firstLineChars="100"/>
        <w:rPr>
          <w:rFonts w:hint="eastAsia" w:ascii="方正仿宋_GB2312" w:hAnsi="方正仿宋_GB2312" w:eastAsia="方正仿宋_GB2312" w:cs="方正仿宋_GB2312"/>
          <w:color w:val="auto"/>
          <w:highlight w:val="none"/>
        </w:rPr>
      </w:pPr>
      <w:bookmarkStart w:id="113" w:name="_Toc251052185"/>
      <w:r>
        <w:rPr>
          <w:rFonts w:hint="eastAsia" w:ascii="方正仿宋_GB2312" w:hAnsi="方正仿宋_GB2312" w:eastAsia="方正仿宋_GB2312" w:cs="方正仿宋_GB2312"/>
          <w:color w:val="auto"/>
          <w:highlight w:val="none"/>
          <w:u w:val="single"/>
        </w:rPr>
        <w:t xml:space="preserve">（项目名称）        </w:t>
      </w:r>
      <w:bookmarkEnd w:id="113"/>
    </w:p>
    <w:tbl>
      <w:tblPr>
        <w:tblStyle w:val="2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707"/>
        <w:gridCol w:w="816"/>
        <w:gridCol w:w="1899"/>
        <w:gridCol w:w="1545"/>
        <w:gridCol w:w="1710"/>
        <w:gridCol w:w="1564"/>
      </w:tblGrid>
      <w:tr w14:paraId="7BD63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115" w:type="dxa"/>
            <w:vMerge w:val="restart"/>
            <w:noWrap w:val="0"/>
            <w:vAlign w:val="center"/>
          </w:tcPr>
          <w:p w14:paraId="04F1CE97">
            <w:pPr>
              <w:pStyle w:val="90"/>
              <w:ind w:left="223" w:hanging="222" w:hangingChars="106"/>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岗位</w:t>
            </w:r>
          </w:p>
        </w:tc>
        <w:tc>
          <w:tcPr>
            <w:tcW w:w="707" w:type="dxa"/>
            <w:vMerge w:val="restart"/>
            <w:noWrap w:val="0"/>
            <w:vAlign w:val="center"/>
          </w:tcPr>
          <w:p w14:paraId="72EB3F68">
            <w:pPr>
              <w:pStyle w:val="90"/>
              <w:ind w:left="223" w:hanging="222" w:hangingChars="106"/>
              <w:jc w:val="center"/>
              <w:rPr>
                <w:rFonts w:hint="eastAsia" w:ascii="方正仿宋_GB2312" w:hAnsi="方正仿宋_GB2312" w:eastAsia="方正仿宋_GB2312" w:cs="方正仿宋_GB2312"/>
                <w:color w:val="auto"/>
                <w:highlight w:val="none"/>
              </w:rPr>
            </w:pPr>
            <w:bookmarkStart w:id="114" w:name="_Toc251052187"/>
            <w:r>
              <w:rPr>
                <w:rFonts w:hint="eastAsia" w:ascii="方正仿宋_GB2312" w:hAnsi="方正仿宋_GB2312" w:eastAsia="方正仿宋_GB2312" w:cs="方正仿宋_GB2312"/>
                <w:color w:val="auto"/>
                <w:highlight w:val="none"/>
              </w:rPr>
              <w:t>姓名</w:t>
            </w:r>
            <w:bookmarkEnd w:id="114"/>
          </w:p>
        </w:tc>
        <w:tc>
          <w:tcPr>
            <w:tcW w:w="816" w:type="dxa"/>
            <w:vMerge w:val="restart"/>
            <w:noWrap w:val="0"/>
            <w:vAlign w:val="center"/>
          </w:tcPr>
          <w:p w14:paraId="3634FBBE">
            <w:pPr>
              <w:pStyle w:val="90"/>
              <w:ind w:left="223" w:hanging="222" w:hangingChars="106"/>
              <w:jc w:val="center"/>
              <w:rPr>
                <w:rFonts w:hint="eastAsia" w:ascii="方正仿宋_GB2312" w:hAnsi="方正仿宋_GB2312" w:eastAsia="方正仿宋_GB2312" w:cs="方正仿宋_GB2312"/>
                <w:color w:val="auto"/>
                <w:highlight w:val="none"/>
              </w:rPr>
            </w:pPr>
            <w:bookmarkStart w:id="115" w:name="_Toc251052188"/>
            <w:r>
              <w:rPr>
                <w:rFonts w:hint="eastAsia" w:ascii="方正仿宋_GB2312" w:hAnsi="方正仿宋_GB2312" w:eastAsia="方正仿宋_GB2312" w:cs="方正仿宋_GB2312"/>
                <w:color w:val="auto"/>
                <w:highlight w:val="none"/>
              </w:rPr>
              <w:t>职称</w:t>
            </w:r>
            <w:bookmarkEnd w:id="115"/>
          </w:p>
        </w:tc>
        <w:tc>
          <w:tcPr>
            <w:tcW w:w="6718" w:type="dxa"/>
            <w:gridSpan w:val="4"/>
            <w:noWrap w:val="0"/>
            <w:vAlign w:val="center"/>
          </w:tcPr>
          <w:p w14:paraId="40ECDC97">
            <w:pPr>
              <w:pStyle w:val="90"/>
              <w:ind w:left="223" w:hanging="222" w:hangingChars="106"/>
              <w:jc w:val="center"/>
              <w:rPr>
                <w:rFonts w:hint="eastAsia" w:ascii="方正仿宋_GB2312" w:hAnsi="方正仿宋_GB2312" w:eastAsia="方正仿宋_GB2312" w:cs="方正仿宋_GB2312"/>
                <w:color w:val="auto"/>
                <w:highlight w:val="none"/>
              </w:rPr>
            </w:pPr>
            <w:bookmarkStart w:id="116" w:name="_Toc251052189"/>
            <w:r>
              <w:rPr>
                <w:rFonts w:hint="eastAsia" w:ascii="方正仿宋_GB2312" w:hAnsi="方正仿宋_GB2312" w:eastAsia="方正仿宋_GB2312" w:cs="方正仿宋_GB2312"/>
                <w:color w:val="auto"/>
                <w:highlight w:val="none"/>
              </w:rPr>
              <w:t>执业或职业资格证明</w:t>
            </w:r>
            <w:bookmarkEnd w:id="116"/>
          </w:p>
        </w:tc>
      </w:tr>
      <w:tr w14:paraId="24CB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115" w:type="dxa"/>
            <w:vMerge w:val="continue"/>
            <w:noWrap w:val="0"/>
            <w:vAlign w:val="center"/>
          </w:tcPr>
          <w:p w14:paraId="694F034D">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707" w:type="dxa"/>
            <w:vMerge w:val="continue"/>
            <w:noWrap w:val="0"/>
            <w:vAlign w:val="center"/>
          </w:tcPr>
          <w:p w14:paraId="0971D85D">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816" w:type="dxa"/>
            <w:vMerge w:val="continue"/>
            <w:noWrap w:val="0"/>
            <w:vAlign w:val="center"/>
          </w:tcPr>
          <w:p w14:paraId="2DC8CA96">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899" w:type="dxa"/>
            <w:noWrap w:val="0"/>
            <w:vAlign w:val="center"/>
          </w:tcPr>
          <w:p w14:paraId="58E14336">
            <w:pPr>
              <w:pStyle w:val="90"/>
              <w:ind w:left="223" w:hanging="222" w:hangingChars="106"/>
              <w:jc w:val="center"/>
              <w:rPr>
                <w:rFonts w:hint="eastAsia" w:ascii="方正仿宋_GB2312" w:hAnsi="方正仿宋_GB2312" w:eastAsia="方正仿宋_GB2312" w:cs="方正仿宋_GB2312"/>
                <w:color w:val="auto"/>
                <w:highlight w:val="none"/>
              </w:rPr>
            </w:pPr>
            <w:bookmarkStart w:id="117" w:name="_Toc251052192"/>
            <w:r>
              <w:rPr>
                <w:rFonts w:hint="eastAsia" w:ascii="方正仿宋_GB2312" w:hAnsi="方正仿宋_GB2312" w:eastAsia="方正仿宋_GB2312" w:cs="方正仿宋_GB2312"/>
                <w:color w:val="auto"/>
                <w:highlight w:val="none"/>
              </w:rPr>
              <w:t>证书名称</w:t>
            </w:r>
            <w:bookmarkEnd w:id="117"/>
          </w:p>
        </w:tc>
        <w:tc>
          <w:tcPr>
            <w:tcW w:w="1545" w:type="dxa"/>
            <w:noWrap w:val="0"/>
            <w:vAlign w:val="center"/>
          </w:tcPr>
          <w:p w14:paraId="2A0DA6D8">
            <w:pPr>
              <w:pStyle w:val="90"/>
              <w:ind w:left="223" w:hanging="222" w:hangingChars="106"/>
              <w:jc w:val="center"/>
              <w:rPr>
                <w:rFonts w:hint="eastAsia" w:ascii="方正仿宋_GB2312" w:hAnsi="方正仿宋_GB2312" w:eastAsia="方正仿宋_GB2312" w:cs="方正仿宋_GB2312"/>
                <w:color w:val="auto"/>
                <w:highlight w:val="none"/>
              </w:rPr>
            </w:pPr>
            <w:bookmarkStart w:id="118" w:name="_Toc251052193"/>
            <w:r>
              <w:rPr>
                <w:rFonts w:hint="eastAsia" w:ascii="方正仿宋_GB2312" w:hAnsi="方正仿宋_GB2312" w:eastAsia="方正仿宋_GB2312" w:cs="方正仿宋_GB2312"/>
                <w:color w:val="auto"/>
                <w:highlight w:val="none"/>
              </w:rPr>
              <w:t>级别</w:t>
            </w:r>
            <w:bookmarkEnd w:id="118"/>
          </w:p>
        </w:tc>
        <w:tc>
          <w:tcPr>
            <w:tcW w:w="1710" w:type="dxa"/>
            <w:noWrap w:val="0"/>
            <w:vAlign w:val="center"/>
          </w:tcPr>
          <w:p w14:paraId="404108B5">
            <w:pPr>
              <w:pStyle w:val="90"/>
              <w:ind w:left="223" w:hanging="222" w:hangingChars="106"/>
              <w:jc w:val="center"/>
              <w:rPr>
                <w:rFonts w:hint="eastAsia" w:ascii="方正仿宋_GB2312" w:hAnsi="方正仿宋_GB2312" w:eastAsia="方正仿宋_GB2312" w:cs="方正仿宋_GB2312"/>
                <w:color w:val="auto"/>
                <w:highlight w:val="none"/>
              </w:rPr>
            </w:pPr>
            <w:bookmarkStart w:id="119" w:name="_Toc251052194"/>
            <w:r>
              <w:rPr>
                <w:rFonts w:hint="eastAsia" w:ascii="方正仿宋_GB2312" w:hAnsi="方正仿宋_GB2312" w:eastAsia="方正仿宋_GB2312" w:cs="方正仿宋_GB2312"/>
                <w:color w:val="auto"/>
                <w:highlight w:val="none"/>
              </w:rPr>
              <w:t>证号</w:t>
            </w:r>
            <w:bookmarkEnd w:id="119"/>
          </w:p>
        </w:tc>
        <w:tc>
          <w:tcPr>
            <w:tcW w:w="1564" w:type="dxa"/>
            <w:noWrap w:val="0"/>
            <w:vAlign w:val="center"/>
          </w:tcPr>
          <w:p w14:paraId="4ED3D583">
            <w:pPr>
              <w:pStyle w:val="90"/>
              <w:ind w:left="223" w:hanging="222" w:hangingChars="106"/>
              <w:jc w:val="center"/>
              <w:rPr>
                <w:rFonts w:hint="eastAsia" w:ascii="方正仿宋_GB2312" w:hAnsi="方正仿宋_GB2312" w:eastAsia="方正仿宋_GB2312" w:cs="方正仿宋_GB2312"/>
                <w:color w:val="auto"/>
                <w:highlight w:val="none"/>
              </w:rPr>
            </w:pPr>
            <w:bookmarkStart w:id="120" w:name="_Toc251052195"/>
            <w:r>
              <w:rPr>
                <w:rFonts w:hint="eastAsia" w:ascii="方正仿宋_GB2312" w:hAnsi="方正仿宋_GB2312" w:eastAsia="方正仿宋_GB2312" w:cs="方正仿宋_GB2312"/>
                <w:color w:val="auto"/>
                <w:highlight w:val="none"/>
              </w:rPr>
              <w:t>专业</w:t>
            </w:r>
            <w:bookmarkEnd w:id="120"/>
          </w:p>
        </w:tc>
      </w:tr>
      <w:tr w14:paraId="1F95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noWrap w:val="0"/>
            <w:vAlign w:val="center"/>
          </w:tcPr>
          <w:p w14:paraId="30EEA9F1">
            <w:pPr>
              <w:pStyle w:val="90"/>
              <w:ind w:left="223" w:hanging="222" w:hangingChars="106"/>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项目经理</w:t>
            </w:r>
          </w:p>
        </w:tc>
        <w:tc>
          <w:tcPr>
            <w:tcW w:w="707" w:type="dxa"/>
            <w:noWrap w:val="0"/>
            <w:vAlign w:val="center"/>
          </w:tcPr>
          <w:p w14:paraId="30B3CC10">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816" w:type="dxa"/>
            <w:noWrap w:val="0"/>
            <w:vAlign w:val="center"/>
          </w:tcPr>
          <w:p w14:paraId="3ED23887">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899" w:type="dxa"/>
            <w:noWrap w:val="0"/>
            <w:vAlign w:val="center"/>
          </w:tcPr>
          <w:p w14:paraId="5A2C12C9">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545" w:type="dxa"/>
            <w:noWrap w:val="0"/>
            <w:vAlign w:val="center"/>
          </w:tcPr>
          <w:p w14:paraId="6EB1B7BD">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710" w:type="dxa"/>
            <w:noWrap w:val="0"/>
            <w:vAlign w:val="center"/>
          </w:tcPr>
          <w:p w14:paraId="54181B53">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564" w:type="dxa"/>
            <w:noWrap w:val="0"/>
            <w:vAlign w:val="center"/>
          </w:tcPr>
          <w:p w14:paraId="573A7312">
            <w:pPr>
              <w:pStyle w:val="90"/>
              <w:ind w:left="223" w:hanging="222" w:hangingChars="106"/>
              <w:jc w:val="center"/>
              <w:rPr>
                <w:rFonts w:hint="eastAsia" w:ascii="方正仿宋_GB2312" w:hAnsi="方正仿宋_GB2312" w:eastAsia="方正仿宋_GB2312" w:cs="方正仿宋_GB2312"/>
                <w:color w:val="auto"/>
                <w:highlight w:val="none"/>
              </w:rPr>
            </w:pPr>
          </w:p>
        </w:tc>
      </w:tr>
      <w:tr w14:paraId="227A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noWrap w:val="0"/>
            <w:vAlign w:val="center"/>
          </w:tcPr>
          <w:p w14:paraId="64B37A80">
            <w:pPr>
              <w:pStyle w:val="90"/>
              <w:ind w:left="223" w:hanging="222" w:hangingChars="106"/>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技术负责人</w:t>
            </w:r>
          </w:p>
        </w:tc>
        <w:tc>
          <w:tcPr>
            <w:tcW w:w="707" w:type="dxa"/>
            <w:noWrap w:val="0"/>
            <w:vAlign w:val="center"/>
          </w:tcPr>
          <w:p w14:paraId="63A8BAB1">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816" w:type="dxa"/>
            <w:noWrap w:val="0"/>
            <w:vAlign w:val="center"/>
          </w:tcPr>
          <w:p w14:paraId="092EBF2D">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899" w:type="dxa"/>
            <w:noWrap w:val="0"/>
            <w:vAlign w:val="center"/>
          </w:tcPr>
          <w:p w14:paraId="188D543B">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545" w:type="dxa"/>
            <w:noWrap w:val="0"/>
            <w:vAlign w:val="center"/>
          </w:tcPr>
          <w:p w14:paraId="3C0D1964">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710" w:type="dxa"/>
            <w:noWrap w:val="0"/>
            <w:vAlign w:val="center"/>
          </w:tcPr>
          <w:p w14:paraId="606FDFFB">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564" w:type="dxa"/>
            <w:noWrap w:val="0"/>
            <w:vAlign w:val="center"/>
          </w:tcPr>
          <w:p w14:paraId="1714314D">
            <w:pPr>
              <w:pStyle w:val="90"/>
              <w:ind w:left="223" w:hanging="222" w:hangingChars="106"/>
              <w:jc w:val="center"/>
              <w:rPr>
                <w:rFonts w:hint="eastAsia" w:ascii="方正仿宋_GB2312" w:hAnsi="方正仿宋_GB2312" w:eastAsia="方正仿宋_GB2312" w:cs="方正仿宋_GB2312"/>
                <w:color w:val="auto"/>
                <w:highlight w:val="none"/>
              </w:rPr>
            </w:pPr>
          </w:p>
        </w:tc>
      </w:tr>
      <w:tr w14:paraId="40DF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noWrap w:val="0"/>
            <w:vAlign w:val="center"/>
          </w:tcPr>
          <w:p w14:paraId="4DFBB9BE">
            <w:pPr>
              <w:pStyle w:val="90"/>
              <w:ind w:left="223" w:hanging="222" w:hangingChars="106"/>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施工员</w:t>
            </w:r>
          </w:p>
        </w:tc>
        <w:tc>
          <w:tcPr>
            <w:tcW w:w="707" w:type="dxa"/>
            <w:noWrap w:val="0"/>
            <w:vAlign w:val="center"/>
          </w:tcPr>
          <w:p w14:paraId="79F3CD80">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816" w:type="dxa"/>
            <w:noWrap w:val="0"/>
            <w:vAlign w:val="center"/>
          </w:tcPr>
          <w:p w14:paraId="50094748">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899" w:type="dxa"/>
            <w:noWrap w:val="0"/>
            <w:vAlign w:val="center"/>
          </w:tcPr>
          <w:p w14:paraId="46E141F7">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545" w:type="dxa"/>
            <w:noWrap w:val="0"/>
            <w:vAlign w:val="center"/>
          </w:tcPr>
          <w:p w14:paraId="005622CC">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710" w:type="dxa"/>
            <w:noWrap w:val="0"/>
            <w:vAlign w:val="center"/>
          </w:tcPr>
          <w:p w14:paraId="2A5F2391">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564" w:type="dxa"/>
            <w:noWrap w:val="0"/>
            <w:vAlign w:val="center"/>
          </w:tcPr>
          <w:p w14:paraId="36D7875B">
            <w:pPr>
              <w:pStyle w:val="90"/>
              <w:ind w:left="223" w:hanging="222" w:hangingChars="106"/>
              <w:jc w:val="center"/>
              <w:rPr>
                <w:rFonts w:hint="eastAsia" w:ascii="方正仿宋_GB2312" w:hAnsi="方正仿宋_GB2312" w:eastAsia="方正仿宋_GB2312" w:cs="方正仿宋_GB2312"/>
                <w:color w:val="auto"/>
                <w:highlight w:val="none"/>
              </w:rPr>
            </w:pPr>
          </w:p>
        </w:tc>
      </w:tr>
      <w:tr w14:paraId="1B2D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noWrap w:val="0"/>
            <w:vAlign w:val="center"/>
          </w:tcPr>
          <w:p w14:paraId="3DDBFA23">
            <w:pPr>
              <w:pStyle w:val="90"/>
              <w:ind w:left="223" w:hanging="222" w:hangingChars="106"/>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质量员</w:t>
            </w:r>
          </w:p>
        </w:tc>
        <w:tc>
          <w:tcPr>
            <w:tcW w:w="707" w:type="dxa"/>
            <w:noWrap w:val="0"/>
            <w:vAlign w:val="center"/>
          </w:tcPr>
          <w:p w14:paraId="0018820B">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816" w:type="dxa"/>
            <w:noWrap w:val="0"/>
            <w:vAlign w:val="center"/>
          </w:tcPr>
          <w:p w14:paraId="1675B8A1">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899" w:type="dxa"/>
            <w:noWrap w:val="0"/>
            <w:vAlign w:val="center"/>
          </w:tcPr>
          <w:p w14:paraId="0AEB87AE">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545" w:type="dxa"/>
            <w:noWrap w:val="0"/>
            <w:vAlign w:val="center"/>
          </w:tcPr>
          <w:p w14:paraId="7010FFD4">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710" w:type="dxa"/>
            <w:noWrap w:val="0"/>
            <w:vAlign w:val="center"/>
          </w:tcPr>
          <w:p w14:paraId="3B4BA09C">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564" w:type="dxa"/>
            <w:noWrap w:val="0"/>
            <w:vAlign w:val="center"/>
          </w:tcPr>
          <w:p w14:paraId="3DA83BB9">
            <w:pPr>
              <w:pStyle w:val="90"/>
              <w:ind w:left="223" w:hanging="222" w:hangingChars="106"/>
              <w:jc w:val="center"/>
              <w:rPr>
                <w:rFonts w:hint="eastAsia" w:ascii="方正仿宋_GB2312" w:hAnsi="方正仿宋_GB2312" w:eastAsia="方正仿宋_GB2312" w:cs="方正仿宋_GB2312"/>
                <w:color w:val="auto"/>
                <w:highlight w:val="none"/>
              </w:rPr>
            </w:pPr>
          </w:p>
        </w:tc>
      </w:tr>
      <w:tr w14:paraId="3FAE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noWrap w:val="0"/>
            <w:vAlign w:val="center"/>
          </w:tcPr>
          <w:p w14:paraId="6DF87134">
            <w:pPr>
              <w:pStyle w:val="90"/>
              <w:ind w:left="223" w:hanging="222" w:hangingChars="106"/>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安全员</w:t>
            </w:r>
          </w:p>
        </w:tc>
        <w:tc>
          <w:tcPr>
            <w:tcW w:w="707" w:type="dxa"/>
            <w:noWrap w:val="0"/>
            <w:vAlign w:val="center"/>
          </w:tcPr>
          <w:p w14:paraId="112555B8">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816" w:type="dxa"/>
            <w:noWrap w:val="0"/>
            <w:vAlign w:val="center"/>
          </w:tcPr>
          <w:p w14:paraId="281C35F6">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899" w:type="dxa"/>
            <w:noWrap w:val="0"/>
            <w:vAlign w:val="center"/>
          </w:tcPr>
          <w:p w14:paraId="38D04FF9">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545" w:type="dxa"/>
            <w:noWrap w:val="0"/>
            <w:vAlign w:val="center"/>
          </w:tcPr>
          <w:p w14:paraId="6D4FC170">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710" w:type="dxa"/>
            <w:noWrap w:val="0"/>
            <w:vAlign w:val="center"/>
          </w:tcPr>
          <w:p w14:paraId="207D2C6D">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564" w:type="dxa"/>
            <w:noWrap w:val="0"/>
            <w:vAlign w:val="center"/>
          </w:tcPr>
          <w:p w14:paraId="2CC4DDC5">
            <w:pPr>
              <w:pStyle w:val="90"/>
              <w:ind w:left="223" w:hanging="222" w:hangingChars="106"/>
              <w:jc w:val="center"/>
              <w:rPr>
                <w:rFonts w:hint="eastAsia" w:ascii="方正仿宋_GB2312" w:hAnsi="方正仿宋_GB2312" w:eastAsia="方正仿宋_GB2312" w:cs="方正仿宋_GB2312"/>
                <w:color w:val="auto"/>
                <w:highlight w:val="none"/>
              </w:rPr>
            </w:pPr>
          </w:p>
        </w:tc>
      </w:tr>
      <w:tr w14:paraId="7608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noWrap w:val="0"/>
            <w:vAlign w:val="center"/>
          </w:tcPr>
          <w:p w14:paraId="5BE62847">
            <w:pPr>
              <w:pStyle w:val="90"/>
              <w:ind w:left="223" w:hanging="222" w:hangingChars="106"/>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材料员</w:t>
            </w:r>
          </w:p>
        </w:tc>
        <w:tc>
          <w:tcPr>
            <w:tcW w:w="707" w:type="dxa"/>
            <w:noWrap w:val="0"/>
            <w:vAlign w:val="center"/>
          </w:tcPr>
          <w:p w14:paraId="3FBFD759">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816" w:type="dxa"/>
            <w:noWrap w:val="0"/>
            <w:vAlign w:val="center"/>
          </w:tcPr>
          <w:p w14:paraId="5F582006">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899" w:type="dxa"/>
            <w:noWrap w:val="0"/>
            <w:vAlign w:val="center"/>
          </w:tcPr>
          <w:p w14:paraId="4ACAFC19">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545" w:type="dxa"/>
            <w:noWrap w:val="0"/>
            <w:vAlign w:val="center"/>
          </w:tcPr>
          <w:p w14:paraId="6DA08359">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710" w:type="dxa"/>
            <w:noWrap w:val="0"/>
            <w:vAlign w:val="center"/>
          </w:tcPr>
          <w:p w14:paraId="5EEF8BE5">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564" w:type="dxa"/>
            <w:noWrap w:val="0"/>
            <w:vAlign w:val="center"/>
          </w:tcPr>
          <w:p w14:paraId="1D990718">
            <w:pPr>
              <w:pStyle w:val="90"/>
              <w:ind w:left="223" w:hanging="222" w:hangingChars="106"/>
              <w:jc w:val="center"/>
              <w:rPr>
                <w:rFonts w:hint="eastAsia" w:ascii="方正仿宋_GB2312" w:hAnsi="方正仿宋_GB2312" w:eastAsia="方正仿宋_GB2312" w:cs="方正仿宋_GB2312"/>
                <w:color w:val="auto"/>
                <w:highlight w:val="none"/>
              </w:rPr>
            </w:pPr>
          </w:p>
        </w:tc>
      </w:tr>
      <w:tr w14:paraId="7D54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noWrap w:val="0"/>
            <w:vAlign w:val="center"/>
          </w:tcPr>
          <w:p w14:paraId="6D608CFD">
            <w:pPr>
              <w:pStyle w:val="90"/>
              <w:ind w:left="223" w:hanging="222" w:hangingChars="106"/>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w:t>
            </w:r>
          </w:p>
        </w:tc>
        <w:tc>
          <w:tcPr>
            <w:tcW w:w="707" w:type="dxa"/>
            <w:noWrap w:val="0"/>
            <w:vAlign w:val="center"/>
          </w:tcPr>
          <w:p w14:paraId="1DD127B4">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816" w:type="dxa"/>
            <w:noWrap w:val="0"/>
            <w:vAlign w:val="center"/>
          </w:tcPr>
          <w:p w14:paraId="1B34430E">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899" w:type="dxa"/>
            <w:noWrap w:val="0"/>
            <w:vAlign w:val="center"/>
          </w:tcPr>
          <w:p w14:paraId="7925164E">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545" w:type="dxa"/>
            <w:noWrap w:val="0"/>
            <w:vAlign w:val="center"/>
          </w:tcPr>
          <w:p w14:paraId="1569D86B">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710" w:type="dxa"/>
            <w:noWrap w:val="0"/>
            <w:vAlign w:val="center"/>
          </w:tcPr>
          <w:p w14:paraId="33165A17">
            <w:pPr>
              <w:pStyle w:val="90"/>
              <w:ind w:left="223" w:hanging="222" w:hangingChars="106"/>
              <w:jc w:val="center"/>
              <w:rPr>
                <w:rFonts w:hint="eastAsia" w:ascii="方正仿宋_GB2312" w:hAnsi="方正仿宋_GB2312" w:eastAsia="方正仿宋_GB2312" w:cs="方正仿宋_GB2312"/>
                <w:color w:val="auto"/>
                <w:highlight w:val="none"/>
              </w:rPr>
            </w:pPr>
          </w:p>
        </w:tc>
        <w:tc>
          <w:tcPr>
            <w:tcW w:w="1564" w:type="dxa"/>
            <w:noWrap w:val="0"/>
            <w:vAlign w:val="center"/>
          </w:tcPr>
          <w:p w14:paraId="440B7C85">
            <w:pPr>
              <w:pStyle w:val="90"/>
              <w:ind w:left="223" w:hanging="222" w:hangingChars="106"/>
              <w:jc w:val="center"/>
              <w:rPr>
                <w:rFonts w:hint="eastAsia" w:ascii="方正仿宋_GB2312" w:hAnsi="方正仿宋_GB2312" w:eastAsia="方正仿宋_GB2312" w:cs="方正仿宋_GB2312"/>
                <w:color w:val="auto"/>
                <w:highlight w:val="none"/>
              </w:rPr>
            </w:pPr>
          </w:p>
        </w:tc>
      </w:tr>
      <w:tr w14:paraId="49DD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1EB0C0EA">
            <w:pPr>
              <w:pStyle w:val="90"/>
              <w:spacing w:line="360" w:lineRule="auto"/>
              <w:rPr>
                <w:rFonts w:hint="eastAsia" w:ascii="方正仿宋_GB2312" w:hAnsi="方正仿宋_GB2312" w:eastAsia="方正仿宋_GB2312" w:cs="方正仿宋_GB2312"/>
                <w:color w:val="auto"/>
                <w:highlight w:val="none"/>
              </w:rPr>
            </w:pPr>
            <w:bookmarkStart w:id="121" w:name="_Toc251052199"/>
            <w:r>
              <w:rPr>
                <w:rFonts w:hint="eastAsia" w:ascii="方正仿宋_GB2312" w:hAnsi="方正仿宋_GB2312" w:eastAsia="方正仿宋_GB2312" w:cs="方正仿宋_GB2312"/>
                <w:color w:val="auto"/>
                <w:highlight w:val="none"/>
              </w:rPr>
              <w:t>一旦我单位中标，将实行项目经理负责制，我方保证并配备上述项目管理机构。上述填报内容真实，若不真实，愿按有关规定接受处理。</w:t>
            </w:r>
            <w:bookmarkEnd w:id="121"/>
          </w:p>
        </w:tc>
      </w:tr>
    </w:tbl>
    <w:p w14:paraId="2D70FE6E">
      <w:pPr>
        <w:autoSpaceDE w:val="0"/>
        <w:autoSpaceDN w:val="0"/>
        <w:spacing w:line="360" w:lineRule="auto"/>
        <w:ind w:left="4335" w:leftChars="1950" w:hanging="240" w:hangingChars="100"/>
        <w:rPr>
          <w:rFonts w:hint="eastAsia" w:ascii="方正仿宋_GB2312" w:hAnsi="方正仿宋_GB2312" w:eastAsia="方正仿宋_GB2312" w:cs="方正仿宋_GB2312"/>
          <w:color w:val="auto"/>
          <w:kern w:val="0"/>
          <w:sz w:val="24"/>
          <w:highlight w:val="none"/>
        </w:rPr>
      </w:pPr>
    </w:p>
    <w:p w14:paraId="5744F7CB">
      <w:pPr>
        <w:autoSpaceDE w:val="0"/>
        <w:autoSpaceDN w:val="0"/>
        <w:spacing w:line="360" w:lineRule="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注：</w:t>
      </w:r>
    </w:p>
    <w:p w14:paraId="633385DF">
      <w:pPr>
        <w:autoSpaceDE w:val="0"/>
        <w:autoSpaceDN w:val="0"/>
        <w:spacing w:line="360" w:lineRule="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1.本表所列岗位的所有管理人员的情况均应如实填写。可按以上格式扩展为多页填写。</w:t>
      </w:r>
    </w:p>
    <w:p w14:paraId="58D8D745">
      <w:pPr>
        <w:autoSpaceDE w:val="0"/>
        <w:autoSpaceDN w:val="0"/>
        <w:spacing w:line="360" w:lineRule="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附项目经理、技术负责人、安全员、施工员、质量员、材料员的上岗证和专职安全员安全生产考核合格证复印件；拟投入的项目经理、项目技术负责人和主要管理人员响应文件递交截止日前半年内连续3个月为其交纳依法缴纳社会保险证明材料复印件；</w:t>
      </w:r>
    </w:p>
    <w:p w14:paraId="590C3201">
      <w:pPr>
        <w:autoSpaceDE w:val="0"/>
        <w:autoSpaceDN w:val="0"/>
        <w:spacing w:line="360" w:lineRule="auto"/>
        <w:ind w:left="4335" w:leftChars="1950" w:hanging="240" w:hangingChars="100"/>
        <w:rPr>
          <w:rFonts w:hint="eastAsia" w:ascii="方正仿宋_GB2312" w:hAnsi="方正仿宋_GB2312" w:eastAsia="方正仿宋_GB2312" w:cs="方正仿宋_GB2312"/>
          <w:color w:val="auto"/>
          <w:kern w:val="0"/>
          <w:sz w:val="24"/>
          <w:highlight w:val="none"/>
        </w:rPr>
      </w:pPr>
    </w:p>
    <w:p w14:paraId="716955C6">
      <w:pPr>
        <w:autoSpaceDE w:val="0"/>
        <w:autoSpaceDN w:val="0"/>
        <w:spacing w:line="360" w:lineRule="auto"/>
        <w:ind w:left="4335" w:leftChars="1950" w:hanging="240" w:hangingChars="100"/>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供应商名称（电子签章）：</w:t>
      </w:r>
    </w:p>
    <w:p w14:paraId="7A270C1A">
      <w:pPr>
        <w:jc w:val="center"/>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rPr>
        <w:t xml:space="preserve">                                  </w:t>
      </w:r>
      <w:r>
        <w:rPr>
          <w:rFonts w:hint="eastAsia" w:ascii="方正仿宋_GB2312" w:hAnsi="方正仿宋_GB2312" w:eastAsia="方正仿宋_GB2312" w:cs="方正仿宋_GB2312"/>
          <w:color w:val="auto"/>
          <w:kern w:val="0"/>
          <w:sz w:val="24"/>
          <w:highlight w:val="none"/>
          <w:lang w:val="en-US" w:eastAsia="zh-CN"/>
        </w:rPr>
        <w:t xml:space="preserve">  </w:t>
      </w:r>
      <w:r>
        <w:rPr>
          <w:rFonts w:hint="eastAsia" w:ascii="方正仿宋_GB2312" w:hAnsi="方正仿宋_GB2312" w:eastAsia="方正仿宋_GB2312" w:cs="方正仿宋_GB2312"/>
          <w:color w:val="auto"/>
          <w:kern w:val="0"/>
          <w:sz w:val="24"/>
          <w:highlight w:val="none"/>
        </w:rPr>
        <w:t xml:space="preserve">        </w:t>
      </w:r>
      <w:r>
        <w:rPr>
          <w:rFonts w:hint="eastAsia" w:ascii="方正仿宋_GB2312" w:hAnsi="方正仿宋_GB2312" w:eastAsia="方正仿宋_GB2312" w:cs="方正仿宋_GB2312"/>
          <w:color w:val="auto"/>
          <w:kern w:val="0"/>
          <w:sz w:val="24"/>
          <w:highlight w:val="none"/>
          <w:lang w:val="zh-CN"/>
        </w:rPr>
        <w:t xml:space="preserve">日期： </w:t>
      </w:r>
      <w:r>
        <w:rPr>
          <w:rFonts w:hint="eastAsia" w:ascii="方正仿宋_GB2312" w:hAnsi="方正仿宋_GB2312" w:eastAsia="方正仿宋_GB2312" w:cs="方正仿宋_GB2312"/>
          <w:color w:val="auto"/>
          <w:kern w:val="0"/>
          <w:sz w:val="24"/>
          <w:highlight w:val="none"/>
          <w:lang w:val="en-US" w:eastAsia="zh-CN"/>
        </w:rPr>
        <w:t xml:space="preserve">  </w:t>
      </w:r>
      <w:r>
        <w:rPr>
          <w:rFonts w:hint="eastAsia" w:ascii="方正仿宋_GB2312" w:hAnsi="方正仿宋_GB2312" w:eastAsia="方正仿宋_GB2312" w:cs="方正仿宋_GB2312"/>
          <w:color w:val="auto"/>
          <w:kern w:val="0"/>
          <w:sz w:val="24"/>
          <w:highlight w:val="none"/>
          <w:lang w:val="zh-CN"/>
        </w:rPr>
        <w:t xml:space="preserve"> 年  月   日</w:t>
      </w:r>
    </w:p>
    <w:p w14:paraId="40BD6562">
      <w:pPr>
        <w:spacing w:line="480" w:lineRule="auto"/>
        <w:rPr>
          <w:rFonts w:hint="eastAsia" w:ascii="方正仿宋_GB2312" w:hAnsi="方正仿宋_GB2312" w:eastAsia="方正仿宋_GB2312" w:cs="方正仿宋_GB2312"/>
          <w:b/>
          <w:bCs/>
          <w:color w:val="auto"/>
          <w:szCs w:val="21"/>
          <w:highlight w:val="none"/>
          <w:lang w:val="zh-CN" w:bidi="zh-CN"/>
        </w:rPr>
        <w:sectPr>
          <w:pgSz w:w="11900" w:h="16839"/>
          <w:pgMar w:top="1440" w:right="1080" w:bottom="1440" w:left="1080" w:header="969" w:footer="502" w:gutter="0"/>
          <w:pgNumType w:fmt="decimal"/>
          <w:cols w:space="720" w:num="1"/>
        </w:sectPr>
      </w:pPr>
    </w:p>
    <w:bookmarkEnd w:id="108"/>
    <w:bookmarkEnd w:id="109"/>
    <w:bookmarkEnd w:id="110"/>
    <w:bookmarkEnd w:id="111"/>
    <w:bookmarkEnd w:id="112"/>
    <w:p w14:paraId="40EDE787">
      <w:pPr>
        <w:snapToGrid w:val="0"/>
        <w:spacing w:line="360" w:lineRule="auto"/>
        <w:ind w:firstLine="602" w:firstLineChars="200"/>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十、供应商认为需要提供的其他有关资料</w:t>
      </w:r>
    </w:p>
    <w:p w14:paraId="7479903C">
      <w:pPr>
        <w:rPr>
          <w:rFonts w:hint="eastAsia" w:ascii="方正仿宋_GB2312" w:hAnsi="方正仿宋_GB2312" w:eastAsia="方正仿宋_GB2312" w:cs="方正仿宋_GB2312"/>
          <w:color w:val="auto"/>
          <w:szCs w:val="21"/>
          <w:highlight w:val="none"/>
        </w:rPr>
      </w:pPr>
    </w:p>
    <w:p w14:paraId="4BF14671">
      <w:pPr>
        <w:jc w:val="center"/>
        <w:rPr>
          <w:rFonts w:hint="eastAsia" w:ascii="方正仿宋_GB2312" w:hAnsi="方正仿宋_GB2312" w:eastAsia="方正仿宋_GB2312" w:cs="方正仿宋_GB2312"/>
          <w:color w:val="auto"/>
          <w:szCs w:val="21"/>
          <w:highlight w:val="none"/>
        </w:rPr>
        <w:sectPr>
          <w:pgSz w:w="11911" w:h="16838"/>
          <w:pgMar w:top="1134" w:right="1134" w:bottom="1134" w:left="1134" w:header="720" w:footer="720" w:gutter="0"/>
          <w:pgNumType w:fmt="decimal"/>
          <w:cols w:space="720" w:num="1"/>
        </w:sectPr>
      </w:pPr>
      <w:r>
        <w:rPr>
          <w:rFonts w:hint="eastAsia" w:ascii="方正仿宋_GB2312" w:hAnsi="方正仿宋_GB2312" w:eastAsia="方正仿宋_GB2312" w:cs="方正仿宋_GB2312"/>
          <w:b/>
          <w:color w:val="auto"/>
          <w:sz w:val="30"/>
          <w:szCs w:val="30"/>
          <w:highlight w:val="none"/>
        </w:rPr>
        <w:t>（如有，格式自拟）</w:t>
      </w:r>
    </w:p>
    <w:p w14:paraId="5C749A2D">
      <w:pPr>
        <w:pStyle w:val="3"/>
        <w:jc w:val="center"/>
        <w:rPr>
          <w:rFonts w:hint="eastAsia" w:ascii="方正仿宋_GB2312" w:hAnsi="方正仿宋_GB2312" w:eastAsia="方正仿宋_GB2312" w:cs="方正仿宋_GB2312"/>
          <w:color w:val="auto"/>
          <w:highlight w:val="none"/>
        </w:rPr>
      </w:pPr>
      <w:bookmarkStart w:id="122" w:name="_Toc26046"/>
      <w:bookmarkStart w:id="123" w:name="_Toc9885"/>
      <w:bookmarkStart w:id="124" w:name="_Toc6004"/>
      <w:r>
        <w:rPr>
          <w:rFonts w:hint="eastAsia" w:ascii="方正仿宋_GB2312" w:hAnsi="方正仿宋_GB2312" w:eastAsia="方正仿宋_GB2312" w:cs="方正仿宋_GB2312"/>
          <w:b w:val="0"/>
          <w:bCs w:val="0"/>
          <w:color w:val="auto"/>
          <w:highlight w:val="none"/>
        </w:rPr>
        <w:t>第四节 报价文件格式</w:t>
      </w:r>
      <w:bookmarkEnd w:id="122"/>
      <w:bookmarkEnd w:id="123"/>
      <w:bookmarkEnd w:id="124"/>
    </w:p>
    <w:p w14:paraId="21B2DF1D">
      <w:pPr>
        <w:snapToGrid w:val="0"/>
        <w:spacing w:before="165" w:beforeLines="50" w:after="50"/>
        <w:rPr>
          <w:rFonts w:hint="eastAsia" w:ascii="方正仿宋_GB2312" w:hAnsi="方正仿宋_GB2312" w:eastAsia="方正仿宋_GB2312" w:cs="方正仿宋_GB2312"/>
          <w:bCs/>
          <w:color w:val="auto"/>
          <w:sz w:val="32"/>
          <w:szCs w:val="20"/>
          <w:highlight w:val="none"/>
        </w:rPr>
      </w:pP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bCs/>
          <w:color w:val="auto"/>
          <w:highlight w:val="none"/>
        </w:rPr>
        <w:t>全流程电子文件</w:t>
      </w:r>
    </w:p>
    <w:p w14:paraId="26179040">
      <w:pPr>
        <w:snapToGrid w:val="0"/>
        <w:spacing w:before="165" w:beforeLines="50" w:after="50"/>
        <w:rPr>
          <w:rFonts w:hint="eastAsia" w:ascii="方正仿宋_GB2312" w:hAnsi="方正仿宋_GB2312" w:eastAsia="方正仿宋_GB2312" w:cs="方正仿宋_GB2312"/>
          <w:color w:val="auto"/>
          <w:sz w:val="24"/>
          <w:szCs w:val="20"/>
          <w:highlight w:val="none"/>
        </w:rPr>
      </w:pPr>
    </w:p>
    <w:p w14:paraId="1E0BE11B">
      <w:pPr>
        <w:snapToGrid w:val="0"/>
        <w:spacing w:before="165" w:beforeLines="50" w:after="50"/>
        <w:rPr>
          <w:rFonts w:hint="eastAsia" w:ascii="方正仿宋_GB2312" w:hAnsi="方正仿宋_GB2312" w:eastAsia="方正仿宋_GB2312" w:cs="方正仿宋_GB2312"/>
          <w:color w:val="auto"/>
          <w:sz w:val="24"/>
          <w:szCs w:val="20"/>
          <w:highlight w:val="none"/>
        </w:rPr>
      </w:pPr>
    </w:p>
    <w:p w14:paraId="7E7D786C">
      <w:pPr>
        <w:snapToGrid w:val="0"/>
        <w:spacing w:before="165" w:beforeLines="50" w:after="50"/>
        <w:rPr>
          <w:rFonts w:hint="eastAsia" w:ascii="方正仿宋_GB2312" w:hAnsi="方正仿宋_GB2312" w:eastAsia="方正仿宋_GB2312" w:cs="方正仿宋_GB2312"/>
          <w:color w:val="auto"/>
          <w:sz w:val="24"/>
          <w:szCs w:val="20"/>
          <w:highlight w:val="none"/>
        </w:rPr>
      </w:pPr>
    </w:p>
    <w:p w14:paraId="5C77B019">
      <w:pPr>
        <w:snapToGrid w:val="0"/>
        <w:spacing w:before="165" w:beforeLines="50" w:after="50"/>
        <w:jc w:val="center"/>
        <w:rPr>
          <w:rFonts w:hint="eastAsia" w:ascii="方正仿宋_GB2312" w:hAnsi="方正仿宋_GB2312" w:eastAsia="方正仿宋_GB2312" w:cs="方正仿宋_GB2312"/>
          <w:b/>
          <w:color w:val="auto"/>
          <w:sz w:val="52"/>
          <w:szCs w:val="52"/>
          <w:highlight w:val="none"/>
        </w:rPr>
      </w:pPr>
      <w:r>
        <w:rPr>
          <w:rFonts w:hint="eastAsia" w:ascii="方正仿宋_GB2312" w:hAnsi="方正仿宋_GB2312" w:eastAsia="方正仿宋_GB2312" w:cs="方正仿宋_GB2312"/>
          <w:b/>
          <w:color w:val="auto"/>
          <w:sz w:val="52"/>
          <w:szCs w:val="52"/>
          <w:highlight w:val="none"/>
        </w:rPr>
        <w:t>报价文件（封面）</w:t>
      </w:r>
    </w:p>
    <w:p w14:paraId="3C2D91A4">
      <w:pPr>
        <w:snapToGrid w:val="0"/>
        <w:spacing w:before="165" w:beforeLines="50" w:after="50"/>
        <w:rPr>
          <w:rFonts w:hint="eastAsia" w:ascii="方正仿宋_GB2312" w:hAnsi="方正仿宋_GB2312" w:eastAsia="方正仿宋_GB2312" w:cs="方正仿宋_GB2312"/>
          <w:bCs/>
          <w:color w:val="auto"/>
          <w:sz w:val="24"/>
          <w:szCs w:val="20"/>
          <w:highlight w:val="none"/>
        </w:rPr>
      </w:pPr>
    </w:p>
    <w:p w14:paraId="59F0E3E8">
      <w:pPr>
        <w:snapToGrid w:val="0"/>
        <w:spacing w:before="165" w:beforeLines="50" w:after="50"/>
        <w:rPr>
          <w:rFonts w:hint="eastAsia" w:ascii="方正仿宋_GB2312" w:hAnsi="方正仿宋_GB2312" w:eastAsia="方正仿宋_GB2312" w:cs="方正仿宋_GB2312"/>
          <w:bCs/>
          <w:color w:val="auto"/>
          <w:sz w:val="24"/>
          <w:szCs w:val="20"/>
          <w:highlight w:val="none"/>
        </w:rPr>
      </w:pPr>
    </w:p>
    <w:p w14:paraId="423A9247">
      <w:pPr>
        <w:snapToGrid w:val="0"/>
        <w:spacing w:before="165" w:beforeLines="50" w:after="50"/>
        <w:rPr>
          <w:rFonts w:hint="eastAsia" w:ascii="方正仿宋_GB2312" w:hAnsi="方正仿宋_GB2312" w:eastAsia="方正仿宋_GB2312" w:cs="方正仿宋_GB2312"/>
          <w:bCs/>
          <w:color w:val="auto"/>
          <w:sz w:val="24"/>
          <w:szCs w:val="20"/>
          <w:highlight w:val="none"/>
        </w:rPr>
      </w:pPr>
    </w:p>
    <w:p w14:paraId="4C5DE7DC">
      <w:pPr>
        <w:snapToGrid w:val="0"/>
        <w:spacing w:before="165" w:beforeLines="50" w:after="50"/>
        <w:rPr>
          <w:rFonts w:hint="eastAsia" w:ascii="方正仿宋_GB2312" w:hAnsi="方正仿宋_GB2312" w:eastAsia="方正仿宋_GB2312" w:cs="方正仿宋_GB2312"/>
          <w:bCs/>
          <w:color w:val="auto"/>
          <w:sz w:val="24"/>
          <w:szCs w:val="20"/>
          <w:highlight w:val="none"/>
        </w:rPr>
      </w:pPr>
    </w:p>
    <w:p w14:paraId="38A111E3">
      <w:pPr>
        <w:snapToGrid w:val="0"/>
        <w:spacing w:before="165" w:beforeLines="50" w:after="50"/>
        <w:rPr>
          <w:rFonts w:hint="eastAsia" w:ascii="方正仿宋_GB2312" w:hAnsi="方正仿宋_GB2312" w:eastAsia="方正仿宋_GB2312" w:cs="方正仿宋_GB2312"/>
          <w:bCs/>
          <w:color w:val="auto"/>
          <w:sz w:val="24"/>
          <w:szCs w:val="20"/>
          <w:highlight w:val="none"/>
        </w:rPr>
      </w:pPr>
    </w:p>
    <w:p w14:paraId="05FBB664">
      <w:pPr>
        <w:snapToGrid w:val="0"/>
        <w:spacing w:before="165" w:beforeLines="50" w:after="50"/>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项目名称：</w:t>
      </w:r>
    </w:p>
    <w:p w14:paraId="23BB6ED0">
      <w:pPr>
        <w:snapToGrid w:val="0"/>
        <w:spacing w:before="165" w:beforeLines="50" w:after="50"/>
        <w:ind w:firstLine="720" w:firstLineChars="225"/>
        <w:rPr>
          <w:rFonts w:hint="eastAsia" w:ascii="方正仿宋_GB2312" w:hAnsi="方正仿宋_GB2312" w:eastAsia="方正仿宋_GB2312" w:cs="方正仿宋_GB2312"/>
          <w:bCs/>
          <w:color w:val="auto"/>
          <w:sz w:val="32"/>
          <w:szCs w:val="32"/>
          <w:highlight w:val="none"/>
        </w:rPr>
      </w:pPr>
    </w:p>
    <w:p w14:paraId="6957E4C0">
      <w:pPr>
        <w:snapToGrid w:val="0"/>
        <w:spacing w:before="165" w:beforeLines="50" w:after="50"/>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项目编号：</w:t>
      </w:r>
    </w:p>
    <w:p w14:paraId="5BE29974">
      <w:pPr>
        <w:snapToGrid w:val="0"/>
        <w:spacing w:before="165" w:beforeLines="50" w:after="50"/>
        <w:ind w:firstLine="720" w:firstLineChars="225"/>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 xml:space="preserve"> </w:t>
      </w:r>
    </w:p>
    <w:p w14:paraId="7C950A78">
      <w:pPr>
        <w:snapToGrid w:val="0"/>
        <w:spacing w:before="165" w:beforeLines="50" w:after="50"/>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所竞分标（如有则填写，无分标时填写“无”或者留空）：</w:t>
      </w:r>
    </w:p>
    <w:p w14:paraId="2A6F2B80">
      <w:pPr>
        <w:snapToGrid w:val="0"/>
        <w:spacing w:before="165" w:beforeLines="50" w:after="50"/>
        <w:ind w:firstLine="720" w:firstLineChars="225"/>
        <w:rPr>
          <w:rFonts w:hint="eastAsia" w:ascii="方正仿宋_GB2312" w:hAnsi="方正仿宋_GB2312" w:eastAsia="方正仿宋_GB2312" w:cs="方正仿宋_GB2312"/>
          <w:bCs/>
          <w:color w:val="auto"/>
          <w:sz w:val="32"/>
          <w:szCs w:val="32"/>
          <w:highlight w:val="none"/>
        </w:rPr>
      </w:pPr>
    </w:p>
    <w:p w14:paraId="3B790BC7">
      <w:pPr>
        <w:pStyle w:val="7"/>
        <w:snapToGrid w:val="0"/>
        <w:spacing w:before="50" w:after="50"/>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供应商名称：</w:t>
      </w:r>
    </w:p>
    <w:p w14:paraId="41306A05">
      <w:pPr>
        <w:pStyle w:val="7"/>
        <w:snapToGrid w:val="0"/>
        <w:spacing w:before="50" w:after="50"/>
        <w:ind w:firstLine="720" w:firstLineChars="225"/>
        <w:rPr>
          <w:rFonts w:hint="eastAsia" w:ascii="方正仿宋_GB2312" w:hAnsi="方正仿宋_GB2312" w:eastAsia="方正仿宋_GB2312" w:cs="方正仿宋_GB2312"/>
          <w:bCs/>
          <w:color w:val="auto"/>
          <w:sz w:val="32"/>
          <w:szCs w:val="32"/>
          <w:highlight w:val="none"/>
        </w:rPr>
      </w:pPr>
    </w:p>
    <w:p w14:paraId="67220DD7">
      <w:pPr>
        <w:pStyle w:val="7"/>
        <w:snapToGrid w:val="0"/>
        <w:spacing w:before="50" w:after="50"/>
        <w:ind w:firstLine="720" w:firstLineChars="225"/>
        <w:rPr>
          <w:rFonts w:hint="eastAsia" w:ascii="方正仿宋_GB2312" w:hAnsi="方正仿宋_GB2312" w:eastAsia="方正仿宋_GB2312" w:cs="方正仿宋_GB2312"/>
          <w:bCs/>
          <w:color w:val="auto"/>
          <w:sz w:val="32"/>
          <w:szCs w:val="32"/>
          <w:highlight w:val="none"/>
        </w:rPr>
      </w:pPr>
    </w:p>
    <w:p w14:paraId="4C244DEE">
      <w:pPr>
        <w:pStyle w:val="7"/>
        <w:snapToGrid w:val="0"/>
        <w:spacing w:before="50" w:after="50"/>
        <w:ind w:firstLine="1280" w:firstLineChars="400"/>
        <w:rPr>
          <w:rFonts w:hint="eastAsia" w:ascii="方正仿宋_GB2312" w:hAnsi="方正仿宋_GB2312" w:eastAsia="方正仿宋_GB2312" w:cs="方正仿宋_GB2312"/>
          <w:bCs/>
          <w:color w:val="auto"/>
          <w:sz w:val="32"/>
          <w:szCs w:val="32"/>
          <w:highlight w:val="none"/>
        </w:rPr>
      </w:pPr>
    </w:p>
    <w:p w14:paraId="25FD8D9B">
      <w:pPr>
        <w:snapToGrid w:val="0"/>
        <w:spacing w:before="165" w:beforeLines="50" w:after="50"/>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年    月    日</w:t>
      </w:r>
    </w:p>
    <w:p w14:paraId="7022853B">
      <w:pPr>
        <w:jc w:val="right"/>
        <w:rPr>
          <w:rFonts w:hint="eastAsia" w:ascii="方正仿宋_GB2312" w:hAnsi="方正仿宋_GB2312" w:eastAsia="方正仿宋_GB2312" w:cs="方正仿宋_GB2312"/>
          <w:color w:val="auto"/>
          <w:kern w:val="0"/>
          <w:sz w:val="24"/>
          <w:highlight w:val="none"/>
          <w:lang w:val="zh-CN"/>
        </w:rPr>
        <w:sectPr>
          <w:headerReference r:id="rId14" w:type="default"/>
          <w:pgSz w:w="11905" w:h="16838"/>
          <w:pgMar w:top="1440" w:right="1080" w:bottom="1440" w:left="1080" w:header="720" w:footer="720" w:gutter="0"/>
          <w:pgNumType w:fmt="decimal"/>
          <w:cols w:space="720" w:num="1"/>
          <w:docGrid w:type="lines" w:linePitch="331" w:charSpace="0"/>
        </w:sectPr>
      </w:pPr>
    </w:p>
    <w:p w14:paraId="79E0E16E">
      <w:pPr>
        <w:snapToGrid w:val="0"/>
        <w:spacing w:before="165" w:beforeLines="50" w:after="50" w:line="400" w:lineRule="exact"/>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bCs/>
          <w:color w:val="auto"/>
          <w:sz w:val="32"/>
          <w:szCs w:val="32"/>
          <w:highlight w:val="none"/>
        </w:rPr>
        <w:t>报价文件目录</w:t>
      </w:r>
    </w:p>
    <w:p w14:paraId="2E69EA96">
      <w:pPr>
        <w:spacing w:line="360" w:lineRule="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一、响应函………………………………………………………………………………（页码）</w:t>
      </w:r>
    </w:p>
    <w:p w14:paraId="35168BBC">
      <w:pPr>
        <w:spacing w:line="360" w:lineRule="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二、响应报价表…………………………………………………………………………（页码）</w:t>
      </w:r>
    </w:p>
    <w:p w14:paraId="6CA3D384">
      <w:pPr>
        <w:spacing w:line="360" w:lineRule="auto"/>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三、已标价工程量清单…………………………………………………………………（页码）</w:t>
      </w:r>
    </w:p>
    <w:p w14:paraId="16A86BCC">
      <w:pPr>
        <w:snapToGrid w:val="0"/>
        <w:spacing w:before="165" w:beforeLines="50" w:after="50" w:line="360" w:lineRule="auto"/>
        <w:ind w:left="142" w:firstLine="643" w:firstLineChars="200"/>
        <w:jc w:val="lef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b/>
          <w:bCs/>
          <w:color w:val="auto"/>
          <w:sz w:val="32"/>
          <w:szCs w:val="32"/>
          <w:highlight w:val="none"/>
        </w:rPr>
        <w:br w:type="page"/>
      </w:r>
      <w:r>
        <w:rPr>
          <w:rFonts w:hint="eastAsia" w:ascii="方正仿宋_GB2312" w:hAnsi="方正仿宋_GB2312" w:eastAsia="方正仿宋_GB2312" w:cs="方正仿宋_GB2312"/>
          <w:b/>
          <w:bCs/>
          <w:color w:val="auto"/>
          <w:sz w:val="32"/>
          <w:szCs w:val="32"/>
          <w:highlight w:val="none"/>
        </w:rPr>
        <w:t>一、响应函</w:t>
      </w:r>
    </w:p>
    <w:p w14:paraId="61AD57AE">
      <w:pPr>
        <w:pStyle w:val="17"/>
        <w:spacing w:after="165" w:afterLines="50" w:line="500" w:lineRule="exact"/>
        <w:jc w:val="center"/>
        <w:rPr>
          <w:rFonts w:hint="eastAsia" w:ascii="方正仿宋_GB2312" w:hAnsi="方正仿宋_GB2312" w:eastAsia="方正仿宋_GB2312" w:cs="方正仿宋_GB2312"/>
          <w:b/>
          <w:bCs/>
          <w:color w:val="auto"/>
          <w:sz w:val="30"/>
          <w:szCs w:val="30"/>
          <w:highlight w:val="none"/>
        </w:rPr>
      </w:pPr>
      <w:r>
        <w:rPr>
          <w:rFonts w:hint="eastAsia" w:ascii="方正仿宋_GB2312" w:hAnsi="方正仿宋_GB2312" w:eastAsia="方正仿宋_GB2312" w:cs="方正仿宋_GB2312"/>
          <w:b/>
          <w:bCs/>
          <w:color w:val="auto"/>
          <w:sz w:val="30"/>
          <w:szCs w:val="30"/>
          <w:highlight w:val="none"/>
        </w:rPr>
        <w:t>响应函</w:t>
      </w:r>
    </w:p>
    <w:p w14:paraId="654A586C">
      <w:pPr>
        <w:pStyle w:val="17"/>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致：</w:t>
      </w:r>
      <w:r>
        <w:rPr>
          <w:rFonts w:hint="eastAsia" w:ascii="方正仿宋_GB2312" w:hAnsi="方正仿宋_GB2312" w:eastAsia="方正仿宋_GB2312" w:cs="方正仿宋_GB2312"/>
          <w:color w:val="auto"/>
          <w:sz w:val="21"/>
          <w:highlight w:val="none"/>
          <w:u w:val="single"/>
        </w:rPr>
        <w:t xml:space="preserve"> （采购人） </w:t>
      </w:r>
    </w:p>
    <w:p w14:paraId="64B80A52">
      <w:pPr>
        <w:pStyle w:val="17"/>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我方已仔细阅读了贵方组织的</w:t>
      </w:r>
      <w:r>
        <w:rPr>
          <w:rFonts w:hint="eastAsia" w:ascii="方正仿宋_GB2312" w:hAnsi="方正仿宋_GB2312" w:eastAsia="方正仿宋_GB2312" w:cs="方正仿宋_GB2312"/>
          <w:color w:val="auto"/>
          <w:sz w:val="21"/>
          <w:highlight w:val="none"/>
          <w:u w:val="single"/>
        </w:rPr>
        <w:t xml:space="preserve">                 </w:t>
      </w:r>
      <w:r>
        <w:rPr>
          <w:rFonts w:hint="eastAsia" w:ascii="方正仿宋_GB2312" w:hAnsi="方正仿宋_GB2312" w:eastAsia="方正仿宋_GB2312" w:cs="方正仿宋_GB2312"/>
          <w:color w:val="auto"/>
          <w:sz w:val="21"/>
          <w:highlight w:val="none"/>
        </w:rPr>
        <w:t>项目（项目编号：</w:t>
      </w:r>
      <w:r>
        <w:rPr>
          <w:rFonts w:hint="eastAsia" w:ascii="方正仿宋_GB2312" w:hAnsi="方正仿宋_GB2312" w:eastAsia="方正仿宋_GB2312" w:cs="方正仿宋_GB2312"/>
          <w:color w:val="auto"/>
          <w:sz w:val="21"/>
          <w:highlight w:val="none"/>
          <w:u w:val="single"/>
        </w:rPr>
        <w:t xml:space="preserve">         </w:t>
      </w:r>
      <w:r>
        <w:rPr>
          <w:rFonts w:hint="eastAsia" w:ascii="方正仿宋_GB2312" w:hAnsi="方正仿宋_GB2312" w:eastAsia="方正仿宋_GB2312" w:cs="方正仿宋_GB2312"/>
          <w:color w:val="auto"/>
          <w:sz w:val="21"/>
          <w:highlight w:val="none"/>
        </w:rPr>
        <w:t xml:space="preserve">）的竞争性磋商文件的全部内容，现正式递交下述文件参加贵方组织的本次政府采购活动： </w:t>
      </w:r>
    </w:p>
    <w:p w14:paraId="2997A315">
      <w:pPr>
        <w:pStyle w:val="17"/>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一、首次报价文件电子版</w:t>
      </w:r>
      <w:r>
        <w:rPr>
          <w:rFonts w:hint="eastAsia" w:ascii="方正仿宋_GB2312" w:hAnsi="方正仿宋_GB2312" w:eastAsia="方正仿宋_GB2312" w:cs="方正仿宋_GB2312"/>
          <w:color w:val="auto"/>
          <w:sz w:val="21"/>
          <w:highlight w:val="none"/>
          <w:u w:val="single"/>
        </w:rPr>
        <w:t xml:space="preserve">   </w:t>
      </w:r>
      <w:r>
        <w:rPr>
          <w:rFonts w:hint="eastAsia" w:ascii="方正仿宋_GB2312" w:hAnsi="方正仿宋_GB2312" w:eastAsia="方正仿宋_GB2312" w:cs="方正仿宋_GB2312"/>
          <w:color w:val="auto"/>
          <w:sz w:val="21"/>
          <w:highlight w:val="none"/>
        </w:rPr>
        <w:t>份（包含按“第三章 供应商须知”提交的全部文件）；</w:t>
      </w:r>
    </w:p>
    <w:p w14:paraId="2B59D3E4">
      <w:pPr>
        <w:pStyle w:val="17"/>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二、商务技术文件电子版</w:t>
      </w:r>
      <w:r>
        <w:rPr>
          <w:rFonts w:hint="eastAsia" w:ascii="方正仿宋_GB2312" w:hAnsi="方正仿宋_GB2312" w:eastAsia="方正仿宋_GB2312" w:cs="方正仿宋_GB2312"/>
          <w:color w:val="auto"/>
          <w:sz w:val="21"/>
          <w:highlight w:val="none"/>
          <w:u w:val="single"/>
        </w:rPr>
        <w:t xml:space="preserve">   </w:t>
      </w:r>
      <w:r>
        <w:rPr>
          <w:rFonts w:hint="eastAsia" w:ascii="方正仿宋_GB2312" w:hAnsi="方正仿宋_GB2312" w:eastAsia="方正仿宋_GB2312" w:cs="方正仿宋_GB2312"/>
          <w:color w:val="auto"/>
          <w:sz w:val="21"/>
          <w:highlight w:val="none"/>
        </w:rPr>
        <w:t>份（包含按“第三章 供应商须知”提交的全部文件）；（商务技术文件已合并装订成册）</w:t>
      </w:r>
    </w:p>
    <w:p w14:paraId="7A344001">
      <w:pPr>
        <w:pStyle w:val="17"/>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三、资格证明文件电子版</w:t>
      </w:r>
      <w:r>
        <w:rPr>
          <w:rFonts w:hint="eastAsia" w:ascii="方正仿宋_GB2312" w:hAnsi="方正仿宋_GB2312" w:eastAsia="方正仿宋_GB2312" w:cs="方正仿宋_GB2312"/>
          <w:color w:val="auto"/>
          <w:sz w:val="21"/>
          <w:highlight w:val="none"/>
          <w:u w:val="single"/>
        </w:rPr>
        <w:t xml:space="preserve">   </w:t>
      </w:r>
      <w:r>
        <w:rPr>
          <w:rFonts w:hint="eastAsia" w:ascii="方正仿宋_GB2312" w:hAnsi="方正仿宋_GB2312" w:eastAsia="方正仿宋_GB2312" w:cs="方正仿宋_GB2312"/>
          <w:color w:val="auto"/>
          <w:sz w:val="21"/>
          <w:highlight w:val="none"/>
        </w:rPr>
        <w:t>份（包含按“第三章 供应商须知”提交的全部文件）；</w:t>
      </w:r>
    </w:p>
    <w:p w14:paraId="646F2CCE">
      <w:pPr>
        <w:pStyle w:val="17"/>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据此函，签字人兹宣布：</w:t>
      </w:r>
    </w:p>
    <w:p w14:paraId="5005B335">
      <w:pPr>
        <w:pStyle w:val="17"/>
        <w:ind w:firstLine="482"/>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1.我方愿意以（大写）人民币</w:t>
      </w:r>
      <w:r>
        <w:rPr>
          <w:rFonts w:hint="eastAsia" w:ascii="方正仿宋_GB2312" w:hAnsi="方正仿宋_GB2312" w:eastAsia="方正仿宋_GB2312" w:cs="方正仿宋_GB2312"/>
          <w:color w:val="auto"/>
          <w:sz w:val="21"/>
          <w:highlight w:val="none"/>
          <w:u w:val="single"/>
        </w:rPr>
        <w:t xml:space="preserve">              </w:t>
      </w:r>
      <w:r>
        <w:rPr>
          <w:rFonts w:hint="eastAsia" w:ascii="方正仿宋_GB2312" w:hAnsi="方正仿宋_GB2312" w:eastAsia="方正仿宋_GB2312" w:cs="方正仿宋_GB2312"/>
          <w:color w:val="auto"/>
          <w:sz w:val="21"/>
          <w:highlight w:val="none"/>
        </w:rPr>
        <w:t>（¥</w:t>
      </w:r>
      <w:r>
        <w:rPr>
          <w:rFonts w:hint="eastAsia" w:ascii="方正仿宋_GB2312" w:hAnsi="方正仿宋_GB2312" w:eastAsia="方正仿宋_GB2312" w:cs="方正仿宋_GB2312"/>
          <w:color w:val="auto"/>
          <w:sz w:val="21"/>
          <w:highlight w:val="none"/>
          <w:u w:val="single"/>
        </w:rPr>
        <w:t xml:space="preserve">          </w:t>
      </w:r>
      <w:r>
        <w:rPr>
          <w:rFonts w:hint="eastAsia" w:ascii="方正仿宋_GB2312" w:hAnsi="方正仿宋_GB2312" w:eastAsia="方正仿宋_GB2312" w:cs="方正仿宋_GB2312"/>
          <w:color w:val="auto"/>
          <w:sz w:val="21"/>
          <w:highlight w:val="none"/>
        </w:rPr>
        <w:t>元)的竞标总报价，合同履行期限：</w:t>
      </w:r>
      <w:r>
        <w:rPr>
          <w:rFonts w:hint="eastAsia" w:ascii="方正仿宋_GB2312" w:hAnsi="方正仿宋_GB2312" w:eastAsia="方正仿宋_GB2312" w:cs="方正仿宋_GB2312"/>
          <w:color w:val="auto"/>
          <w:sz w:val="21"/>
          <w:highlight w:val="none"/>
          <w:u w:val="single"/>
        </w:rPr>
        <w:t xml:space="preserve">                   </w:t>
      </w:r>
      <w:r>
        <w:rPr>
          <w:rFonts w:hint="eastAsia" w:ascii="方正仿宋_GB2312" w:hAnsi="方正仿宋_GB2312" w:eastAsia="方正仿宋_GB2312" w:cs="方正仿宋_GB2312"/>
          <w:color w:val="auto"/>
          <w:sz w:val="21"/>
          <w:highlight w:val="none"/>
        </w:rPr>
        <w:t>，提供本项目竞争性磋商文件第二章“采购需求”中相应的采购内容。</w:t>
      </w:r>
    </w:p>
    <w:p w14:paraId="6B9F8230">
      <w:pPr>
        <w:pStyle w:val="17"/>
        <w:ind w:firstLine="482"/>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2.我方同意自本项目竞争性磋商文件采购公告规定的递交响应文件截止时间起遵循本响应函，并承诺在“第三章 供应商须知”规定的竞标有效期内不修改、撤销响应文件。</w:t>
      </w:r>
    </w:p>
    <w:p w14:paraId="421C156F">
      <w:pPr>
        <w:pStyle w:val="17"/>
        <w:ind w:firstLine="482"/>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3.我方在此声明，所递交的响应文件及有关资料内容完整、真实和准确。</w:t>
      </w:r>
    </w:p>
    <w:p w14:paraId="77E74ED1">
      <w:pPr>
        <w:pStyle w:val="17"/>
        <w:ind w:firstLine="482"/>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4.如本项目采购内容涉及须符合国家强制规定的，我方承诺我方本次竞标均符合国家有关强制规定。</w:t>
      </w:r>
    </w:p>
    <w:p w14:paraId="59D9BCAA">
      <w:pPr>
        <w:pStyle w:val="17"/>
        <w:ind w:firstLine="482"/>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6CB961E9">
      <w:pPr>
        <w:pStyle w:val="17"/>
        <w:ind w:firstLine="482"/>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6.我方已详细审核竞争性磋商文件，我方知道必须放弃提出含糊不清或误解问题的权利。</w:t>
      </w:r>
    </w:p>
    <w:p w14:paraId="657FEDCA">
      <w:pPr>
        <w:pStyle w:val="17"/>
        <w:ind w:firstLine="482"/>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7.我方承诺满足竞争性磋商文件第六章“合同文本”的条款，承担完成合同的责任和义务。</w:t>
      </w:r>
    </w:p>
    <w:p w14:paraId="4832BC20">
      <w:pPr>
        <w:pStyle w:val="17"/>
        <w:ind w:firstLine="482"/>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8.我方同意应贵方要求提供与本竞标有关的任何数据或资料。若贵方需要，我方愿意提供我方作出的一切承诺的证明材料。</w:t>
      </w:r>
    </w:p>
    <w:p w14:paraId="766328D1">
      <w:pPr>
        <w:pStyle w:val="17"/>
        <w:ind w:firstLine="482"/>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9.我方完全理解贵方不一定接受响应报价最低的竞标人为成交供应商的行为。</w:t>
      </w:r>
    </w:p>
    <w:p w14:paraId="7323A96E">
      <w:pPr>
        <w:pStyle w:val="17"/>
        <w:ind w:firstLine="482"/>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F89B19E">
      <w:pPr>
        <w:pStyle w:val="17"/>
        <w:numPr>
          <w:ilvl w:val="0"/>
          <w:numId w:val="2"/>
        </w:numPr>
        <w:tabs>
          <w:tab w:val="left" w:pos="945"/>
        </w:tabs>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提供虚假材料谋取中标、成交的；</w:t>
      </w:r>
    </w:p>
    <w:p w14:paraId="312CFF5A">
      <w:pPr>
        <w:pStyle w:val="17"/>
        <w:numPr>
          <w:ilvl w:val="0"/>
          <w:numId w:val="2"/>
        </w:numPr>
        <w:tabs>
          <w:tab w:val="left" w:pos="945"/>
        </w:tabs>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采取不正当手段诋毁、排挤其他供应商的；</w:t>
      </w:r>
    </w:p>
    <w:p w14:paraId="2063BCBF">
      <w:pPr>
        <w:pStyle w:val="17"/>
        <w:numPr>
          <w:ilvl w:val="0"/>
          <w:numId w:val="2"/>
        </w:numPr>
        <w:tabs>
          <w:tab w:val="left" w:pos="945"/>
        </w:tabs>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与采购人、其他供应商或者采购代理机构恶意串通的；</w:t>
      </w:r>
    </w:p>
    <w:p w14:paraId="0ACBBB4B">
      <w:pPr>
        <w:pStyle w:val="17"/>
        <w:numPr>
          <w:ilvl w:val="0"/>
          <w:numId w:val="2"/>
        </w:numPr>
        <w:tabs>
          <w:tab w:val="left" w:pos="945"/>
        </w:tabs>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向采购人、采购代理机构行贿或者提供其他不正当利益的；</w:t>
      </w:r>
    </w:p>
    <w:p w14:paraId="54BD5B3D">
      <w:pPr>
        <w:pStyle w:val="17"/>
        <w:numPr>
          <w:ilvl w:val="0"/>
          <w:numId w:val="2"/>
        </w:numPr>
        <w:tabs>
          <w:tab w:val="left" w:pos="945"/>
        </w:tabs>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在采购过程中与采购人进行协商谈判的；</w:t>
      </w:r>
    </w:p>
    <w:p w14:paraId="7C516A19">
      <w:pPr>
        <w:pStyle w:val="17"/>
        <w:numPr>
          <w:ilvl w:val="0"/>
          <w:numId w:val="2"/>
        </w:numPr>
        <w:tabs>
          <w:tab w:val="left" w:pos="945"/>
        </w:tabs>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拒绝有关部门监督检查或提供虚假情况的。</w:t>
      </w:r>
    </w:p>
    <w:p w14:paraId="308177CE">
      <w:pPr>
        <w:pStyle w:val="17"/>
        <w:ind w:firstLine="42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11.与本磋商有关的一切正式往来信函请寄：</w:t>
      </w:r>
      <w:r>
        <w:rPr>
          <w:rFonts w:hint="eastAsia" w:ascii="方正仿宋_GB2312" w:hAnsi="方正仿宋_GB2312" w:eastAsia="方正仿宋_GB2312" w:cs="方正仿宋_GB2312"/>
          <w:color w:val="auto"/>
          <w:sz w:val="21"/>
          <w:highlight w:val="none"/>
          <w:u w:val="single"/>
        </w:rPr>
        <w:t xml:space="preserve">                </w:t>
      </w:r>
    </w:p>
    <w:p w14:paraId="3813657F">
      <w:pPr>
        <w:pStyle w:val="17"/>
        <w:ind w:firstLine="42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地址：</w:t>
      </w:r>
      <w:r>
        <w:rPr>
          <w:rFonts w:hint="eastAsia" w:ascii="方正仿宋_GB2312" w:hAnsi="方正仿宋_GB2312" w:eastAsia="方正仿宋_GB2312" w:cs="方正仿宋_GB2312"/>
          <w:color w:val="auto"/>
          <w:sz w:val="21"/>
          <w:highlight w:val="none"/>
          <w:u w:val="single"/>
        </w:rPr>
        <w:t xml:space="preserve">                                                        </w:t>
      </w:r>
      <w:r>
        <w:rPr>
          <w:rFonts w:hint="eastAsia" w:ascii="方正仿宋_GB2312" w:hAnsi="方正仿宋_GB2312" w:eastAsia="方正仿宋_GB2312" w:cs="方正仿宋_GB2312"/>
          <w:color w:val="auto"/>
          <w:sz w:val="21"/>
          <w:highlight w:val="none"/>
        </w:rPr>
        <w:t xml:space="preserve"> </w:t>
      </w:r>
    </w:p>
    <w:p w14:paraId="1E91FEE9">
      <w:pPr>
        <w:pStyle w:val="17"/>
        <w:ind w:firstLine="420"/>
        <w:rPr>
          <w:rFonts w:hint="eastAsia" w:ascii="方正仿宋_GB2312" w:hAnsi="方正仿宋_GB2312" w:eastAsia="方正仿宋_GB2312" w:cs="方正仿宋_GB2312"/>
          <w:color w:val="auto"/>
          <w:sz w:val="21"/>
          <w:highlight w:val="none"/>
          <w:u w:val="single"/>
        </w:rPr>
      </w:pPr>
      <w:r>
        <w:rPr>
          <w:rFonts w:hint="eastAsia" w:ascii="方正仿宋_GB2312" w:hAnsi="方正仿宋_GB2312" w:eastAsia="方正仿宋_GB2312" w:cs="方正仿宋_GB2312"/>
          <w:color w:val="auto"/>
          <w:sz w:val="21"/>
          <w:highlight w:val="none"/>
        </w:rPr>
        <w:t>电话：</w:t>
      </w:r>
      <w:r>
        <w:rPr>
          <w:rFonts w:hint="eastAsia" w:ascii="方正仿宋_GB2312" w:hAnsi="方正仿宋_GB2312" w:eastAsia="方正仿宋_GB2312" w:cs="方正仿宋_GB2312"/>
          <w:color w:val="auto"/>
          <w:sz w:val="21"/>
          <w:highlight w:val="none"/>
          <w:u w:val="single"/>
        </w:rPr>
        <w:t xml:space="preserve">                                      　　　　　　　　　</w:t>
      </w:r>
    </w:p>
    <w:p w14:paraId="1DAC3EC4">
      <w:pPr>
        <w:pStyle w:val="17"/>
        <w:ind w:firstLine="42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传真：</w:t>
      </w:r>
      <w:r>
        <w:rPr>
          <w:rFonts w:hint="eastAsia" w:ascii="方正仿宋_GB2312" w:hAnsi="方正仿宋_GB2312" w:eastAsia="方正仿宋_GB2312" w:cs="方正仿宋_GB2312"/>
          <w:color w:val="auto"/>
          <w:sz w:val="21"/>
          <w:highlight w:val="none"/>
          <w:u w:val="single"/>
        </w:rPr>
        <w:t>　　　　　　　　　　　　　　　　　　　　　　　　　　　　</w:t>
      </w:r>
    </w:p>
    <w:p w14:paraId="431B0055">
      <w:pPr>
        <w:pStyle w:val="17"/>
        <w:ind w:firstLine="420"/>
        <w:rPr>
          <w:rFonts w:hint="eastAsia" w:ascii="方正仿宋_GB2312" w:hAnsi="方正仿宋_GB2312" w:eastAsia="方正仿宋_GB2312" w:cs="方正仿宋_GB2312"/>
          <w:color w:val="auto"/>
          <w:sz w:val="21"/>
          <w:highlight w:val="none"/>
          <w:u w:val="single"/>
        </w:rPr>
      </w:pPr>
      <w:r>
        <w:rPr>
          <w:rFonts w:hint="eastAsia" w:ascii="方正仿宋_GB2312" w:hAnsi="方正仿宋_GB2312" w:eastAsia="方正仿宋_GB2312" w:cs="方正仿宋_GB2312"/>
          <w:color w:val="auto"/>
          <w:sz w:val="21"/>
          <w:highlight w:val="none"/>
        </w:rPr>
        <w:t>邮政编码：</w:t>
      </w:r>
      <w:r>
        <w:rPr>
          <w:rFonts w:hint="eastAsia" w:ascii="方正仿宋_GB2312" w:hAnsi="方正仿宋_GB2312" w:eastAsia="方正仿宋_GB2312" w:cs="方正仿宋_GB2312"/>
          <w:color w:val="auto"/>
          <w:sz w:val="21"/>
          <w:highlight w:val="none"/>
          <w:u w:val="single"/>
        </w:rPr>
        <w:t xml:space="preserve">                                                    </w:t>
      </w:r>
    </w:p>
    <w:p w14:paraId="3AC82EAF">
      <w:pPr>
        <w:pStyle w:val="17"/>
        <w:ind w:firstLine="420"/>
        <w:rPr>
          <w:rFonts w:hint="eastAsia" w:ascii="方正仿宋_GB2312" w:hAnsi="方正仿宋_GB2312" w:eastAsia="方正仿宋_GB2312" w:cs="方正仿宋_GB2312"/>
          <w:color w:val="auto"/>
          <w:sz w:val="21"/>
          <w:highlight w:val="none"/>
          <w:u w:val="single"/>
        </w:rPr>
      </w:pPr>
      <w:r>
        <w:rPr>
          <w:rFonts w:hint="eastAsia" w:ascii="方正仿宋_GB2312" w:hAnsi="方正仿宋_GB2312" w:eastAsia="方正仿宋_GB2312" w:cs="方正仿宋_GB2312"/>
          <w:color w:val="auto"/>
          <w:sz w:val="21"/>
          <w:highlight w:val="none"/>
        </w:rPr>
        <w:t>开户名称：</w:t>
      </w:r>
      <w:r>
        <w:rPr>
          <w:rFonts w:hint="eastAsia" w:ascii="方正仿宋_GB2312" w:hAnsi="方正仿宋_GB2312" w:eastAsia="方正仿宋_GB2312" w:cs="方正仿宋_GB2312"/>
          <w:color w:val="auto"/>
          <w:sz w:val="21"/>
          <w:highlight w:val="none"/>
          <w:u w:val="single"/>
        </w:rPr>
        <w:t xml:space="preserve">                                                    </w:t>
      </w:r>
    </w:p>
    <w:p w14:paraId="02E22E8B">
      <w:pPr>
        <w:pStyle w:val="17"/>
        <w:ind w:firstLine="420"/>
        <w:rPr>
          <w:rFonts w:hint="eastAsia" w:ascii="方正仿宋_GB2312" w:hAnsi="方正仿宋_GB2312" w:eastAsia="方正仿宋_GB2312" w:cs="方正仿宋_GB2312"/>
          <w:color w:val="auto"/>
          <w:sz w:val="21"/>
          <w:highlight w:val="none"/>
          <w:u w:val="single"/>
        </w:rPr>
      </w:pPr>
      <w:r>
        <w:rPr>
          <w:rFonts w:hint="eastAsia" w:ascii="方正仿宋_GB2312" w:hAnsi="方正仿宋_GB2312" w:eastAsia="方正仿宋_GB2312" w:cs="方正仿宋_GB2312"/>
          <w:color w:val="auto"/>
          <w:sz w:val="21"/>
          <w:highlight w:val="none"/>
        </w:rPr>
        <w:t>开户银行：</w:t>
      </w:r>
      <w:r>
        <w:rPr>
          <w:rFonts w:hint="eastAsia" w:ascii="方正仿宋_GB2312" w:hAnsi="方正仿宋_GB2312" w:eastAsia="方正仿宋_GB2312" w:cs="方正仿宋_GB2312"/>
          <w:color w:val="auto"/>
          <w:sz w:val="21"/>
          <w:highlight w:val="none"/>
          <w:u w:val="single"/>
        </w:rPr>
        <w:t xml:space="preserve">                                                    </w:t>
      </w:r>
    </w:p>
    <w:p w14:paraId="58FAE4FE">
      <w:pPr>
        <w:pStyle w:val="17"/>
        <w:ind w:firstLine="420"/>
        <w:rPr>
          <w:rFonts w:hint="eastAsia" w:ascii="方正仿宋_GB2312" w:hAnsi="方正仿宋_GB2312" w:eastAsia="方正仿宋_GB2312" w:cs="方正仿宋_GB2312"/>
          <w:color w:val="auto"/>
          <w:sz w:val="21"/>
          <w:highlight w:val="none"/>
          <w:u w:val="single"/>
        </w:rPr>
      </w:pPr>
      <w:r>
        <w:rPr>
          <w:rFonts w:hint="eastAsia" w:ascii="方正仿宋_GB2312" w:hAnsi="方正仿宋_GB2312" w:eastAsia="方正仿宋_GB2312" w:cs="方正仿宋_GB2312"/>
          <w:color w:val="auto"/>
          <w:sz w:val="21"/>
          <w:highlight w:val="none"/>
        </w:rPr>
        <w:t>银行账号：</w:t>
      </w:r>
      <w:r>
        <w:rPr>
          <w:rFonts w:hint="eastAsia" w:ascii="方正仿宋_GB2312" w:hAnsi="方正仿宋_GB2312" w:eastAsia="方正仿宋_GB2312" w:cs="方正仿宋_GB2312"/>
          <w:color w:val="auto"/>
          <w:sz w:val="21"/>
          <w:highlight w:val="none"/>
          <w:u w:val="single"/>
        </w:rPr>
        <w:t xml:space="preserve">                                                    </w:t>
      </w:r>
    </w:p>
    <w:p w14:paraId="5EF6F50C">
      <w:pPr>
        <w:pStyle w:val="15"/>
        <w:tabs>
          <w:tab w:val="left" w:pos="939"/>
        </w:tabs>
        <w:ind w:left="840" w:hanging="42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特此承诺。</w:t>
      </w:r>
    </w:p>
    <w:p w14:paraId="20C7B413">
      <w:pPr>
        <w:contextualSpacing/>
        <w:jc w:val="left"/>
        <w:rPr>
          <w:rFonts w:hint="eastAsia" w:ascii="方正仿宋_GB2312" w:hAnsi="方正仿宋_GB2312" w:eastAsia="方正仿宋_GB2312" w:cs="方正仿宋_GB2312"/>
          <w:color w:val="auto"/>
          <w:szCs w:val="21"/>
          <w:highlight w:val="none"/>
        </w:rPr>
      </w:pPr>
    </w:p>
    <w:p w14:paraId="335A93EF">
      <w:pPr>
        <w:autoSpaceDE w:val="0"/>
        <w:autoSpaceDN w:val="0"/>
        <w:ind w:left="4305" w:leftChars="1950" w:hanging="210" w:hangingChars="100"/>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供应商名称（电子签章）：</w:t>
      </w:r>
    </w:p>
    <w:p w14:paraId="0548D6B9">
      <w:pPr>
        <w:autoSpaceDE w:val="0"/>
        <w:autoSpaceDN w:val="0"/>
        <w:ind w:firstLine="5959" w:firstLineChars="2838"/>
        <w:rPr>
          <w:rFonts w:hint="eastAsia" w:ascii="方正仿宋_GB2312" w:hAnsi="方正仿宋_GB2312" w:eastAsia="方正仿宋_GB2312" w:cs="方正仿宋_GB2312"/>
          <w:color w:val="auto"/>
          <w:szCs w:val="21"/>
          <w:highlight w:val="none"/>
        </w:rPr>
        <w:sectPr>
          <w:pgSz w:w="11905" w:h="16838"/>
          <w:pgMar w:top="1440" w:right="1080" w:bottom="1440" w:left="1080" w:header="720" w:footer="720" w:gutter="0"/>
          <w:pgNumType w:fmt="decimal"/>
          <w:cols w:space="720" w:num="1"/>
          <w:docGrid w:type="lines" w:linePitch="331" w:charSpace="0"/>
        </w:sectPr>
      </w:pPr>
      <w:r>
        <w:rPr>
          <w:rFonts w:hint="eastAsia" w:ascii="方正仿宋_GB2312" w:hAnsi="方正仿宋_GB2312" w:eastAsia="方正仿宋_GB2312" w:cs="方正仿宋_GB2312"/>
          <w:color w:val="auto"/>
          <w:kern w:val="0"/>
          <w:szCs w:val="21"/>
          <w:highlight w:val="none"/>
          <w:lang w:val="zh-CN"/>
        </w:rPr>
        <w:t xml:space="preserve">日期：  年  </w:t>
      </w:r>
      <w:r>
        <w:rPr>
          <w:rFonts w:hint="eastAsia" w:ascii="方正仿宋_GB2312" w:hAnsi="方正仿宋_GB2312" w:eastAsia="方正仿宋_GB2312" w:cs="方正仿宋_GB2312"/>
          <w:color w:val="auto"/>
          <w:kern w:val="0"/>
          <w:szCs w:val="21"/>
          <w:highlight w:val="none"/>
        </w:rPr>
        <w:t xml:space="preserve"> </w:t>
      </w:r>
      <w:r>
        <w:rPr>
          <w:rFonts w:hint="eastAsia" w:ascii="方正仿宋_GB2312" w:hAnsi="方正仿宋_GB2312" w:eastAsia="方正仿宋_GB2312" w:cs="方正仿宋_GB2312"/>
          <w:color w:val="auto"/>
          <w:kern w:val="0"/>
          <w:szCs w:val="21"/>
          <w:highlight w:val="none"/>
          <w:lang w:val="zh-CN"/>
        </w:rPr>
        <w:t>月   日</w:t>
      </w:r>
    </w:p>
    <w:p w14:paraId="18057F9E">
      <w:pPr>
        <w:spacing w:line="520" w:lineRule="exact"/>
        <w:ind w:firstLine="720" w:firstLineChars="200"/>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color w:val="auto"/>
          <w:sz w:val="36"/>
          <w:szCs w:val="36"/>
          <w:highlight w:val="none"/>
        </w:rPr>
        <w:t>二</w:t>
      </w:r>
      <w:r>
        <w:rPr>
          <w:rFonts w:hint="eastAsia" w:ascii="方正仿宋_GB2312" w:hAnsi="方正仿宋_GB2312" w:eastAsia="方正仿宋_GB2312" w:cs="方正仿宋_GB2312"/>
          <w:b/>
          <w:bCs/>
          <w:color w:val="auto"/>
          <w:sz w:val="36"/>
          <w:szCs w:val="36"/>
          <w:highlight w:val="none"/>
        </w:rPr>
        <w:t>、</w:t>
      </w:r>
      <w:r>
        <w:rPr>
          <w:rFonts w:hint="eastAsia" w:ascii="方正仿宋_GB2312" w:hAnsi="方正仿宋_GB2312" w:eastAsia="方正仿宋_GB2312" w:cs="方正仿宋_GB2312"/>
          <w:b/>
          <w:bCs/>
          <w:color w:val="auto"/>
          <w:sz w:val="32"/>
          <w:szCs w:val="32"/>
          <w:highlight w:val="none"/>
        </w:rPr>
        <w:t>响应报价表</w:t>
      </w:r>
    </w:p>
    <w:p w14:paraId="0F1DA51D">
      <w:pPr>
        <w:snapToGrid w:val="0"/>
        <w:spacing w:before="50" w:after="50" w:line="360" w:lineRule="auto"/>
        <w:jc w:val="center"/>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bCs/>
          <w:color w:val="auto"/>
          <w:sz w:val="30"/>
          <w:szCs w:val="30"/>
          <w:highlight w:val="none"/>
        </w:rPr>
        <w:t>响应报价表</w:t>
      </w:r>
    </w:p>
    <w:p w14:paraId="6C6ABDC8">
      <w:pPr>
        <w:snapToGrid w:val="0"/>
        <w:spacing w:before="50" w:after="50" w:line="360" w:lineRule="auto"/>
        <w:rPr>
          <w:rFonts w:hint="eastAsia" w:ascii="方正仿宋_GB2312" w:hAnsi="方正仿宋_GB2312" w:eastAsia="方正仿宋_GB2312" w:cs="方正仿宋_GB2312"/>
          <w:color w:val="auto"/>
          <w:sz w:val="24"/>
          <w:highlight w:val="none"/>
          <w:u w:val="single"/>
        </w:rPr>
      </w:pPr>
      <w:r>
        <w:rPr>
          <w:rFonts w:hint="eastAsia" w:ascii="方正仿宋_GB2312" w:hAnsi="方正仿宋_GB2312" w:eastAsia="方正仿宋_GB2312" w:cs="方正仿宋_GB2312"/>
          <w:color w:val="auto"/>
          <w:sz w:val="24"/>
          <w:highlight w:val="none"/>
        </w:rPr>
        <w:t>项目名称：</w:t>
      </w:r>
      <w:r>
        <w:rPr>
          <w:rFonts w:hint="eastAsia" w:ascii="方正仿宋_GB2312" w:hAnsi="方正仿宋_GB2312" w:eastAsia="方正仿宋_GB2312" w:cs="方正仿宋_GB2312"/>
          <w:color w:val="auto"/>
          <w:sz w:val="24"/>
          <w:highlight w:val="none"/>
          <w:u w:val="single"/>
        </w:rPr>
        <w:t xml:space="preserve">             </w:t>
      </w:r>
      <w:r>
        <w:rPr>
          <w:rFonts w:hint="eastAsia" w:ascii="方正仿宋_GB2312" w:hAnsi="方正仿宋_GB2312" w:eastAsia="方正仿宋_GB2312" w:cs="方正仿宋_GB2312"/>
          <w:color w:val="auto"/>
          <w:sz w:val="24"/>
          <w:highlight w:val="none"/>
        </w:rPr>
        <w:t xml:space="preserve">   项目编号：</w:t>
      </w:r>
      <w:r>
        <w:rPr>
          <w:rFonts w:hint="eastAsia" w:ascii="方正仿宋_GB2312" w:hAnsi="方正仿宋_GB2312" w:eastAsia="方正仿宋_GB2312" w:cs="方正仿宋_GB2312"/>
          <w:color w:val="auto"/>
          <w:sz w:val="24"/>
          <w:highlight w:val="none"/>
          <w:u w:val="single"/>
        </w:rPr>
        <w:t xml:space="preserve">              </w:t>
      </w:r>
      <w:r>
        <w:rPr>
          <w:rFonts w:hint="eastAsia" w:ascii="方正仿宋_GB2312" w:hAnsi="方正仿宋_GB2312" w:eastAsia="方正仿宋_GB2312" w:cs="方正仿宋_GB2312"/>
          <w:color w:val="auto"/>
          <w:sz w:val="24"/>
          <w:highlight w:val="none"/>
        </w:rPr>
        <w:t xml:space="preserve">   分标：</w:t>
      </w:r>
      <w:r>
        <w:rPr>
          <w:rFonts w:hint="eastAsia" w:ascii="方正仿宋_GB2312" w:hAnsi="方正仿宋_GB2312" w:eastAsia="方正仿宋_GB2312" w:cs="方正仿宋_GB2312"/>
          <w:color w:val="auto"/>
          <w:sz w:val="24"/>
          <w:highlight w:val="none"/>
          <w:u w:val="single"/>
        </w:rPr>
        <w:t xml:space="preserve">           </w:t>
      </w:r>
    </w:p>
    <w:p w14:paraId="15FBD563">
      <w:pPr>
        <w:snapToGrid w:val="0"/>
        <w:spacing w:before="50" w:after="50" w:line="360" w:lineRule="auto"/>
        <w:rPr>
          <w:rFonts w:hint="eastAsia" w:ascii="方正仿宋_GB2312" w:hAnsi="方正仿宋_GB2312" w:eastAsia="方正仿宋_GB2312" w:cs="方正仿宋_GB2312"/>
          <w:color w:val="auto"/>
          <w:sz w:val="24"/>
          <w:highlight w:val="none"/>
          <w:u w:val="single"/>
        </w:rPr>
      </w:pPr>
      <w:r>
        <w:rPr>
          <w:rFonts w:hint="eastAsia" w:ascii="方正仿宋_GB2312" w:hAnsi="方正仿宋_GB2312" w:eastAsia="方正仿宋_GB2312" w:cs="方正仿宋_GB2312"/>
          <w:color w:val="auto"/>
          <w:sz w:val="24"/>
          <w:highlight w:val="none"/>
        </w:rPr>
        <w:t>供应商名称：</w:t>
      </w:r>
      <w:r>
        <w:rPr>
          <w:rFonts w:hint="eastAsia" w:ascii="方正仿宋_GB2312" w:hAnsi="方正仿宋_GB2312" w:eastAsia="方正仿宋_GB2312" w:cs="方正仿宋_GB2312"/>
          <w:color w:val="auto"/>
          <w:sz w:val="24"/>
          <w:highlight w:val="none"/>
          <w:u w:val="single"/>
        </w:rPr>
        <w:t xml:space="preserve">                     </w:t>
      </w:r>
      <w:r>
        <w:rPr>
          <w:rFonts w:hint="eastAsia" w:ascii="方正仿宋_GB2312" w:hAnsi="方正仿宋_GB2312" w:eastAsia="方正仿宋_GB2312" w:cs="方正仿宋_GB2312"/>
          <w:color w:val="auto"/>
          <w:sz w:val="24"/>
          <w:highlight w:val="none"/>
        </w:rPr>
        <w:t xml:space="preserve">                      </w:t>
      </w:r>
    </w:p>
    <w:tbl>
      <w:tblPr>
        <w:tblStyle w:val="28"/>
        <w:tblW w:w="10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579"/>
        <w:gridCol w:w="1278"/>
        <w:gridCol w:w="3072"/>
        <w:gridCol w:w="1438"/>
      </w:tblGrid>
      <w:tr w14:paraId="47EB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30A2488D">
            <w:pPr>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序号</w:t>
            </w:r>
          </w:p>
        </w:tc>
        <w:tc>
          <w:tcPr>
            <w:tcW w:w="3579" w:type="dxa"/>
            <w:tcBorders>
              <w:top w:val="single" w:color="auto" w:sz="4" w:space="0"/>
              <w:left w:val="single" w:color="auto" w:sz="4" w:space="0"/>
              <w:bottom w:val="single" w:color="auto" w:sz="4" w:space="0"/>
              <w:right w:val="single" w:color="auto" w:sz="4" w:space="0"/>
            </w:tcBorders>
            <w:noWrap w:val="0"/>
            <w:vAlign w:val="center"/>
          </w:tcPr>
          <w:p w14:paraId="748614FC">
            <w:pPr>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工程名称</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4D2569A6">
            <w:pPr>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数量及单位</w:t>
            </w:r>
          </w:p>
        </w:tc>
        <w:tc>
          <w:tcPr>
            <w:tcW w:w="3072" w:type="dxa"/>
            <w:tcBorders>
              <w:top w:val="single" w:color="auto" w:sz="4" w:space="0"/>
              <w:left w:val="single" w:color="auto" w:sz="4" w:space="0"/>
              <w:bottom w:val="single" w:color="auto" w:sz="4" w:space="0"/>
              <w:right w:val="single" w:color="auto" w:sz="4" w:space="0"/>
            </w:tcBorders>
            <w:noWrap w:val="0"/>
            <w:vAlign w:val="center"/>
          </w:tcPr>
          <w:p w14:paraId="02D582AC">
            <w:pPr>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总价（元）</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252CEF3A">
            <w:pPr>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备注</w:t>
            </w:r>
          </w:p>
        </w:tc>
      </w:tr>
      <w:tr w14:paraId="1C80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35E48634">
            <w:pPr>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w:t>
            </w:r>
          </w:p>
        </w:tc>
        <w:tc>
          <w:tcPr>
            <w:tcW w:w="3579" w:type="dxa"/>
            <w:tcBorders>
              <w:top w:val="single" w:color="auto" w:sz="4" w:space="0"/>
              <w:left w:val="single" w:color="auto" w:sz="4" w:space="0"/>
              <w:bottom w:val="single" w:color="auto" w:sz="4" w:space="0"/>
              <w:right w:val="single" w:color="auto" w:sz="4" w:space="0"/>
            </w:tcBorders>
            <w:noWrap w:val="0"/>
            <w:vAlign w:val="center"/>
          </w:tcPr>
          <w:p w14:paraId="6BF122A7">
            <w:pPr>
              <w:jc w:val="center"/>
              <w:rPr>
                <w:rFonts w:hint="eastAsia" w:ascii="方正仿宋_GB2312" w:hAnsi="方正仿宋_GB2312" w:eastAsia="方正仿宋_GB2312" w:cs="方正仿宋_GB2312"/>
                <w:color w:val="auto"/>
                <w:sz w:val="24"/>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14:paraId="59BE7C63">
            <w:pPr>
              <w:jc w:val="center"/>
              <w:rPr>
                <w:rFonts w:hint="eastAsia" w:ascii="方正仿宋_GB2312" w:hAnsi="方正仿宋_GB2312" w:eastAsia="方正仿宋_GB2312" w:cs="方正仿宋_GB2312"/>
                <w:color w:val="auto"/>
                <w:sz w:val="24"/>
                <w:highlight w:val="none"/>
              </w:rPr>
            </w:pPr>
          </w:p>
        </w:tc>
        <w:tc>
          <w:tcPr>
            <w:tcW w:w="3072" w:type="dxa"/>
            <w:tcBorders>
              <w:top w:val="single" w:color="auto" w:sz="4" w:space="0"/>
              <w:left w:val="single" w:color="auto" w:sz="4" w:space="0"/>
              <w:bottom w:val="single" w:color="auto" w:sz="4" w:space="0"/>
              <w:right w:val="single" w:color="auto" w:sz="4" w:space="0"/>
            </w:tcBorders>
            <w:noWrap w:val="0"/>
            <w:vAlign w:val="center"/>
          </w:tcPr>
          <w:p w14:paraId="734D4D96">
            <w:pPr>
              <w:jc w:val="center"/>
              <w:rPr>
                <w:rFonts w:hint="eastAsia" w:ascii="方正仿宋_GB2312" w:hAnsi="方正仿宋_GB2312" w:eastAsia="方正仿宋_GB2312" w:cs="方正仿宋_GB2312"/>
                <w:color w:val="auto"/>
                <w:sz w:val="24"/>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14:paraId="393DC356">
            <w:pPr>
              <w:jc w:val="center"/>
              <w:rPr>
                <w:rFonts w:hint="eastAsia" w:ascii="方正仿宋_GB2312" w:hAnsi="方正仿宋_GB2312" w:eastAsia="方正仿宋_GB2312" w:cs="方正仿宋_GB2312"/>
                <w:color w:val="auto"/>
                <w:sz w:val="24"/>
                <w:highlight w:val="none"/>
              </w:rPr>
            </w:pPr>
          </w:p>
        </w:tc>
      </w:tr>
      <w:tr w14:paraId="5FD5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0218" w:type="dxa"/>
            <w:gridSpan w:val="5"/>
            <w:tcBorders>
              <w:top w:val="single" w:color="auto" w:sz="4" w:space="0"/>
              <w:left w:val="single" w:color="auto" w:sz="4" w:space="0"/>
              <w:bottom w:val="single" w:color="auto" w:sz="4" w:space="0"/>
              <w:right w:val="single" w:color="auto" w:sz="4" w:space="0"/>
            </w:tcBorders>
            <w:noWrap w:val="0"/>
            <w:vAlign w:val="center"/>
          </w:tcPr>
          <w:p w14:paraId="32017727">
            <w:pP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报价合计（包含税费等所有费用）：（大写）人民币             （¥        元）</w:t>
            </w:r>
          </w:p>
        </w:tc>
      </w:tr>
      <w:tr w14:paraId="1C1C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0218" w:type="dxa"/>
            <w:gridSpan w:val="5"/>
            <w:tcBorders>
              <w:top w:val="single" w:color="auto" w:sz="4" w:space="0"/>
              <w:left w:val="single" w:color="auto" w:sz="4" w:space="0"/>
              <w:bottom w:val="single" w:color="auto" w:sz="4" w:space="0"/>
              <w:right w:val="single" w:color="auto" w:sz="4" w:space="0"/>
            </w:tcBorders>
            <w:noWrap w:val="0"/>
            <w:vAlign w:val="center"/>
          </w:tcPr>
          <w:p w14:paraId="48D87FF2">
            <w:pP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合同履行期限</w:t>
            </w:r>
            <w:r>
              <w:rPr>
                <w:rFonts w:hint="eastAsia" w:ascii="方正仿宋_GB2312" w:hAnsi="方正仿宋_GB2312" w:eastAsia="方正仿宋_GB2312" w:cs="方正仿宋_GB2312"/>
                <w:color w:val="auto"/>
                <w:sz w:val="24"/>
                <w:highlight w:val="none"/>
                <w:lang w:eastAsia="zh-CN"/>
              </w:rPr>
              <w:t>（施工工期）</w:t>
            </w:r>
            <w:r>
              <w:rPr>
                <w:rFonts w:hint="eastAsia" w:ascii="方正仿宋_GB2312" w:hAnsi="方正仿宋_GB2312" w:eastAsia="方正仿宋_GB2312" w:cs="方正仿宋_GB2312"/>
                <w:color w:val="auto"/>
                <w:sz w:val="24"/>
                <w:highlight w:val="none"/>
              </w:rPr>
              <w:t>：</w:t>
            </w:r>
          </w:p>
        </w:tc>
      </w:tr>
      <w:tr w14:paraId="68F1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0218" w:type="dxa"/>
            <w:gridSpan w:val="5"/>
            <w:tcBorders>
              <w:top w:val="single" w:color="auto" w:sz="4" w:space="0"/>
              <w:left w:val="single" w:color="auto" w:sz="4" w:space="0"/>
              <w:bottom w:val="single" w:color="auto" w:sz="4" w:space="0"/>
              <w:right w:val="single" w:color="auto" w:sz="4" w:space="0"/>
            </w:tcBorders>
            <w:noWrap w:val="0"/>
            <w:vAlign w:val="center"/>
          </w:tcPr>
          <w:p w14:paraId="4670F927">
            <w:pP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验收标准、规范：</w:t>
            </w:r>
          </w:p>
        </w:tc>
      </w:tr>
      <w:tr w14:paraId="2B8C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0218" w:type="dxa"/>
            <w:gridSpan w:val="5"/>
            <w:tcBorders>
              <w:top w:val="single" w:color="auto" w:sz="4" w:space="0"/>
              <w:left w:val="single" w:color="auto" w:sz="4" w:space="0"/>
              <w:bottom w:val="single" w:color="auto" w:sz="4" w:space="0"/>
              <w:right w:val="single" w:color="auto" w:sz="4" w:space="0"/>
            </w:tcBorders>
            <w:noWrap w:val="0"/>
            <w:vAlign w:val="center"/>
          </w:tcPr>
          <w:p w14:paraId="43579AE2">
            <w:pP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工程质量保修期：</w:t>
            </w:r>
          </w:p>
        </w:tc>
      </w:tr>
    </w:tbl>
    <w:p w14:paraId="238CE351">
      <w:pPr>
        <w:snapToGrid w:val="0"/>
        <w:spacing w:before="50" w:after="50" w:line="360" w:lineRule="auto"/>
        <w:ind w:firstLine="480" w:firstLineChars="200"/>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 xml:space="preserve">注： </w:t>
      </w:r>
    </w:p>
    <w:p w14:paraId="6590BC59">
      <w:pPr>
        <w:snapToGrid w:val="0"/>
        <w:spacing w:before="50" w:after="50" w:line="360" w:lineRule="auto"/>
        <w:ind w:firstLine="480" w:firstLineChars="200"/>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1</w:t>
      </w:r>
      <w:r>
        <w:rPr>
          <w:rFonts w:hint="eastAsia" w:ascii="方正仿宋_GB2312" w:hAnsi="方正仿宋_GB2312" w:eastAsia="方正仿宋_GB2312" w:cs="方正仿宋_GB2312"/>
          <w:color w:val="auto"/>
          <w:kern w:val="0"/>
          <w:sz w:val="24"/>
          <w:highlight w:val="none"/>
        </w:rPr>
        <w:t>.</w:t>
      </w:r>
      <w:r>
        <w:rPr>
          <w:rFonts w:hint="eastAsia" w:ascii="方正仿宋_GB2312" w:hAnsi="方正仿宋_GB2312" w:eastAsia="方正仿宋_GB2312" w:cs="方正仿宋_GB2312"/>
          <w:color w:val="auto"/>
          <w:kern w:val="0"/>
          <w:sz w:val="24"/>
          <w:highlight w:val="none"/>
          <w:lang w:val="zh-CN"/>
        </w:rPr>
        <w:t>供应商需按本表格式填写，不得自行更改，也不得留空, 如有多分标，按分标分别提供响应报价表</w:t>
      </w:r>
      <w:r>
        <w:rPr>
          <w:rFonts w:hint="eastAsia" w:ascii="方正仿宋_GB2312" w:hAnsi="方正仿宋_GB2312" w:eastAsia="方正仿宋_GB2312" w:cs="方正仿宋_GB2312"/>
          <w:b/>
          <w:color w:val="auto"/>
          <w:kern w:val="0"/>
          <w:sz w:val="24"/>
          <w:highlight w:val="none"/>
          <w:lang w:val="zh-CN"/>
        </w:rPr>
        <w:t>。</w:t>
      </w:r>
    </w:p>
    <w:p w14:paraId="7798ECC9">
      <w:pPr>
        <w:snapToGrid w:val="0"/>
        <w:spacing w:before="50" w:after="50" w:line="360" w:lineRule="auto"/>
        <w:ind w:firstLine="480" w:firstLineChars="200"/>
        <w:jc w:val="left"/>
        <w:rPr>
          <w:rFonts w:hint="eastAsia" w:ascii="方正仿宋_GB2312" w:hAnsi="方正仿宋_GB2312" w:eastAsia="方正仿宋_GB2312" w:cs="方正仿宋_GB2312"/>
          <w:b/>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2</w:t>
      </w:r>
      <w:r>
        <w:rPr>
          <w:rFonts w:hint="eastAsia" w:ascii="方正仿宋_GB2312" w:hAnsi="方正仿宋_GB2312" w:eastAsia="方正仿宋_GB2312" w:cs="方正仿宋_GB2312"/>
          <w:color w:val="auto"/>
          <w:kern w:val="0"/>
          <w:sz w:val="24"/>
          <w:highlight w:val="none"/>
        </w:rPr>
        <w:t>.</w:t>
      </w:r>
      <w:r>
        <w:rPr>
          <w:rFonts w:hint="eastAsia" w:ascii="方正仿宋_GB2312" w:hAnsi="方正仿宋_GB2312" w:eastAsia="方正仿宋_GB2312" w:cs="方正仿宋_GB2312"/>
          <w:color w:val="auto"/>
          <w:kern w:val="0"/>
          <w:sz w:val="24"/>
          <w:highlight w:val="none"/>
          <w:lang w:val="zh-CN"/>
        </w:rPr>
        <w:t>如为联合体响应的，“供应商名称”处必须列明联合体各方名称，并标注联合体牵头人名称，且盖章处须加盖联合体各方公章，</w:t>
      </w:r>
      <w:r>
        <w:rPr>
          <w:rFonts w:hint="eastAsia" w:ascii="方正仿宋_GB2312" w:hAnsi="方正仿宋_GB2312" w:eastAsia="方正仿宋_GB2312" w:cs="方正仿宋_GB2312"/>
          <w:b/>
          <w:color w:val="auto"/>
          <w:kern w:val="0"/>
          <w:sz w:val="24"/>
          <w:highlight w:val="none"/>
          <w:lang w:val="zh-CN"/>
        </w:rPr>
        <w:t>否则其响应作无效响应处理。</w:t>
      </w:r>
    </w:p>
    <w:p w14:paraId="4DD6A297">
      <w:pPr>
        <w:snapToGrid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3</w:t>
      </w:r>
      <w:r>
        <w:rPr>
          <w:rFonts w:hint="eastAsia" w:ascii="方正仿宋_GB2312" w:hAnsi="方正仿宋_GB2312" w:eastAsia="方正仿宋_GB2312" w:cs="方正仿宋_GB2312"/>
          <w:color w:val="auto"/>
          <w:kern w:val="0"/>
          <w:sz w:val="24"/>
          <w:highlight w:val="none"/>
        </w:rPr>
        <w:t>.</w:t>
      </w:r>
      <w:r>
        <w:rPr>
          <w:rFonts w:hint="eastAsia" w:ascii="方正仿宋_GB2312" w:hAnsi="方正仿宋_GB2312" w:eastAsia="方正仿宋_GB2312" w:cs="方正仿宋_GB2312"/>
          <w:color w:val="auto"/>
          <w:kern w:val="0"/>
          <w:sz w:val="24"/>
          <w:highlight w:val="none"/>
          <w:lang w:val="zh-CN"/>
        </w:rPr>
        <w:t>特别提示：采购机构将对项目名称和项目编号，成交供应商名称、地址和成交金额，主要成交标的的名称、施工范围、施工工期、项目经理、执业证书信息等予以公示。</w:t>
      </w:r>
    </w:p>
    <w:p w14:paraId="4E3C3ACD">
      <w:pPr>
        <w:snapToGrid w:val="0"/>
        <w:spacing w:line="360" w:lineRule="auto"/>
        <w:ind w:firstLine="480" w:firstLineChars="200"/>
        <w:jc w:val="left"/>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szCs w:val="22"/>
          <w:highlight w:val="none"/>
        </w:rPr>
        <w:t>4.</w:t>
      </w:r>
      <w:r>
        <w:rPr>
          <w:rFonts w:hint="eastAsia" w:ascii="方正仿宋_GB2312" w:hAnsi="方正仿宋_GB2312" w:eastAsia="方正仿宋_GB2312" w:cs="方正仿宋_GB2312"/>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069C32FF">
      <w:pPr>
        <w:autoSpaceDE w:val="0"/>
        <w:autoSpaceDN w:val="0"/>
        <w:spacing w:line="360" w:lineRule="auto"/>
        <w:ind w:left="4335" w:leftChars="1950" w:hanging="240" w:hangingChars="100"/>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rPr>
        <w:t>供应商名称（电子签章）：</w:t>
      </w:r>
    </w:p>
    <w:p w14:paraId="2C0B03A2">
      <w:pPr>
        <w:pStyle w:val="17"/>
        <w:spacing w:line="500" w:lineRule="exact"/>
        <w:ind w:firstLine="6300" w:firstLineChars="2625"/>
        <w:rPr>
          <w:rFonts w:hint="eastAsia" w:ascii="方正仿宋_GB2312" w:hAnsi="方正仿宋_GB2312" w:eastAsia="方正仿宋_GB2312" w:cs="方正仿宋_GB2312"/>
          <w:color w:val="auto"/>
          <w:sz w:val="24"/>
          <w:highlight w:val="none"/>
          <w:lang w:val="zh-CN"/>
        </w:rPr>
        <w:sectPr>
          <w:pgSz w:w="11905" w:h="16838"/>
          <w:pgMar w:top="1440" w:right="1080" w:bottom="1440" w:left="1080" w:header="720" w:footer="720" w:gutter="0"/>
          <w:pgNumType w:fmt="decimal"/>
          <w:cols w:space="720" w:num="1"/>
          <w:docGrid w:type="lines" w:linePitch="331" w:charSpace="0"/>
        </w:sectPr>
      </w:pPr>
      <w:r>
        <w:rPr>
          <w:rFonts w:hint="eastAsia" w:ascii="方正仿宋_GB2312" w:hAnsi="方正仿宋_GB2312" w:eastAsia="方正仿宋_GB2312" w:cs="方正仿宋_GB2312"/>
          <w:color w:val="auto"/>
          <w:sz w:val="24"/>
          <w:highlight w:val="none"/>
          <w:lang w:val="zh-CN"/>
        </w:rPr>
        <w:t xml:space="preserve">日期：  年  </w:t>
      </w: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color w:val="auto"/>
          <w:sz w:val="24"/>
          <w:highlight w:val="none"/>
          <w:lang w:val="zh-CN"/>
        </w:rPr>
        <w:t>月   日</w:t>
      </w:r>
    </w:p>
    <w:p w14:paraId="5D1952AC">
      <w:pPr>
        <w:spacing w:line="520" w:lineRule="exact"/>
        <w:ind w:firstLine="643" w:firstLineChars="200"/>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三、已标价工程量清单</w:t>
      </w:r>
    </w:p>
    <w:p w14:paraId="5FDDF210">
      <w:pPr>
        <w:rPr>
          <w:rFonts w:hint="eastAsia" w:ascii="方正仿宋_GB2312" w:hAnsi="方正仿宋_GB2312" w:eastAsia="方正仿宋_GB2312" w:cs="方正仿宋_GB2312"/>
          <w:color w:val="auto"/>
          <w:highlight w:val="none"/>
        </w:rPr>
      </w:pPr>
    </w:p>
    <w:p w14:paraId="068BD42B">
      <w:pPr>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color w:val="auto"/>
          <w:sz w:val="30"/>
          <w:szCs w:val="30"/>
          <w:highlight w:val="none"/>
        </w:rPr>
        <w:t>（根据发布的工程量清单自行编制）</w:t>
      </w:r>
    </w:p>
    <w:p w14:paraId="08126280">
      <w:pPr>
        <w:rPr>
          <w:rFonts w:hint="eastAsia" w:ascii="方正仿宋_GB2312" w:hAnsi="方正仿宋_GB2312" w:eastAsia="方正仿宋_GB2312" w:cs="方正仿宋_GB2312"/>
          <w:color w:val="auto"/>
          <w:highlight w:val="none"/>
        </w:rPr>
      </w:pPr>
    </w:p>
    <w:p w14:paraId="70644B6A">
      <w:pPr>
        <w:rPr>
          <w:rFonts w:hint="eastAsia" w:ascii="方正仿宋_GB2312" w:hAnsi="方正仿宋_GB2312" w:eastAsia="方正仿宋_GB2312" w:cs="方正仿宋_GB2312"/>
          <w:color w:val="auto"/>
          <w:highlight w:val="none"/>
        </w:rPr>
      </w:pPr>
    </w:p>
    <w:p w14:paraId="47C9603F">
      <w:pPr>
        <w:tabs>
          <w:tab w:val="left" w:pos="1670"/>
        </w:tabs>
        <w:jc w:val="left"/>
        <w:rPr>
          <w:rFonts w:hint="eastAsia" w:ascii="方正仿宋_GB2312" w:hAnsi="方正仿宋_GB2312" w:eastAsia="方正仿宋_GB2312" w:cs="方正仿宋_GB2312"/>
          <w:color w:val="auto"/>
          <w:sz w:val="24"/>
          <w:highlight w:val="none"/>
          <w:lang w:val="zh-CN"/>
        </w:rPr>
        <w:sectPr>
          <w:pgSz w:w="11905" w:h="16838"/>
          <w:pgMar w:top="1440" w:right="1080" w:bottom="1440" w:left="1080" w:header="720" w:footer="720" w:gutter="0"/>
          <w:pgNumType w:fmt="decimal"/>
          <w:cols w:space="720" w:num="1"/>
          <w:docGrid w:type="lines" w:linePitch="331" w:charSpace="0"/>
        </w:sectPr>
      </w:pPr>
      <w:r>
        <w:rPr>
          <w:rFonts w:hint="eastAsia" w:ascii="方正仿宋_GB2312" w:hAnsi="方正仿宋_GB2312" w:eastAsia="方正仿宋_GB2312" w:cs="方正仿宋_GB2312"/>
          <w:color w:val="auto"/>
          <w:highlight w:val="none"/>
        </w:rPr>
        <w:tab/>
      </w:r>
    </w:p>
    <w:p w14:paraId="1D968999">
      <w:pPr>
        <w:pStyle w:val="3"/>
        <w:jc w:val="center"/>
        <w:rPr>
          <w:rFonts w:hint="eastAsia" w:ascii="方正仿宋_GB2312" w:hAnsi="方正仿宋_GB2312" w:eastAsia="方正仿宋_GB2312" w:cs="方正仿宋_GB2312"/>
          <w:b w:val="0"/>
          <w:bCs w:val="0"/>
          <w:color w:val="auto"/>
          <w:highlight w:val="none"/>
        </w:rPr>
      </w:pPr>
      <w:bookmarkStart w:id="125" w:name="_Toc5448"/>
      <w:bookmarkStart w:id="126" w:name="_Toc11270"/>
      <w:bookmarkStart w:id="127" w:name="_Toc26480"/>
      <w:bookmarkStart w:id="128" w:name="_Toc80205942"/>
      <w:r>
        <w:rPr>
          <w:rFonts w:hint="eastAsia" w:ascii="方正仿宋_GB2312" w:hAnsi="方正仿宋_GB2312" w:eastAsia="方正仿宋_GB2312" w:cs="方正仿宋_GB2312"/>
          <w:b w:val="0"/>
          <w:bCs w:val="0"/>
          <w:color w:val="auto"/>
          <w:highlight w:val="none"/>
        </w:rPr>
        <w:t>第五节 其他文书、文件格式</w:t>
      </w:r>
      <w:bookmarkEnd w:id="125"/>
      <w:bookmarkEnd w:id="126"/>
      <w:bookmarkEnd w:id="127"/>
      <w:bookmarkEnd w:id="128"/>
    </w:p>
    <w:p w14:paraId="68C6AD3D">
      <w:pPr>
        <w:spacing w:after="165" w:afterLines="50" w:line="360" w:lineRule="auto"/>
        <w:jc w:val="center"/>
        <w:rPr>
          <w:rFonts w:hint="eastAsia" w:ascii="方正仿宋_GB2312" w:hAnsi="方正仿宋_GB2312" w:eastAsia="方正仿宋_GB2312" w:cs="方正仿宋_GB2312"/>
          <w:b/>
          <w:bCs/>
          <w:color w:val="auto"/>
          <w:sz w:val="32"/>
          <w:szCs w:val="32"/>
          <w:highlight w:val="none"/>
          <w:lang w:val="en"/>
        </w:rPr>
      </w:pPr>
      <w:r>
        <w:rPr>
          <w:rFonts w:hint="eastAsia" w:ascii="方正仿宋_GB2312" w:hAnsi="方正仿宋_GB2312" w:eastAsia="方正仿宋_GB2312" w:cs="方正仿宋_GB2312"/>
          <w:b/>
          <w:bCs/>
          <w:color w:val="auto"/>
          <w:sz w:val="32"/>
          <w:szCs w:val="32"/>
          <w:highlight w:val="none"/>
          <w:lang w:val="en"/>
        </w:rPr>
        <w:t>知识产权合规性声明</w:t>
      </w:r>
    </w:p>
    <w:p w14:paraId="77F4B92C">
      <w:pPr>
        <w:spacing w:line="360" w:lineRule="auto"/>
        <w:ind w:firstLine="560" w:firstLineChars="200"/>
        <w:rPr>
          <w:rFonts w:hint="eastAsia" w:ascii="方正仿宋_GB2312" w:hAnsi="方正仿宋_GB2312" w:eastAsia="方正仿宋_GB2312" w:cs="方正仿宋_GB2312"/>
          <w:color w:val="auto"/>
          <w:sz w:val="28"/>
          <w:szCs w:val="28"/>
          <w:highlight w:val="none"/>
          <w:lang w:val="en"/>
        </w:rPr>
      </w:pPr>
      <w:r>
        <w:rPr>
          <w:rFonts w:hint="eastAsia" w:ascii="方正仿宋_GB2312" w:hAnsi="方正仿宋_GB2312" w:eastAsia="方正仿宋_GB2312" w:cs="方正仿宋_GB2312"/>
          <w:color w:val="auto"/>
          <w:sz w:val="28"/>
          <w:szCs w:val="28"/>
          <w:highlight w:val="none"/>
        </w:rPr>
        <w:t>本</w:t>
      </w:r>
      <w:r>
        <w:rPr>
          <w:rFonts w:hint="eastAsia" w:ascii="方正仿宋_GB2312" w:hAnsi="方正仿宋_GB2312" w:eastAsia="方正仿宋_GB2312" w:cs="方正仿宋_GB2312"/>
          <w:color w:val="auto"/>
          <w:sz w:val="28"/>
          <w:szCs w:val="28"/>
          <w:highlight w:val="none"/>
          <w:lang w:val="en"/>
        </w:rPr>
        <w:t>企业（单位）自愿参与政府投资政府采购的</w:t>
      </w:r>
      <w:r>
        <w:rPr>
          <w:rFonts w:hint="eastAsia" w:ascii="方正仿宋_GB2312" w:hAnsi="方正仿宋_GB2312" w:eastAsia="方正仿宋_GB2312" w:cs="方正仿宋_GB2312"/>
          <w:color w:val="auto"/>
          <w:sz w:val="28"/>
          <w:szCs w:val="28"/>
          <w:highlight w:val="none"/>
          <w:u w:val="single"/>
        </w:rPr>
        <w:t xml:space="preserve">     （项目名称）</w:t>
      </w:r>
      <w:r>
        <w:rPr>
          <w:rFonts w:hint="eastAsia" w:ascii="方正仿宋_GB2312" w:hAnsi="方正仿宋_GB2312" w:eastAsia="方正仿宋_GB2312" w:cs="方正仿宋_GB2312"/>
          <w:color w:val="auto"/>
          <w:sz w:val="28"/>
          <w:szCs w:val="28"/>
          <w:highlight w:val="none"/>
          <w:lang w:val="en"/>
        </w:rPr>
        <w:t>项目，</w:t>
      </w:r>
      <w:r>
        <w:rPr>
          <w:rFonts w:hint="eastAsia" w:ascii="方正仿宋_GB2312" w:hAnsi="方正仿宋_GB2312" w:eastAsia="方正仿宋_GB2312" w:cs="方正仿宋_GB2312"/>
          <w:b/>
          <w:bCs/>
          <w:color w:val="auto"/>
          <w:sz w:val="28"/>
          <w:szCs w:val="28"/>
          <w:highlight w:val="none"/>
          <w:lang w:val="en"/>
        </w:rPr>
        <w:t>在此郑重承诺：</w:t>
      </w:r>
      <w:r>
        <w:rPr>
          <w:rFonts w:hint="eastAsia" w:ascii="方正仿宋_GB2312" w:hAnsi="方正仿宋_GB2312" w:eastAsia="方正仿宋_GB2312" w:cs="方正仿宋_GB2312"/>
          <w:color w:val="auto"/>
          <w:sz w:val="28"/>
          <w:szCs w:val="28"/>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2BE0BDEA">
      <w:pPr>
        <w:snapToGrid w:val="0"/>
        <w:spacing w:line="360" w:lineRule="auto"/>
        <w:ind w:left="5965" w:leftChars="1736" w:hanging="2319" w:hangingChars="825"/>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 xml:space="preserve">           </w:t>
      </w:r>
    </w:p>
    <w:p w14:paraId="05724C42">
      <w:pPr>
        <w:snapToGrid w:val="0"/>
        <w:spacing w:line="360" w:lineRule="auto"/>
        <w:ind w:left="5965" w:leftChars="1736" w:hanging="2319" w:hangingChars="825"/>
        <w:rPr>
          <w:rFonts w:hint="eastAsia" w:ascii="方正仿宋_GB2312" w:hAnsi="方正仿宋_GB2312" w:eastAsia="方正仿宋_GB2312" w:cs="方正仿宋_GB2312"/>
          <w:b/>
          <w:color w:val="auto"/>
          <w:sz w:val="28"/>
          <w:szCs w:val="28"/>
          <w:highlight w:val="none"/>
        </w:rPr>
      </w:pPr>
    </w:p>
    <w:p w14:paraId="4FBF8F4F">
      <w:pPr>
        <w:snapToGrid w:val="0"/>
        <w:spacing w:line="360" w:lineRule="auto"/>
        <w:ind w:left="5965" w:leftChars="1736" w:hanging="2319" w:hangingChars="825"/>
        <w:rPr>
          <w:rFonts w:hint="eastAsia" w:ascii="方正仿宋_GB2312" w:hAnsi="方正仿宋_GB2312" w:eastAsia="方正仿宋_GB2312" w:cs="方正仿宋_GB2312"/>
          <w:b/>
          <w:color w:val="auto"/>
          <w:sz w:val="28"/>
          <w:szCs w:val="28"/>
          <w:highlight w:val="none"/>
        </w:rPr>
      </w:pPr>
    </w:p>
    <w:p w14:paraId="602DD77A">
      <w:pPr>
        <w:snapToGrid w:val="0"/>
        <w:spacing w:line="360" w:lineRule="auto"/>
        <w:ind w:left="5965" w:leftChars="1736" w:hanging="2319" w:hangingChars="825"/>
        <w:rPr>
          <w:rFonts w:hint="eastAsia" w:ascii="方正仿宋_GB2312" w:hAnsi="方正仿宋_GB2312" w:eastAsia="方正仿宋_GB2312" w:cs="方正仿宋_GB2312"/>
          <w:b/>
          <w:color w:val="auto"/>
          <w:sz w:val="28"/>
          <w:szCs w:val="28"/>
          <w:highlight w:val="none"/>
        </w:rPr>
      </w:pPr>
    </w:p>
    <w:p w14:paraId="312DE782">
      <w:pPr>
        <w:autoSpaceDE w:val="0"/>
        <w:autoSpaceDN w:val="0"/>
        <w:spacing w:line="360" w:lineRule="auto"/>
        <w:ind w:left="4370" w:leftChars="1304" w:hanging="1632" w:hangingChars="583"/>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供应商名称（电子签章）：</w:t>
      </w:r>
    </w:p>
    <w:p w14:paraId="21E23334">
      <w:pPr>
        <w:pStyle w:val="17"/>
        <w:spacing w:line="500" w:lineRule="exact"/>
        <w:ind w:firstLine="5258" w:firstLineChars="1878"/>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zh-CN"/>
        </w:rPr>
        <w:t>日期</w:t>
      </w:r>
      <w:r>
        <w:rPr>
          <w:rFonts w:hint="eastAsia" w:ascii="方正仿宋_GB2312" w:hAnsi="方正仿宋_GB2312" w:eastAsia="方正仿宋_GB2312" w:cs="方正仿宋_GB2312"/>
          <w:color w:val="auto"/>
          <w:sz w:val="28"/>
          <w:szCs w:val="28"/>
          <w:highlight w:val="none"/>
        </w:rPr>
        <w:t xml:space="preserve">：  </w:t>
      </w:r>
      <w:r>
        <w:rPr>
          <w:rFonts w:hint="eastAsia" w:ascii="方正仿宋_GB2312" w:hAnsi="方正仿宋_GB2312" w:eastAsia="方正仿宋_GB2312" w:cs="方正仿宋_GB2312"/>
          <w:color w:val="auto"/>
          <w:sz w:val="28"/>
          <w:szCs w:val="28"/>
          <w:highlight w:val="none"/>
          <w:lang w:val="zh-CN"/>
        </w:rPr>
        <w:t>年</w:t>
      </w:r>
      <w:r>
        <w:rPr>
          <w:rFonts w:hint="eastAsia" w:ascii="方正仿宋_GB2312" w:hAnsi="方正仿宋_GB2312" w:eastAsia="方正仿宋_GB2312" w:cs="方正仿宋_GB2312"/>
          <w:color w:val="auto"/>
          <w:sz w:val="28"/>
          <w:szCs w:val="28"/>
          <w:highlight w:val="none"/>
        </w:rPr>
        <w:t xml:space="preserve">  </w:t>
      </w:r>
      <w:r>
        <w:rPr>
          <w:rFonts w:hint="eastAsia" w:ascii="方正仿宋_GB2312" w:hAnsi="方正仿宋_GB2312" w:eastAsia="方正仿宋_GB2312" w:cs="方正仿宋_GB2312"/>
          <w:color w:val="auto"/>
          <w:sz w:val="28"/>
          <w:szCs w:val="28"/>
          <w:highlight w:val="none"/>
          <w:lang w:val="zh-CN"/>
        </w:rPr>
        <w:t>月</w:t>
      </w:r>
      <w:r>
        <w:rPr>
          <w:rFonts w:hint="eastAsia" w:ascii="方正仿宋_GB2312" w:hAnsi="方正仿宋_GB2312" w:eastAsia="方正仿宋_GB2312" w:cs="方正仿宋_GB2312"/>
          <w:color w:val="auto"/>
          <w:sz w:val="28"/>
          <w:szCs w:val="28"/>
          <w:highlight w:val="none"/>
        </w:rPr>
        <w:t xml:space="preserve">   </w:t>
      </w:r>
      <w:r>
        <w:rPr>
          <w:rFonts w:hint="eastAsia" w:ascii="方正仿宋_GB2312" w:hAnsi="方正仿宋_GB2312" w:eastAsia="方正仿宋_GB2312" w:cs="方正仿宋_GB2312"/>
          <w:color w:val="auto"/>
          <w:sz w:val="28"/>
          <w:szCs w:val="28"/>
          <w:highlight w:val="none"/>
          <w:lang w:val="zh-CN"/>
        </w:rPr>
        <w:t>日</w:t>
      </w:r>
    </w:p>
    <w:p w14:paraId="712BBC2C">
      <w:pPr>
        <w:spacing w:line="520" w:lineRule="exact"/>
        <w:rPr>
          <w:rFonts w:hint="eastAsia" w:ascii="方正仿宋_GB2312" w:hAnsi="方正仿宋_GB2312" w:eastAsia="方正仿宋_GB2312" w:cs="方正仿宋_GB2312"/>
          <w:color w:val="auto"/>
          <w:sz w:val="24"/>
          <w:highlight w:val="none"/>
        </w:rPr>
        <w:sectPr>
          <w:pgSz w:w="11905" w:h="16838"/>
          <w:pgMar w:top="1440" w:right="1080" w:bottom="1440" w:left="1080" w:header="720" w:footer="720" w:gutter="0"/>
          <w:pgNumType w:fmt="decimal"/>
          <w:cols w:space="720" w:num="1"/>
          <w:docGrid w:type="lines" w:linePitch="331" w:charSpace="0"/>
        </w:sectPr>
      </w:pPr>
    </w:p>
    <w:p w14:paraId="5116F00A">
      <w:pPr>
        <w:spacing w:line="360" w:lineRule="auto"/>
        <w:ind w:right="-89"/>
        <w:jc w:val="center"/>
        <w:outlineLvl w:val="0"/>
        <w:rPr>
          <w:rFonts w:hint="eastAsia" w:ascii="方正仿宋_GB2312" w:hAnsi="方正仿宋_GB2312" w:eastAsia="方正仿宋_GB2312" w:cs="方正仿宋_GB2312"/>
          <w:b/>
          <w:bCs/>
          <w:color w:val="auto"/>
          <w:kern w:val="44"/>
          <w:sz w:val="44"/>
          <w:szCs w:val="44"/>
          <w:highlight w:val="none"/>
        </w:rPr>
      </w:pPr>
      <w:bookmarkStart w:id="129" w:name="_Toc617"/>
      <w:bookmarkStart w:id="130" w:name="_Toc263"/>
      <w:bookmarkStart w:id="131" w:name="_Toc13614"/>
      <w:r>
        <w:rPr>
          <w:rFonts w:hint="eastAsia" w:ascii="方正仿宋_GB2312" w:hAnsi="方正仿宋_GB2312" w:eastAsia="方正仿宋_GB2312" w:cs="方正仿宋_GB2312"/>
          <w:b/>
          <w:bCs/>
          <w:color w:val="auto"/>
          <w:kern w:val="44"/>
          <w:sz w:val="44"/>
          <w:szCs w:val="44"/>
          <w:highlight w:val="none"/>
        </w:rPr>
        <w:t>第六章 合同文本</w:t>
      </w:r>
      <w:bookmarkEnd w:id="129"/>
      <w:bookmarkEnd w:id="130"/>
      <w:bookmarkEnd w:id="131"/>
    </w:p>
    <w:p w14:paraId="3A8012C3">
      <w:pPr>
        <w:jc w:val="center"/>
        <w:rPr>
          <w:rFonts w:hint="eastAsia" w:ascii="方正仿宋_GB2312" w:hAnsi="方正仿宋_GB2312" w:eastAsia="方正仿宋_GB2312" w:cs="方正仿宋_GB2312"/>
          <w:b w:val="0"/>
          <w:bCs w:val="0"/>
          <w:color w:val="auto"/>
          <w:spacing w:val="60"/>
          <w:w w:val="90"/>
          <w:sz w:val="32"/>
          <w:szCs w:val="11"/>
          <w:highlight w:val="none"/>
          <w:lang w:eastAsia="zh-CN"/>
        </w:rPr>
      </w:pPr>
    </w:p>
    <w:p w14:paraId="55EAD035">
      <w:pPr>
        <w:jc w:val="center"/>
        <w:rPr>
          <w:rFonts w:hint="eastAsia" w:ascii="方正仿宋_GB2312" w:hAnsi="方正仿宋_GB2312" w:eastAsia="方正仿宋_GB2312" w:cs="方正仿宋_GB2312"/>
          <w:b w:val="0"/>
          <w:bCs w:val="0"/>
          <w:color w:val="auto"/>
          <w:spacing w:val="60"/>
          <w:w w:val="90"/>
          <w:sz w:val="56"/>
          <w:szCs w:val="21"/>
          <w:highlight w:val="none"/>
          <w:lang w:eastAsia="zh-CN"/>
        </w:rPr>
      </w:pPr>
      <w:r>
        <w:rPr>
          <w:rFonts w:hint="eastAsia" w:ascii="方正仿宋_GB2312" w:hAnsi="方正仿宋_GB2312" w:eastAsia="方正仿宋_GB2312" w:cs="方正仿宋_GB2312"/>
          <w:b w:val="0"/>
          <w:bCs w:val="0"/>
          <w:color w:val="auto"/>
          <w:spacing w:val="60"/>
          <w:w w:val="90"/>
          <w:sz w:val="56"/>
          <w:szCs w:val="21"/>
          <w:highlight w:val="none"/>
          <w:lang w:eastAsia="zh-CN"/>
        </w:rPr>
        <w:t>百龙滩镇南新村弄洪屯进村入户路硬化项目</w:t>
      </w:r>
    </w:p>
    <w:p w14:paraId="33B318F8">
      <w:pPr>
        <w:jc w:val="center"/>
        <w:rPr>
          <w:rFonts w:hint="eastAsia" w:ascii="方正仿宋_GB2312" w:hAnsi="方正仿宋_GB2312" w:eastAsia="方正仿宋_GB2312" w:cs="方正仿宋_GB2312"/>
          <w:b w:val="0"/>
          <w:bCs w:val="0"/>
          <w:color w:val="auto"/>
          <w:spacing w:val="60"/>
          <w:w w:val="90"/>
          <w:sz w:val="84"/>
          <w:highlight w:val="none"/>
          <w:lang w:eastAsia="zh-CN"/>
        </w:rPr>
      </w:pPr>
    </w:p>
    <w:p w14:paraId="6A2CCC44">
      <w:pPr>
        <w:jc w:val="center"/>
        <w:rPr>
          <w:rFonts w:hint="eastAsia" w:ascii="方正仿宋_GB2312" w:hAnsi="方正仿宋_GB2312" w:eastAsia="方正仿宋_GB2312" w:cs="方正仿宋_GB2312"/>
          <w:b w:val="0"/>
          <w:bCs w:val="0"/>
          <w:color w:val="auto"/>
          <w:spacing w:val="60"/>
          <w:w w:val="90"/>
          <w:sz w:val="84"/>
          <w:highlight w:val="none"/>
          <w:lang w:eastAsia="zh-CN"/>
        </w:rPr>
      </w:pPr>
    </w:p>
    <w:p w14:paraId="728B6636">
      <w:pPr>
        <w:jc w:val="center"/>
        <w:rPr>
          <w:rFonts w:hint="eastAsia" w:ascii="方正仿宋_GB2312" w:hAnsi="方正仿宋_GB2312" w:eastAsia="方正仿宋_GB2312" w:cs="方正仿宋_GB2312"/>
          <w:b w:val="0"/>
          <w:bCs w:val="0"/>
          <w:color w:val="auto"/>
          <w:spacing w:val="60"/>
          <w:w w:val="90"/>
          <w:sz w:val="84"/>
          <w:highlight w:val="none"/>
        </w:rPr>
      </w:pPr>
      <w:r>
        <w:rPr>
          <w:rFonts w:hint="eastAsia" w:ascii="方正仿宋_GB2312" w:hAnsi="方正仿宋_GB2312" w:eastAsia="方正仿宋_GB2312" w:cs="方正仿宋_GB2312"/>
          <w:b w:val="0"/>
          <w:bCs w:val="0"/>
          <w:color w:val="auto"/>
          <w:spacing w:val="60"/>
          <w:w w:val="90"/>
          <w:sz w:val="84"/>
          <w:highlight w:val="none"/>
          <w:lang w:eastAsia="zh-CN"/>
        </w:rPr>
        <w:t>施工</w:t>
      </w:r>
      <w:r>
        <w:rPr>
          <w:rFonts w:hint="eastAsia" w:ascii="方正仿宋_GB2312" w:hAnsi="方正仿宋_GB2312" w:eastAsia="方正仿宋_GB2312" w:cs="方正仿宋_GB2312"/>
          <w:b w:val="0"/>
          <w:bCs w:val="0"/>
          <w:color w:val="auto"/>
          <w:spacing w:val="60"/>
          <w:w w:val="90"/>
          <w:sz w:val="84"/>
          <w:highlight w:val="none"/>
        </w:rPr>
        <w:t>合同</w:t>
      </w:r>
    </w:p>
    <w:p w14:paraId="1B3D2613">
      <w:pPr>
        <w:rPr>
          <w:rFonts w:hint="eastAsia" w:ascii="方正仿宋_GB2312" w:hAnsi="方正仿宋_GB2312" w:eastAsia="方正仿宋_GB2312" w:cs="方正仿宋_GB2312"/>
          <w:color w:val="auto"/>
          <w:sz w:val="36"/>
          <w:highlight w:val="none"/>
        </w:rPr>
      </w:pPr>
    </w:p>
    <w:p w14:paraId="2FE9F9E8">
      <w:pPr>
        <w:rPr>
          <w:rFonts w:hint="eastAsia" w:ascii="方正仿宋_GB2312" w:hAnsi="方正仿宋_GB2312" w:eastAsia="方正仿宋_GB2312" w:cs="方正仿宋_GB2312"/>
          <w:color w:val="auto"/>
          <w:sz w:val="36"/>
          <w:highlight w:val="none"/>
        </w:rPr>
      </w:pPr>
    </w:p>
    <w:p w14:paraId="4EEC09A2">
      <w:pPr>
        <w:rPr>
          <w:rFonts w:hint="eastAsia" w:ascii="方正仿宋_GB2312" w:hAnsi="方正仿宋_GB2312" w:eastAsia="方正仿宋_GB2312" w:cs="方正仿宋_GB2312"/>
          <w:color w:val="auto"/>
          <w:sz w:val="36"/>
          <w:highlight w:val="none"/>
        </w:rPr>
      </w:pPr>
    </w:p>
    <w:p w14:paraId="4197B12C">
      <w:pPr>
        <w:widowControl w:val="0"/>
        <w:adjustRightInd w:val="0"/>
        <w:spacing w:line="420" w:lineRule="atLeast"/>
        <w:jc w:val="left"/>
        <w:textAlignment w:val="baseline"/>
        <w:rPr>
          <w:rFonts w:hint="eastAsia" w:ascii="方正仿宋_GB2312" w:hAnsi="方正仿宋_GB2312" w:eastAsia="方正仿宋_GB2312" w:cs="方正仿宋_GB2312"/>
          <w:color w:val="auto"/>
          <w:kern w:val="0"/>
          <w:sz w:val="36"/>
          <w:szCs w:val="24"/>
          <w:highlight w:val="none"/>
          <w:lang w:val="en-US" w:eastAsia="zh-CN" w:bidi="ar-SA"/>
        </w:rPr>
      </w:pPr>
    </w:p>
    <w:p w14:paraId="7F88F9A4">
      <w:pPr>
        <w:rPr>
          <w:rFonts w:hint="eastAsia" w:ascii="方正仿宋_GB2312" w:hAnsi="方正仿宋_GB2312" w:eastAsia="方正仿宋_GB2312" w:cs="方正仿宋_GB2312"/>
          <w:color w:val="auto"/>
          <w:sz w:val="36"/>
          <w:highlight w:val="none"/>
        </w:rPr>
      </w:pPr>
    </w:p>
    <w:p w14:paraId="1458368E">
      <w:pPr>
        <w:widowControl w:val="0"/>
        <w:adjustRightInd w:val="0"/>
        <w:spacing w:line="420" w:lineRule="atLeast"/>
        <w:jc w:val="left"/>
        <w:textAlignment w:val="baseline"/>
        <w:rPr>
          <w:rFonts w:hint="eastAsia" w:ascii="方正仿宋_GB2312" w:hAnsi="方正仿宋_GB2312" w:eastAsia="方正仿宋_GB2312" w:cs="方正仿宋_GB2312"/>
          <w:color w:val="auto"/>
          <w:kern w:val="0"/>
          <w:sz w:val="36"/>
          <w:szCs w:val="24"/>
          <w:highlight w:val="none"/>
          <w:lang w:val="en-US" w:eastAsia="zh-CN" w:bidi="ar-SA"/>
        </w:rPr>
      </w:pPr>
    </w:p>
    <w:p w14:paraId="4618F371">
      <w:pPr>
        <w:widowControl w:val="0"/>
        <w:spacing w:after="120"/>
        <w:jc w:val="both"/>
        <w:rPr>
          <w:rFonts w:hint="eastAsia" w:ascii="方正仿宋_GB2312" w:hAnsi="方正仿宋_GB2312" w:eastAsia="方正仿宋_GB2312" w:cs="方正仿宋_GB2312"/>
          <w:color w:val="auto"/>
          <w:kern w:val="2"/>
          <w:sz w:val="21"/>
          <w:szCs w:val="24"/>
          <w:highlight w:val="none"/>
          <w:lang w:val="en-US" w:eastAsia="zh-CN" w:bidi="ar-SA"/>
        </w:rPr>
      </w:pPr>
    </w:p>
    <w:p w14:paraId="32A5109E">
      <w:pPr>
        <w:keepNext w:val="0"/>
        <w:keepLines w:val="0"/>
        <w:pageBreakBefore w:val="0"/>
        <w:widowControl w:val="0"/>
        <w:kinsoku/>
        <w:wordWrap/>
        <w:overflowPunct/>
        <w:topLinePunct w:val="0"/>
        <w:autoSpaceDE/>
        <w:autoSpaceDN/>
        <w:bidi w:val="0"/>
        <w:adjustRightInd/>
        <w:snapToGrid/>
        <w:spacing w:line="360" w:lineRule="auto"/>
        <w:ind w:firstLine="1920" w:firstLineChars="600"/>
        <w:textAlignment w:val="auto"/>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color w:val="auto"/>
          <w:sz w:val="32"/>
          <w:szCs w:val="32"/>
          <w:highlight w:val="none"/>
        </w:rPr>
        <w:t>发 包 人：</w:t>
      </w:r>
      <w:r>
        <w:rPr>
          <w:rFonts w:hint="eastAsia" w:ascii="方正仿宋_GB2312" w:hAnsi="方正仿宋_GB2312" w:eastAsia="方正仿宋_GB2312" w:cs="方正仿宋_GB2312"/>
          <w:b w:val="0"/>
          <w:bCs w:val="0"/>
          <w:color w:val="auto"/>
          <w:sz w:val="32"/>
          <w:szCs w:val="32"/>
          <w:highlight w:val="none"/>
          <w:u w:val="none"/>
          <w:lang w:eastAsia="zh-CN"/>
        </w:rPr>
        <w:t>马山县百龙滩镇人民政府</w:t>
      </w:r>
      <w:r>
        <w:rPr>
          <w:rFonts w:hint="eastAsia" w:ascii="方正仿宋_GB2312" w:hAnsi="方正仿宋_GB2312" w:eastAsia="方正仿宋_GB2312" w:cs="方正仿宋_GB2312"/>
          <w:b w:val="0"/>
          <w:bCs w:val="0"/>
          <w:color w:val="auto"/>
          <w:sz w:val="32"/>
          <w:szCs w:val="32"/>
          <w:highlight w:val="none"/>
          <w:u w:val="none"/>
        </w:rPr>
        <w:t> </w:t>
      </w:r>
    </w:p>
    <w:p w14:paraId="51C2E776">
      <w:pPr>
        <w:keepNext w:val="0"/>
        <w:keepLines w:val="0"/>
        <w:pageBreakBefore w:val="0"/>
        <w:widowControl w:val="0"/>
        <w:kinsoku/>
        <w:wordWrap/>
        <w:overflowPunct/>
        <w:topLinePunct w:val="0"/>
        <w:autoSpaceDE/>
        <w:autoSpaceDN/>
        <w:bidi w:val="0"/>
        <w:adjustRightInd/>
        <w:snapToGrid/>
        <w:spacing w:line="360" w:lineRule="auto"/>
        <w:ind w:firstLine="1920" w:firstLineChars="600"/>
        <w:textAlignment w:val="auto"/>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color w:val="auto"/>
          <w:sz w:val="32"/>
          <w:szCs w:val="32"/>
          <w:highlight w:val="none"/>
        </w:rPr>
        <w:t>承 包 人：</w:t>
      </w:r>
      <w:r>
        <w:rPr>
          <w:rFonts w:hint="eastAsia" w:ascii="方正仿宋_GB2312" w:hAnsi="方正仿宋_GB2312" w:eastAsia="方正仿宋_GB2312" w:cs="方正仿宋_GB2312"/>
          <w:b w:val="0"/>
          <w:bCs w:val="0"/>
          <w:color w:val="auto"/>
          <w:sz w:val="32"/>
          <w:szCs w:val="32"/>
          <w:highlight w:val="none"/>
          <w:u w:val="none"/>
          <w:lang w:val="en-US" w:eastAsia="zh-CN"/>
        </w:rPr>
        <w:t xml:space="preserve"> </w:t>
      </w:r>
    </w:p>
    <w:p w14:paraId="07D006B6">
      <w:pPr>
        <w:jc w:val="center"/>
        <w:rPr>
          <w:rFonts w:hint="eastAsia" w:ascii="方正仿宋_GB2312" w:hAnsi="方正仿宋_GB2312" w:eastAsia="方正仿宋_GB2312" w:cs="方正仿宋_GB2312"/>
          <w:b/>
          <w:color w:val="auto"/>
          <w:spacing w:val="60"/>
          <w:sz w:val="48"/>
          <w:szCs w:val="48"/>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方正仿宋_GB2312" w:hAnsi="方正仿宋_GB2312" w:eastAsia="方正仿宋_GB2312" w:cs="方正仿宋_GB2312"/>
          <w:b w:val="0"/>
          <w:bCs/>
          <w:color w:val="auto"/>
          <w:sz w:val="32"/>
          <w:highlight w:val="none"/>
        </w:rPr>
        <w:t>年</w:t>
      </w:r>
      <w:r>
        <w:rPr>
          <w:rFonts w:hint="eastAsia" w:ascii="方正仿宋_GB2312" w:hAnsi="方正仿宋_GB2312" w:eastAsia="方正仿宋_GB2312" w:cs="方正仿宋_GB2312"/>
          <w:b w:val="0"/>
          <w:bCs/>
          <w:color w:val="auto"/>
          <w:sz w:val="32"/>
          <w:highlight w:val="none"/>
          <w:lang w:val="en-US" w:eastAsia="zh-CN"/>
        </w:rPr>
        <w:t xml:space="preserve">    </w:t>
      </w:r>
      <w:r>
        <w:rPr>
          <w:rFonts w:hint="eastAsia" w:ascii="方正仿宋_GB2312" w:hAnsi="方正仿宋_GB2312" w:eastAsia="方正仿宋_GB2312" w:cs="方正仿宋_GB2312"/>
          <w:b w:val="0"/>
          <w:bCs/>
          <w:color w:val="auto"/>
          <w:sz w:val="32"/>
          <w:highlight w:val="none"/>
        </w:rPr>
        <w:t>月</w:t>
      </w:r>
      <w:r>
        <w:rPr>
          <w:rFonts w:hint="eastAsia" w:ascii="方正仿宋_GB2312" w:hAnsi="方正仿宋_GB2312" w:eastAsia="方正仿宋_GB2312" w:cs="方正仿宋_GB2312"/>
          <w:b w:val="0"/>
          <w:bCs/>
          <w:color w:val="auto"/>
          <w:sz w:val="32"/>
          <w:highlight w:val="none"/>
          <w:lang w:val="en-US" w:eastAsia="zh-CN"/>
        </w:rPr>
        <w:t xml:space="preserve">   日</w:t>
      </w:r>
    </w:p>
    <w:p w14:paraId="515E2651">
      <w:pPr>
        <w:jc w:val="center"/>
        <w:rPr>
          <w:rFonts w:hint="eastAsia" w:ascii="方正仿宋_GB2312" w:hAnsi="方正仿宋_GB2312" w:eastAsia="方正仿宋_GB2312" w:cs="方正仿宋_GB2312"/>
          <w:b/>
          <w:color w:val="auto"/>
          <w:spacing w:val="60"/>
          <w:sz w:val="32"/>
          <w:szCs w:val="32"/>
          <w:highlight w:val="none"/>
        </w:rPr>
      </w:pPr>
      <w:r>
        <w:rPr>
          <w:rFonts w:hint="eastAsia" w:ascii="方正仿宋_GB2312" w:hAnsi="方正仿宋_GB2312" w:eastAsia="方正仿宋_GB2312" w:cs="方正仿宋_GB2312"/>
          <w:b/>
          <w:color w:val="auto"/>
          <w:spacing w:val="60"/>
          <w:sz w:val="32"/>
          <w:szCs w:val="32"/>
          <w:highlight w:val="none"/>
        </w:rPr>
        <w:t>合同文件目录</w:t>
      </w:r>
    </w:p>
    <w:p w14:paraId="79E09A80">
      <w:pPr>
        <w:spacing w:line="700" w:lineRule="exact"/>
        <w:rPr>
          <w:rFonts w:hint="eastAsia" w:ascii="方正仿宋_GB2312" w:hAnsi="方正仿宋_GB2312" w:eastAsia="方正仿宋_GB2312" w:cs="方正仿宋_GB2312"/>
          <w:b/>
          <w:color w:val="auto"/>
          <w:spacing w:val="60"/>
          <w:sz w:val="24"/>
          <w:szCs w:val="24"/>
          <w:highlight w:val="none"/>
        </w:rPr>
      </w:pPr>
      <w:r>
        <w:rPr>
          <w:rFonts w:hint="eastAsia" w:ascii="方正仿宋_GB2312" w:hAnsi="方正仿宋_GB2312" w:eastAsia="方正仿宋_GB2312" w:cs="方正仿宋_GB2312"/>
          <w:color w:val="auto"/>
          <w:sz w:val="24"/>
          <w:szCs w:val="24"/>
          <w:highlight w:val="none"/>
        </w:rPr>
        <w:t>一、合同协议书</w:t>
      </w:r>
    </w:p>
    <w:p w14:paraId="1535597E">
      <w:pPr>
        <w:spacing w:line="7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二、廉政合同</w:t>
      </w:r>
    </w:p>
    <w:p w14:paraId="2C735D77">
      <w:pPr>
        <w:spacing w:line="7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三、安全生产合同</w:t>
      </w:r>
    </w:p>
    <w:p w14:paraId="5748F0FF">
      <w:pPr>
        <w:spacing w:line="7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四、通用合同条款</w:t>
      </w:r>
    </w:p>
    <w:p w14:paraId="319E59D9">
      <w:pPr>
        <w:spacing w:line="7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五、专用合同条款</w:t>
      </w:r>
    </w:p>
    <w:p w14:paraId="3F5150DB">
      <w:pPr>
        <w:spacing w:line="7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六、项目专用条款</w:t>
      </w:r>
    </w:p>
    <w:p w14:paraId="702C338C">
      <w:pPr>
        <w:spacing w:line="7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七、技术规范专用条款</w:t>
      </w:r>
    </w:p>
    <w:p w14:paraId="242D7118">
      <w:pPr>
        <w:spacing w:line="7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八、工程量清单</w:t>
      </w:r>
    </w:p>
    <w:p w14:paraId="7F32E971">
      <w:pPr>
        <w:spacing w:line="7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九、履约保证金</w:t>
      </w:r>
    </w:p>
    <w:p w14:paraId="6F6EBAC1">
      <w:pPr>
        <w:spacing w:line="7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十、中标通知书</w:t>
      </w:r>
    </w:p>
    <w:p w14:paraId="6E84F01A">
      <w:pPr>
        <w:spacing w:line="7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十一、法人证书或机构代码证</w:t>
      </w:r>
    </w:p>
    <w:p w14:paraId="0A229290">
      <w:pPr>
        <w:spacing w:line="7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十二、项目经理委托书</w:t>
      </w:r>
    </w:p>
    <w:p w14:paraId="0D049D71">
      <w:pPr>
        <w:spacing w:line="7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十三、法人代表身份证复印件</w:t>
      </w:r>
    </w:p>
    <w:p w14:paraId="0DC6A3F2">
      <w:pPr>
        <w:spacing w:line="7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十四、项目经理身份证、建造师证、职称证复印件</w:t>
      </w:r>
    </w:p>
    <w:p w14:paraId="0EC9B476">
      <w:pPr>
        <w:spacing w:line="7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十五、主要施工机具和设备进场时间表</w:t>
      </w:r>
    </w:p>
    <w:p w14:paraId="4093981F">
      <w:pPr>
        <w:spacing w:line="7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十六、开户证明</w:t>
      </w:r>
    </w:p>
    <w:p w14:paraId="62FA3048">
      <w:pPr>
        <w:rPr>
          <w:rFonts w:hint="eastAsia" w:ascii="方正仿宋_GB2312" w:hAnsi="方正仿宋_GB2312" w:eastAsia="方正仿宋_GB2312" w:cs="方正仿宋_GB2312"/>
          <w:color w:val="auto"/>
          <w:sz w:val="28"/>
          <w:szCs w:val="28"/>
          <w:highlight w:val="none"/>
        </w:rPr>
      </w:pPr>
    </w:p>
    <w:p w14:paraId="5F4FA516">
      <w:pPr>
        <w:widowControl w:val="0"/>
        <w:adjustRightInd w:val="0"/>
        <w:spacing w:line="420" w:lineRule="atLeast"/>
        <w:jc w:val="left"/>
        <w:textAlignment w:val="baseline"/>
        <w:rPr>
          <w:rFonts w:hint="eastAsia" w:ascii="方正仿宋_GB2312" w:hAnsi="方正仿宋_GB2312" w:eastAsia="方正仿宋_GB2312" w:cs="方正仿宋_GB2312"/>
          <w:color w:val="auto"/>
          <w:kern w:val="0"/>
          <w:sz w:val="21"/>
          <w:szCs w:val="24"/>
          <w:highlight w:val="none"/>
          <w:lang w:val="en-US" w:eastAsia="zh-CN" w:bidi="ar-SA"/>
        </w:rPr>
      </w:pPr>
    </w:p>
    <w:p w14:paraId="5A1BE33F">
      <w:pPr>
        <w:widowControl w:val="0"/>
        <w:spacing w:after="120"/>
        <w:jc w:val="both"/>
        <w:rPr>
          <w:rFonts w:hint="eastAsia" w:ascii="方正仿宋_GB2312" w:hAnsi="方正仿宋_GB2312" w:eastAsia="方正仿宋_GB2312" w:cs="方正仿宋_GB2312"/>
          <w:color w:val="auto"/>
          <w:kern w:val="2"/>
          <w:sz w:val="21"/>
          <w:szCs w:val="24"/>
          <w:highlight w:val="none"/>
          <w:lang w:val="en-US" w:eastAsia="zh-CN" w:bidi="ar-SA"/>
        </w:rPr>
      </w:pPr>
    </w:p>
    <w:p w14:paraId="3E06AB5A">
      <w:pPr>
        <w:keepNext/>
        <w:keepLines/>
        <w:widowControl w:val="0"/>
        <w:shd w:val="clear" w:color="auto" w:fill="auto"/>
        <w:autoSpaceDE/>
        <w:autoSpaceDN/>
        <w:adjustRightInd/>
        <w:spacing w:after="408" w:line="240" w:lineRule="auto"/>
        <w:ind w:firstLine="562"/>
        <w:jc w:val="center"/>
        <w:outlineLvl w:val="9"/>
        <w:rPr>
          <w:rFonts w:hint="eastAsia" w:ascii="方正仿宋_GB2312" w:hAnsi="方正仿宋_GB2312" w:eastAsia="方正仿宋_GB2312" w:cs="方正仿宋_GB2312"/>
          <w:b/>
          <w:color w:val="auto"/>
          <w:kern w:val="2"/>
          <w:sz w:val="36"/>
          <w:szCs w:val="36"/>
          <w:highlight w:val="none"/>
          <w:lang w:val="en-US" w:eastAsia="zh-CN" w:bidi="ar-SA"/>
        </w:rPr>
      </w:pPr>
      <w:bookmarkStart w:id="132" w:name="bookmark186"/>
      <w:bookmarkStart w:id="133" w:name="_Toc514786907"/>
      <w:r>
        <w:rPr>
          <w:rFonts w:hint="eastAsia" w:ascii="方正仿宋_GB2312" w:hAnsi="方正仿宋_GB2312" w:eastAsia="方正仿宋_GB2312" w:cs="方正仿宋_GB2312"/>
          <w:b/>
          <w:color w:val="auto"/>
          <w:spacing w:val="0"/>
          <w:w w:val="100"/>
          <w:kern w:val="2"/>
          <w:position w:val="0"/>
          <w:sz w:val="36"/>
          <w:szCs w:val="36"/>
          <w:highlight w:val="none"/>
          <w:lang w:val="zh-CN" w:eastAsia="zh-CN" w:bidi="ar-SA"/>
        </w:rPr>
        <w:t>合同协议书</w:t>
      </w:r>
      <w:bookmarkEnd w:id="132"/>
      <w:bookmarkEnd w:id="133"/>
    </w:p>
    <w:p w14:paraId="1A6DD9E6">
      <w:pPr>
        <w:widowControl w:val="0"/>
        <w:shd w:val="clear" w:color="auto" w:fill="auto"/>
        <w:tabs>
          <w:tab w:val="left" w:leader="underscore" w:pos="1756"/>
          <w:tab w:val="left" w:leader="underscore" w:pos="8354"/>
        </w:tabs>
        <w:spacing w:before="0" w:line="439"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single"/>
          <w:shd w:val="clear" w:color="auto" w:fill="FFFFFF"/>
          <w:lang w:val="zh-CN" w:eastAsia="zh-CN" w:bidi="zh-CN"/>
        </w:rPr>
        <w:t>马山县百龙滩镇人民政府</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 (发包人名称，以下简称“发包人”）为实施</w:t>
      </w:r>
      <w:r>
        <w:rPr>
          <w:rFonts w:hint="eastAsia" w:ascii="方正仿宋_GB2312" w:hAnsi="方正仿宋_GB2312" w:eastAsia="方正仿宋_GB2312" w:cs="方正仿宋_GB2312"/>
          <w:color w:val="auto"/>
          <w:spacing w:val="0"/>
          <w:w w:val="100"/>
          <w:kern w:val="2"/>
          <w:position w:val="0"/>
          <w:sz w:val="21"/>
          <w:szCs w:val="21"/>
          <w:highlight w:val="none"/>
          <w:u w:val="single"/>
          <w:shd w:val="clear" w:color="auto" w:fill="FFFFFF"/>
          <w:lang w:val="zh-CN" w:eastAsia="zh-CN" w:bidi="zh-CN"/>
        </w:rPr>
        <w:t>百龙滩镇南新村弄洪屯进村入户路硬化项目</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(项目名称)，己接受</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en-US" w:eastAsia="zh-CN" w:bidi="zh-CN"/>
        </w:rPr>
        <w:t xml:space="preserve"> </w:t>
      </w:r>
      <w:r>
        <w:rPr>
          <w:rFonts w:hint="eastAsia" w:ascii="方正仿宋_GB2312" w:hAnsi="方正仿宋_GB2312" w:eastAsia="方正仿宋_GB2312" w:cs="方正仿宋_GB2312"/>
          <w:color w:val="auto"/>
          <w:spacing w:val="0"/>
          <w:w w:val="100"/>
          <w:kern w:val="2"/>
          <w:position w:val="0"/>
          <w:sz w:val="21"/>
          <w:szCs w:val="21"/>
          <w:highlight w:val="none"/>
          <w:u w:val="single"/>
          <w:shd w:val="clear" w:color="auto" w:fill="FFFFFF"/>
          <w:lang w:val="en-US" w:eastAsia="zh-CN" w:bidi="zh-CN"/>
        </w:rPr>
        <w:t xml:space="preserve">                  </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en-US" w:eastAsia="zh-CN" w:bidi="zh-CN"/>
        </w:rPr>
        <w:t xml:space="preserve"> </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(承包人名称，以下简称“承包人”）对该项目施工的投标。发包人和承包人共同达成如下协议。</w:t>
      </w:r>
    </w:p>
    <w:p w14:paraId="138D804E">
      <w:pPr>
        <w:widowControl w:val="0"/>
        <w:shd w:val="clear" w:color="auto" w:fill="auto"/>
        <w:tabs>
          <w:tab w:val="left" w:pos="1074"/>
        </w:tabs>
        <w:spacing w:before="0" w:line="439" w:lineRule="exact"/>
        <w:ind w:firstLine="420" w:firstLineChars="200"/>
        <w:jc w:val="both"/>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1．第_标段由K_+_至K_+_，长约_km，公路等级为_，设计时速为</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ab/>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，_路面，有_立交_处；特大桥  座，计长_ m;大中桥座，计长 _m;隧道_座，计长_ m以及其他构造物工程等。</w:t>
      </w:r>
    </w:p>
    <w:p w14:paraId="1602A344">
      <w:pPr>
        <w:widowControl w:val="0"/>
        <w:shd w:val="clear" w:color="auto" w:fill="auto"/>
        <w:tabs>
          <w:tab w:val="left" w:pos="1098"/>
        </w:tabs>
        <w:spacing w:before="0" w:line="439"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2．下列文件应视为构成合同文件的组成部分：</w:t>
      </w:r>
    </w:p>
    <w:p w14:paraId="57E1AE7D">
      <w:pPr>
        <w:widowControl w:val="0"/>
        <w:shd w:val="clear" w:color="auto" w:fill="auto"/>
        <w:tabs>
          <w:tab w:val="left" w:pos="1373"/>
        </w:tabs>
        <w:spacing w:before="0" w:line="439" w:lineRule="exact"/>
        <w:ind w:firstLine="420" w:firstLineChars="200"/>
        <w:jc w:val="left"/>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（1）本协议书及各种合同附件（含评标期间和合同谈判过程中的澄清文件和 补充资料）；</w:t>
      </w:r>
    </w:p>
    <w:p w14:paraId="4CD2B32D">
      <w:pPr>
        <w:widowControl w:val="0"/>
        <w:shd w:val="clear" w:color="auto" w:fill="auto"/>
        <w:tabs>
          <w:tab w:val="left" w:pos="1389"/>
        </w:tabs>
        <w:spacing w:before="0" w:line="439"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（2）中标通知书；</w:t>
      </w:r>
    </w:p>
    <w:p w14:paraId="766C4E0B">
      <w:pPr>
        <w:widowControl w:val="0"/>
        <w:shd w:val="clear" w:color="auto" w:fill="auto"/>
        <w:tabs>
          <w:tab w:val="left" w:pos="1389"/>
        </w:tabs>
        <w:spacing w:before="0" w:line="439"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（3）投标函及投标函附录；</w:t>
      </w:r>
    </w:p>
    <w:p w14:paraId="0E036529">
      <w:pPr>
        <w:widowControl w:val="0"/>
        <w:shd w:val="clear" w:color="auto" w:fill="auto"/>
        <w:tabs>
          <w:tab w:val="left" w:pos="1389"/>
        </w:tabs>
        <w:spacing w:before="0" w:line="439"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（4）项目专用合同条款；</w:t>
      </w:r>
    </w:p>
    <w:p w14:paraId="51BDB29F">
      <w:pPr>
        <w:widowControl w:val="0"/>
        <w:shd w:val="clear" w:color="auto" w:fill="auto"/>
        <w:tabs>
          <w:tab w:val="left" w:pos="1389"/>
        </w:tabs>
        <w:spacing w:before="0" w:line="439"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（5）公路工程专用合同条款；</w:t>
      </w:r>
    </w:p>
    <w:p w14:paraId="4C34DB2F">
      <w:pPr>
        <w:widowControl w:val="0"/>
        <w:shd w:val="clear" w:color="auto" w:fill="auto"/>
        <w:tabs>
          <w:tab w:val="left" w:pos="1389"/>
        </w:tabs>
        <w:spacing w:before="0" w:line="439"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（6）通用合同条款；</w:t>
      </w:r>
    </w:p>
    <w:p w14:paraId="1BCABBA7">
      <w:pPr>
        <w:widowControl w:val="0"/>
        <w:shd w:val="clear" w:color="auto" w:fill="auto"/>
        <w:tabs>
          <w:tab w:val="left" w:pos="1389"/>
        </w:tabs>
        <w:spacing w:before="0" w:line="439"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（7）工程量清单计量规则；</w:t>
      </w:r>
    </w:p>
    <w:p w14:paraId="0AAE8641">
      <w:pPr>
        <w:widowControl w:val="0"/>
        <w:shd w:val="clear" w:color="auto" w:fill="auto"/>
        <w:tabs>
          <w:tab w:val="left" w:pos="1389"/>
        </w:tabs>
        <w:spacing w:before="0" w:line="439"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（8）技术规范；</w:t>
      </w:r>
    </w:p>
    <w:p w14:paraId="6228C6C0">
      <w:pPr>
        <w:widowControl w:val="0"/>
        <w:shd w:val="clear" w:color="auto" w:fill="auto"/>
        <w:tabs>
          <w:tab w:val="left" w:pos="1389"/>
        </w:tabs>
        <w:spacing w:before="0" w:line="439"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（9）图纸；</w:t>
      </w:r>
    </w:p>
    <w:p w14:paraId="4F24B7AE">
      <w:pPr>
        <w:widowControl w:val="0"/>
        <w:shd w:val="clear" w:color="auto" w:fill="auto"/>
        <w:tabs>
          <w:tab w:val="left" w:pos="1506"/>
        </w:tabs>
        <w:spacing w:before="0" w:line="439"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（10）己标价工程量清单；</w:t>
      </w:r>
    </w:p>
    <w:p w14:paraId="375D4C69">
      <w:pPr>
        <w:widowControl w:val="0"/>
        <w:shd w:val="clear" w:color="auto" w:fill="auto"/>
        <w:tabs>
          <w:tab w:val="left" w:pos="1506"/>
        </w:tabs>
        <w:spacing w:before="0" w:line="439"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（11）承包人有关人员、设备投入的承诺及投标文件中的施工组织设计；</w:t>
      </w:r>
    </w:p>
    <w:p w14:paraId="035EC6DE">
      <w:pPr>
        <w:widowControl w:val="0"/>
        <w:shd w:val="clear" w:color="auto" w:fill="auto"/>
        <w:tabs>
          <w:tab w:val="left" w:pos="1506"/>
        </w:tabs>
        <w:spacing w:before="0" w:line="439"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（12）其他合同文件。</w:t>
      </w:r>
    </w:p>
    <w:p w14:paraId="5AB8A7A3">
      <w:pPr>
        <w:widowControl w:val="0"/>
        <w:shd w:val="clear" w:color="auto" w:fill="auto"/>
        <w:spacing w:before="0" w:line="439"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上述合同文件互相补充和解释。如果合同文件之间存在矛盾或不一致之处，</w:t>
      </w:r>
    </w:p>
    <w:p w14:paraId="5B67A212">
      <w:pPr>
        <w:widowControl w:val="0"/>
        <w:shd w:val="clear" w:color="auto" w:fill="auto"/>
        <w:spacing w:before="0" w:line="439"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以上述文件的排列顺序在先者为准。</w:t>
      </w:r>
    </w:p>
    <w:p w14:paraId="5A0A4EF8">
      <w:pPr>
        <w:bidi w:val="0"/>
        <w:spacing w:line="360" w:lineRule="auto"/>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3．根据工程量清单所列的预计数量和单价或总额价计算的签约合同价：人民币（大写）元（¥               </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t>）。</w:t>
      </w:r>
    </w:p>
    <w:p w14:paraId="7F6C9B3A">
      <w:pPr>
        <w:widowControl w:val="0"/>
        <w:shd w:val="clear" w:color="auto" w:fill="auto"/>
        <w:tabs>
          <w:tab w:val="left" w:pos="1043"/>
        </w:tabs>
        <w:spacing w:before="0" w:line="439" w:lineRule="exact"/>
        <w:ind w:firstLine="420" w:firstLineChars="200"/>
        <w:jc w:val="both"/>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en-US" w:eastAsia="zh-CN" w:bidi="zh-CN"/>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 xml:space="preserve">4．承包人项目经理： </w:t>
      </w:r>
      <w:r>
        <w:rPr>
          <w:rFonts w:hint="eastAsia" w:ascii="方正仿宋_GB2312" w:hAnsi="方正仿宋_GB2312" w:eastAsia="方正仿宋_GB2312" w:cs="方正仿宋_GB2312"/>
          <w:color w:val="auto"/>
          <w:spacing w:val="0"/>
          <w:w w:val="100"/>
          <w:kern w:val="2"/>
          <w:position w:val="0"/>
          <w:sz w:val="21"/>
          <w:szCs w:val="21"/>
          <w:highlight w:val="none"/>
          <w:u w:val="single"/>
          <w:shd w:val="clear" w:color="auto" w:fill="FFFFFF"/>
          <w:lang w:val="zh-CN" w:eastAsia="zh-CN" w:bidi="zh-CN"/>
        </w:rPr>
        <w:t xml:space="preserve">                 </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。承包人项目总工：</w:t>
      </w:r>
      <w:r>
        <w:rPr>
          <w:rFonts w:hint="eastAsia" w:ascii="方正仿宋_GB2312" w:hAnsi="方正仿宋_GB2312" w:eastAsia="方正仿宋_GB2312" w:cs="方正仿宋_GB2312"/>
          <w:color w:val="auto"/>
          <w:spacing w:val="0"/>
          <w:w w:val="100"/>
          <w:kern w:val="2"/>
          <w:position w:val="0"/>
          <w:sz w:val="21"/>
          <w:szCs w:val="21"/>
          <w:highlight w:val="none"/>
          <w:u w:val="single"/>
          <w:shd w:val="clear" w:color="auto" w:fill="FFFFFF"/>
          <w:lang w:val="zh-CN" w:eastAsia="zh-CN" w:bidi="zh-CN"/>
        </w:rPr>
        <w:tab/>
      </w:r>
      <w:r>
        <w:rPr>
          <w:rFonts w:hint="eastAsia" w:ascii="方正仿宋_GB2312" w:hAnsi="方正仿宋_GB2312" w:eastAsia="方正仿宋_GB2312" w:cs="方正仿宋_GB2312"/>
          <w:color w:val="auto"/>
          <w:spacing w:val="0"/>
          <w:w w:val="100"/>
          <w:kern w:val="2"/>
          <w:position w:val="0"/>
          <w:sz w:val="21"/>
          <w:szCs w:val="21"/>
          <w:highlight w:val="none"/>
          <w:u w:val="single"/>
          <w:shd w:val="clear" w:color="auto" w:fill="FFFFFF"/>
          <w:lang w:val="en-US" w:eastAsia="zh-CN" w:bidi="zh-CN"/>
        </w:rPr>
        <w:t xml:space="preserve">           </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w:t>
      </w:r>
    </w:p>
    <w:p w14:paraId="3A2EB507">
      <w:pPr>
        <w:widowControl w:val="0"/>
        <w:shd w:val="clear" w:color="auto" w:fill="auto"/>
        <w:tabs>
          <w:tab w:val="left" w:pos="1098"/>
        </w:tabs>
        <w:spacing w:before="0" w:line="439"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5．工程质量</w:t>
      </w:r>
      <w:r>
        <w:rPr>
          <w:rFonts w:hint="eastAsia" w:ascii="方正仿宋_GB2312" w:hAnsi="方正仿宋_GB2312" w:eastAsia="方正仿宋_GB2312" w:cs="方正仿宋_GB2312"/>
          <w:color w:val="auto"/>
          <w:spacing w:val="0"/>
          <w:w w:val="100"/>
          <w:kern w:val="2"/>
          <w:position w:val="0"/>
          <w:sz w:val="21"/>
          <w:szCs w:val="21"/>
          <w:highlight w:val="none"/>
          <w:u w:val="single"/>
          <w:shd w:val="clear" w:color="auto" w:fill="FFFFFF"/>
          <w:lang w:val="zh-CN" w:eastAsia="zh-CN" w:bidi="zh-CN"/>
        </w:rPr>
        <w:tab/>
      </w:r>
      <w:r>
        <w:rPr>
          <w:rFonts w:hint="eastAsia" w:ascii="方正仿宋_GB2312" w:hAnsi="方正仿宋_GB2312" w:eastAsia="方正仿宋_GB2312" w:cs="方正仿宋_GB2312"/>
          <w:color w:val="auto"/>
          <w:spacing w:val="0"/>
          <w:w w:val="100"/>
          <w:kern w:val="2"/>
          <w:position w:val="0"/>
          <w:sz w:val="21"/>
          <w:szCs w:val="21"/>
          <w:highlight w:val="none"/>
          <w:u w:val="single"/>
          <w:shd w:val="clear" w:color="auto" w:fill="FFFFFF"/>
          <w:lang w:val="zh-CN" w:eastAsia="zh-CN" w:bidi="zh-CN"/>
        </w:rPr>
        <w:t>达到国家施工验收规范合格</w:t>
      </w:r>
      <w:r>
        <w:rPr>
          <w:rFonts w:hint="eastAsia" w:ascii="方正仿宋_GB2312" w:hAnsi="方正仿宋_GB2312" w:eastAsia="方正仿宋_GB2312" w:cs="方正仿宋_GB2312"/>
          <w:color w:val="auto"/>
          <w:spacing w:val="0"/>
          <w:w w:val="100"/>
          <w:kern w:val="2"/>
          <w:position w:val="0"/>
          <w:sz w:val="21"/>
          <w:szCs w:val="21"/>
          <w:highlight w:val="none"/>
          <w:u w:val="single"/>
          <w:shd w:val="clear" w:color="auto" w:fill="FFFFFF"/>
          <w:lang w:val="en-US" w:eastAsia="zh-CN" w:bidi="zh-CN"/>
        </w:rPr>
        <w:t xml:space="preserve"> </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标准。工程安全目标：</w:t>
      </w:r>
      <w:r>
        <w:rPr>
          <w:rFonts w:hint="eastAsia" w:ascii="方正仿宋_GB2312" w:hAnsi="方正仿宋_GB2312" w:eastAsia="方正仿宋_GB2312" w:cs="方正仿宋_GB2312"/>
          <w:color w:val="auto"/>
          <w:spacing w:val="0"/>
          <w:w w:val="100"/>
          <w:kern w:val="2"/>
          <w:position w:val="0"/>
          <w:sz w:val="21"/>
          <w:szCs w:val="21"/>
          <w:highlight w:val="none"/>
          <w:u w:val="single"/>
          <w:shd w:val="clear" w:color="auto" w:fill="FFFFFF"/>
          <w:lang w:val="zh-CN" w:eastAsia="zh-CN" w:bidi="zh-CN"/>
        </w:rPr>
        <w:tab/>
      </w:r>
      <w:r>
        <w:rPr>
          <w:rFonts w:hint="eastAsia" w:ascii="方正仿宋_GB2312" w:hAnsi="方正仿宋_GB2312" w:eastAsia="方正仿宋_GB2312" w:cs="方正仿宋_GB2312"/>
          <w:color w:val="auto"/>
          <w:spacing w:val="0"/>
          <w:w w:val="100"/>
          <w:kern w:val="2"/>
          <w:position w:val="0"/>
          <w:sz w:val="21"/>
          <w:szCs w:val="21"/>
          <w:highlight w:val="none"/>
          <w:u w:val="single"/>
          <w:shd w:val="clear" w:color="auto" w:fill="FFFFFF"/>
          <w:lang w:val="en-US" w:eastAsia="zh-CN" w:bidi="zh-CN"/>
        </w:rPr>
        <w:t xml:space="preserve">              </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w:t>
      </w:r>
    </w:p>
    <w:p w14:paraId="35AAC738">
      <w:pPr>
        <w:widowControl w:val="0"/>
        <w:shd w:val="clear" w:color="auto" w:fill="auto"/>
        <w:tabs>
          <w:tab w:val="left" w:pos="1101"/>
        </w:tabs>
        <w:spacing w:before="0" w:line="439"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6．承包人承诺按合同约定承担工程的实施、完成及缺陷修复。</w:t>
      </w:r>
    </w:p>
    <w:p w14:paraId="2CB098C1">
      <w:pPr>
        <w:widowControl w:val="0"/>
        <w:shd w:val="clear" w:color="auto" w:fill="auto"/>
        <w:tabs>
          <w:tab w:val="left" w:pos="1101"/>
        </w:tabs>
        <w:spacing w:before="0" w:line="439"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7．发包人承诺按合同约定的条件、时间和方式向承包人支付合同价款。</w:t>
      </w:r>
    </w:p>
    <w:p w14:paraId="7D4F8D6A">
      <w:pPr>
        <w:widowControl w:val="0"/>
        <w:shd w:val="clear" w:color="auto" w:fill="auto"/>
        <w:tabs>
          <w:tab w:val="left" w:pos="1109"/>
        </w:tabs>
        <w:spacing w:before="0" w:line="439"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8．承包人应按照发包人指示开工，工期为</w:t>
      </w:r>
      <w:r>
        <w:rPr>
          <w:rFonts w:hint="eastAsia" w:ascii="方正仿宋_GB2312" w:hAnsi="方正仿宋_GB2312" w:eastAsia="方正仿宋_GB2312" w:cs="方正仿宋_GB2312"/>
          <w:color w:val="auto"/>
          <w:spacing w:val="0"/>
          <w:w w:val="100"/>
          <w:kern w:val="2"/>
          <w:position w:val="0"/>
          <w:sz w:val="21"/>
          <w:szCs w:val="21"/>
          <w:highlight w:val="none"/>
          <w:u w:val="single"/>
          <w:shd w:val="clear" w:color="auto" w:fill="FFFFFF"/>
          <w:lang w:val="en-US" w:eastAsia="zh-CN" w:bidi="zh-CN"/>
        </w:rPr>
        <w:t>90</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日历天。</w:t>
      </w:r>
    </w:p>
    <w:p w14:paraId="3380EBA1">
      <w:pPr>
        <w:widowControl w:val="0"/>
        <w:shd w:val="clear" w:color="auto" w:fill="auto"/>
        <w:tabs>
          <w:tab w:val="left" w:pos="1043"/>
        </w:tabs>
        <w:spacing w:before="0" w:line="439"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9．本协议书在承包人提供履约保证金后，由双方法定代表人或其委托代理人签署并加盖单位章后生效。全部工程完工后经交工验收合格、缺陷责任期满签发缺陷责任终止证书后失效。</w:t>
      </w:r>
    </w:p>
    <w:p w14:paraId="11C2B7EF">
      <w:pPr>
        <w:widowControl w:val="0"/>
        <w:shd w:val="clear" w:color="auto" w:fill="auto"/>
        <w:tabs>
          <w:tab w:val="left" w:leader="underscore" w:pos="4168"/>
          <w:tab w:val="left" w:leader="underscore" w:pos="8283"/>
        </w:tabs>
        <w:spacing w:before="0" w:line="439"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10．本协议书正本二份、副本</w:t>
      </w:r>
      <w:r>
        <w:rPr>
          <w:rFonts w:hint="eastAsia" w:ascii="方正仿宋_GB2312" w:hAnsi="方正仿宋_GB2312" w:eastAsia="方正仿宋_GB2312" w:cs="方正仿宋_GB2312"/>
          <w:color w:val="auto"/>
          <w:spacing w:val="0"/>
          <w:w w:val="100"/>
          <w:kern w:val="2"/>
          <w:position w:val="0"/>
          <w:sz w:val="21"/>
          <w:szCs w:val="21"/>
          <w:highlight w:val="none"/>
          <w:u w:val="single"/>
          <w:shd w:val="clear" w:color="auto" w:fill="FFFFFF"/>
          <w:lang w:val="en-US" w:eastAsia="zh-CN" w:bidi="zh-CN"/>
        </w:rPr>
        <w:t xml:space="preserve">   </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份，合同双方各执正本一份，副本</w:t>
      </w:r>
      <w:r>
        <w:rPr>
          <w:rFonts w:hint="eastAsia" w:ascii="方正仿宋_GB2312" w:hAnsi="方正仿宋_GB2312" w:eastAsia="方正仿宋_GB2312" w:cs="方正仿宋_GB2312"/>
          <w:color w:val="auto"/>
          <w:spacing w:val="0"/>
          <w:w w:val="100"/>
          <w:kern w:val="2"/>
          <w:position w:val="0"/>
          <w:sz w:val="21"/>
          <w:szCs w:val="21"/>
          <w:highlight w:val="none"/>
          <w:u w:val="single"/>
          <w:shd w:val="clear" w:color="auto" w:fill="FFFFFF"/>
          <w:lang w:val="en-US" w:eastAsia="zh-CN" w:bidi="zh-CN"/>
        </w:rPr>
        <w:t xml:space="preserve">   </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份，</w:t>
      </w:r>
    </w:p>
    <w:p w14:paraId="2EF09187">
      <w:pPr>
        <w:widowControl w:val="0"/>
        <w:shd w:val="clear" w:color="auto" w:fill="auto"/>
        <w:spacing w:before="0" w:line="439"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当正本与副本的内容不一致时，以正本为准。</w:t>
      </w:r>
    </w:p>
    <w:p w14:paraId="16026CB3">
      <w:pPr>
        <w:widowControl w:val="0"/>
        <w:shd w:val="clear" w:color="auto" w:fill="auto"/>
        <w:tabs>
          <w:tab w:val="left" w:pos="1214"/>
        </w:tabs>
        <w:spacing w:before="0" w:after="418" w:line="439"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11．合同未尽事宜，双方另行签订补充协议。补充协议是合同的组成部分。</w:t>
      </w:r>
    </w:p>
    <w:tbl>
      <w:tblPr>
        <w:tblStyle w:val="28"/>
        <w:tblW w:w="8379" w:type="dxa"/>
        <w:tblInd w:w="414" w:type="dxa"/>
        <w:tblLayout w:type="fixed"/>
        <w:tblCellMar>
          <w:top w:w="0" w:type="dxa"/>
          <w:left w:w="108" w:type="dxa"/>
          <w:bottom w:w="0" w:type="dxa"/>
          <w:right w:w="108" w:type="dxa"/>
        </w:tblCellMar>
      </w:tblPr>
      <w:tblGrid>
        <w:gridCol w:w="4349"/>
        <w:gridCol w:w="4030"/>
      </w:tblGrid>
      <w:tr w14:paraId="59F812B0">
        <w:tblPrEx>
          <w:tblCellMar>
            <w:top w:w="0" w:type="dxa"/>
            <w:left w:w="108" w:type="dxa"/>
            <w:bottom w:w="0" w:type="dxa"/>
            <w:right w:w="108" w:type="dxa"/>
          </w:tblCellMar>
        </w:tblPrEx>
        <w:tc>
          <w:tcPr>
            <w:tcW w:w="8379" w:type="dxa"/>
            <w:gridSpan w:val="2"/>
            <w:noWrap w:val="0"/>
            <w:vAlign w:val="top"/>
          </w:tcPr>
          <w:p w14:paraId="0D13363C">
            <w:pPr>
              <w:snapToGrid w:val="0"/>
              <w:spacing w:line="460" w:lineRule="exact"/>
              <w:ind w:left="5880" w:hanging="4410" w:hangingChars="2100"/>
              <w:rPr>
                <w:rFonts w:hint="eastAsia" w:ascii="方正仿宋_GB2312" w:hAnsi="方正仿宋_GB2312" w:eastAsia="方正仿宋_GB2312" w:cs="方正仿宋_GB2312"/>
                <w:color w:val="auto"/>
                <w:sz w:val="21"/>
                <w:szCs w:val="21"/>
                <w:highlight w:val="none"/>
                <w:lang w:eastAsia="zh-CN"/>
              </w:rPr>
            </w:pPr>
            <w:r>
              <w:rPr>
                <w:rFonts w:hint="eastAsia" w:ascii="方正仿宋_GB2312" w:hAnsi="方正仿宋_GB2312" w:eastAsia="方正仿宋_GB2312" w:cs="方正仿宋_GB2312"/>
                <w:color w:val="auto"/>
                <w:sz w:val="21"/>
                <w:szCs w:val="21"/>
                <w:highlight w:val="none"/>
              </w:rPr>
              <w:t>发包人：</w:t>
            </w:r>
            <w:r>
              <w:rPr>
                <w:rFonts w:hint="eastAsia" w:ascii="方正仿宋_GB2312" w:hAnsi="方正仿宋_GB2312" w:eastAsia="方正仿宋_GB2312" w:cs="方正仿宋_GB2312"/>
                <w:color w:val="auto"/>
                <w:sz w:val="21"/>
                <w:szCs w:val="21"/>
                <w:highlight w:val="none"/>
                <w:lang w:eastAsia="zh-CN"/>
              </w:rPr>
              <w:t>马山县百龙滩镇人民政府 </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承包人：</w:t>
            </w:r>
          </w:p>
        </w:tc>
      </w:tr>
      <w:tr w14:paraId="4BF4286B">
        <w:tblPrEx>
          <w:tblCellMar>
            <w:top w:w="0" w:type="dxa"/>
            <w:left w:w="108" w:type="dxa"/>
            <w:bottom w:w="0" w:type="dxa"/>
            <w:right w:w="108" w:type="dxa"/>
          </w:tblCellMar>
        </w:tblPrEx>
        <w:tc>
          <w:tcPr>
            <w:tcW w:w="8379" w:type="dxa"/>
            <w:gridSpan w:val="2"/>
            <w:noWrap w:val="0"/>
            <w:vAlign w:val="top"/>
          </w:tcPr>
          <w:p w14:paraId="253721F8">
            <w:pPr>
              <w:snapToGrid w:val="0"/>
              <w:spacing w:line="460" w:lineRule="exac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法定代表人：                      </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法定代表人或其</w:t>
            </w:r>
          </w:p>
          <w:p w14:paraId="62BE14BB">
            <w:pPr>
              <w:snapToGrid w:val="0"/>
              <w:spacing w:line="460" w:lineRule="exact"/>
              <w:ind w:firstLine="4410" w:firstLineChars="21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授权的代理人：</w:t>
            </w:r>
          </w:p>
        </w:tc>
      </w:tr>
      <w:tr w14:paraId="1BB1A46C">
        <w:tblPrEx>
          <w:tblCellMar>
            <w:top w:w="0" w:type="dxa"/>
            <w:left w:w="108" w:type="dxa"/>
            <w:bottom w:w="0" w:type="dxa"/>
            <w:right w:w="108" w:type="dxa"/>
          </w:tblCellMar>
        </w:tblPrEx>
        <w:tc>
          <w:tcPr>
            <w:tcW w:w="8379" w:type="dxa"/>
            <w:gridSpan w:val="2"/>
            <w:noWrap w:val="0"/>
            <w:vAlign w:val="top"/>
          </w:tcPr>
          <w:p w14:paraId="2D443675">
            <w:pPr>
              <w:snapToGrid w:val="0"/>
              <w:spacing w:line="460" w:lineRule="exac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职  务：</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职  务：</w:t>
            </w:r>
            <w:r>
              <w:rPr>
                <w:rFonts w:hint="eastAsia" w:ascii="方正仿宋_GB2312" w:hAnsi="方正仿宋_GB2312" w:eastAsia="方正仿宋_GB2312" w:cs="方正仿宋_GB2312"/>
                <w:color w:val="auto"/>
                <w:sz w:val="21"/>
                <w:szCs w:val="21"/>
                <w:highlight w:val="none"/>
                <w:u w:val="single"/>
              </w:rPr>
              <w:t xml:space="preserve">                </w:t>
            </w:r>
          </w:p>
        </w:tc>
      </w:tr>
      <w:tr w14:paraId="6800D35A">
        <w:tblPrEx>
          <w:tblCellMar>
            <w:top w:w="0" w:type="dxa"/>
            <w:left w:w="108" w:type="dxa"/>
            <w:bottom w:w="0" w:type="dxa"/>
            <w:right w:w="108" w:type="dxa"/>
          </w:tblCellMar>
        </w:tblPrEx>
        <w:tc>
          <w:tcPr>
            <w:tcW w:w="8379" w:type="dxa"/>
            <w:gridSpan w:val="2"/>
            <w:noWrap w:val="0"/>
            <w:vAlign w:val="top"/>
          </w:tcPr>
          <w:p w14:paraId="59A67CBC">
            <w:pPr>
              <w:snapToGrid w:val="0"/>
              <w:spacing w:line="460" w:lineRule="exac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姓  名：</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姓  名：</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p>
        </w:tc>
      </w:tr>
      <w:tr w14:paraId="6E8E47B4">
        <w:tblPrEx>
          <w:tblCellMar>
            <w:top w:w="0" w:type="dxa"/>
            <w:left w:w="108" w:type="dxa"/>
            <w:bottom w:w="0" w:type="dxa"/>
            <w:right w:w="108" w:type="dxa"/>
          </w:tblCellMar>
        </w:tblPrEx>
        <w:tc>
          <w:tcPr>
            <w:tcW w:w="8379" w:type="dxa"/>
            <w:gridSpan w:val="2"/>
            <w:noWrap w:val="0"/>
            <w:vAlign w:val="top"/>
          </w:tcPr>
          <w:p w14:paraId="1EC55039">
            <w:pPr>
              <w:snapToGrid w:val="0"/>
              <w:spacing w:line="460" w:lineRule="exac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签  字：</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签  字：</w:t>
            </w:r>
            <w:r>
              <w:rPr>
                <w:rFonts w:hint="eastAsia" w:ascii="方正仿宋_GB2312" w:hAnsi="方正仿宋_GB2312" w:eastAsia="方正仿宋_GB2312" w:cs="方正仿宋_GB2312"/>
                <w:color w:val="auto"/>
                <w:sz w:val="21"/>
                <w:szCs w:val="21"/>
                <w:highlight w:val="none"/>
                <w:u w:val="single"/>
              </w:rPr>
              <w:t xml:space="preserve">                </w:t>
            </w:r>
          </w:p>
        </w:tc>
      </w:tr>
      <w:tr w14:paraId="34B2A20A">
        <w:tblPrEx>
          <w:tblCellMar>
            <w:top w:w="0" w:type="dxa"/>
            <w:left w:w="108" w:type="dxa"/>
            <w:bottom w:w="0" w:type="dxa"/>
            <w:right w:w="108" w:type="dxa"/>
          </w:tblCellMar>
        </w:tblPrEx>
        <w:tc>
          <w:tcPr>
            <w:tcW w:w="4349" w:type="dxa"/>
            <w:noWrap w:val="0"/>
            <w:vAlign w:val="top"/>
          </w:tcPr>
          <w:p w14:paraId="45E6F562">
            <w:pPr>
              <w:snapToGrid w:val="0"/>
              <w:spacing w:line="460" w:lineRule="exac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日  期：</w:t>
            </w:r>
            <w:r>
              <w:rPr>
                <w:rFonts w:hint="eastAsia" w:ascii="方正仿宋_GB2312" w:hAnsi="方正仿宋_GB2312" w:eastAsia="方正仿宋_GB2312" w:cs="方正仿宋_GB2312"/>
                <w:color w:val="auto"/>
                <w:sz w:val="21"/>
                <w:szCs w:val="21"/>
                <w:highlight w:val="none"/>
                <w:u w:val="single"/>
                <w:lang w:val="en-US" w:eastAsia="zh-CN"/>
              </w:rPr>
              <w:t xml:space="preserve">    </w:t>
            </w:r>
            <w:r>
              <w:rPr>
                <w:rFonts w:hint="eastAsia" w:ascii="方正仿宋_GB2312" w:hAnsi="方正仿宋_GB2312" w:eastAsia="方正仿宋_GB2312" w:cs="方正仿宋_GB2312"/>
                <w:color w:val="auto"/>
                <w:sz w:val="21"/>
                <w:szCs w:val="21"/>
                <w:highlight w:val="none"/>
              </w:rPr>
              <w:t>年</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月</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日        </w:t>
            </w:r>
          </w:p>
        </w:tc>
        <w:tc>
          <w:tcPr>
            <w:tcW w:w="4030" w:type="dxa"/>
            <w:noWrap w:val="0"/>
            <w:vAlign w:val="top"/>
          </w:tcPr>
          <w:p w14:paraId="0E66F72C">
            <w:pPr>
              <w:snapToGrid w:val="0"/>
              <w:spacing w:line="460" w:lineRule="exac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日  期：</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u w:val="single"/>
                <w:lang w:val="en-US" w:eastAsia="zh-CN"/>
              </w:rPr>
              <w:t xml:space="preserve">    </w:t>
            </w:r>
            <w:r>
              <w:rPr>
                <w:rFonts w:hint="eastAsia" w:ascii="方正仿宋_GB2312" w:hAnsi="方正仿宋_GB2312" w:eastAsia="方正仿宋_GB2312" w:cs="方正仿宋_GB2312"/>
                <w:color w:val="auto"/>
                <w:sz w:val="21"/>
                <w:szCs w:val="21"/>
                <w:highlight w:val="none"/>
              </w:rPr>
              <w:t>年</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月</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日        </w:t>
            </w:r>
          </w:p>
        </w:tc>
      </w:tr>
    </w:tbl>
    <w:p w14:paraId="24BAAF68">
      <w:pPr>
        <w:ind w:firstLine="480"/>
        <w:rPr>
          <w:rFonts w:hint="eastAsia" w:ascii="方正仿宋_GB2312" w:hAnsi="方正仿宋_GB2312" w:eastAsia="方正仿宋_GB2312" w:cs="方正仿宋_GB2312"/>
          <w:color w:val="auto"/>
          <w:sz w:val="24"/>
          <w:szCs w:val="24"/>
          <w:highlight w:val="none"/>
        </w:rPr>
      </w:pPr>
    </w:p>
    <w:p w14:paraId="527D37BB">
      <w:pPr>
        <w:ind w:firstLine="480"/>
        <w:rPr>
          <w:rFonts w:hint="eastAsia" w:ascii="方正仿宋_GB2312" w:hAnsi="方正仿宋_GB2312" w:eastAsia="方正仿宋_GB2312" w:cs="方正仿宋_GB2312"/>
          <w:color w:val="auto"/>
          <w:sz w:val="24"/>
          <w:szCs w:val="24"/>
          <w:highlight w:val="none"/>
        </w:rPr>
      </w:pPr>
    </w:p>
    <w:p w14:paraId="633C9BE9">
      <w:pPr>
        <w:ind w:firstLine="480"/>
        <w:rPr>
          <w:rFonts w:hint="eastAsia" w:ascii="方正仿宋_GB2312" w:hAnsi="方正仿宋_GB2312" w:eastAsia="方正仿宋_GB2312" w:cs="方正仿宋_GB2312"/>
          <w:color w:val="auto"/>
          <w:sz w:val="24"/>
          <w:szCs w:val="24"/>
          <w:highlight w:val="none"/>
        </w:rPr>
      </w:pPr>
    </w:p>
    <w:p w14:paraId="0F8076DA">
      <w:pPr>
        <w:ind w:firstLine="480"/>
        <w:rPr>
          <w:rFonts w:hint="eastAsia" w:ascii="方正仿宋_GB2312" w:hAnsi="方正仿宋_GB2312" w:eastAsia="方正仿宋_GB2312" w:cs="方正仿宋_GB2312"/>
          <w:color w:val="auto"/>
          <w:sz w:val="24"/>
          <w:szCs w:val="24"/>
          <w:highlight w:val="none"/>
        </w:rPr>
      </w:pPr>
    </w:p>
    <w:p w14:paraId="69165F6B">
      <w:pPr>
        <w:ind w:firstLine="480"/>
        <w:rPr>
          <w:rFonts w:hint="eastAsia" w:ascii="方正仿宋_GB2312" w:hAnsi="方正仿宋_GB2312" w:eastAsia="方正仿宋_GB2312" w:cs="方正仿宋_GB2312"/>
          <w:color w:val="auto"/>
          <w:sz w:val="24"/>
          <w:szCs w:val="24"/>
          <w:highlight w:val="none"/>
        </w:rPr>
      </w:pPr>
    </w:p>
    <w:p w14:paraId="66802EB6">
      <w:pPr>
        <w:ind w:firstLine="480"/>
        <w:rPr>
          <w:rFonts w:hint="eastAsia" w:ascii="方正仿宋_GB2312" w:hAnsi="方正仿宋_GB2312" w:eastAsia="方正仿宋_GB2312" w:cs="方正仿宋_GB2312"/>
          <w:color w:val="auto"/>
          <w:sz w:val="24"/>
          <w:szCs w:val="24"/>
          <w:highlight w:val="none"/>
        </w:rPr>
      </w:pPr>
    </w:p>
    <w:p w14:paraId="6C20BA0E">
      <w:pPr>
        <w:ind w:firstLine="480"/>
        <w:rPr>
          <w:rFonts w:hint="eastAsia" w:ascii="方正仿宋_GB2312" w:hAnsi="方正仿宋_GB2312" w:eastAsia="方正仿宋_GB2312" w:cs="方正仿宋_GB2312"/>
          <w:color w:val="auto"/>
          <w:sz w:val="24"/>
          <w:szCs w:val="24"/>
          <w:highlight w:val="none"/>
        </w:rPr>
      </w:pPr>
    </w:p>
    <w:p w14:paraId="0EB71C66">
      <w:pPr>
        <w:ind w:firstLine="480"/>
        <w:rPr>
          <w:rFonts w:hint="eastAsia" w:ascii="方正仿宋_GB2312" w:hAnsi="方正仿宋_GB2312" w:eastAsia="方正仿宋_GB2312" w:cs="方正仿宋_GB2312"/>
          <w:color w:val="auto"/>
          <w:sz w:val="24"/>
          <w:szCs w:val="24"/>
          <w:highlight w:val="none"/>
        </w:rPr>
      </w:pPr>
    </w:p>
    <w:p w14:paraId="7560F187">
      <w:pPr>
        <w:ind w:firstLine="480"/>
        <w:rPr>
          <w:rFonts w:hint="eastAsia" w:ascii="方正仿宋_GB2312" w:hAnsi="方正仿宋_GB2312" w:eastAsia="方正仿宋_GB2312" w:cs="方正仿宋_GB2312"/>
          <w:color w:val="auto"/>
          <w:sz w:val="24"/>
          <w:szCs w:val="24"/>
          <w:highlight w:val="none"/>
        </w:rPr>
      </w:pPr>
    </w:p>
    <w:p w14:paraId="10E8E610">
      <w:pPr>
        <w:ind w:firstLine="480"/>
        <w:rPr>
          <w:rFonts w:hint="eastAsia" w:ascii="方正仿宋_GB2312" w:hAnsi="方正仿宋_GB2312" w:eastAsia="方正仿宋_GB2312" w:cs="方正仿宋_GB2312"/>
          <w:color w:val="auto"/>
          <w:sz w:val="24"/>
          <w:szCs w:val="24"/>
          <w:highlight w:val="none"/>
        </w:rPr>
      </w:pPr>
    </w:p>
    <w:p w14:paraId="3242F7F5">
      <w:pPr>
        <w:ind w:firstLine="480"/>
        <w:rPr>
          <w:rFonts w:hint="eastAsia" w:ascii="方正仿宋_GB2312" w:hAnsi="方正仿宋_GB2312" w:eastAsia="方正仿宋_GB2312" w:cs="方正仿宋_GB2312"/>
          <w:color w:val="auto"/>
          <w:sz w:val="24"/>
          <w:szCs w:val="24"/>
          <w:highlight w:val="none"/>
        </w:rPr>
      </w:pPr>
    </w:p>
    <w:p w14:paraId="0A4B95D7">
      <w:pPr>
        <w:ind w:firstLine="480"/>
        <w:rPr>
          <w:rFonts w:hint="eastAsia" w:ascii="方正仿宋_GB2312" w:hAnsi="方正仿宋_GB2312" w:eastAsia="方正仿宋_GB2312" w:cs="方正仿宋_GB2312"/>
          <w:color w:val="auto"/>
          <w:szCs w:val="24"/>
          <w:highlight w:val="none"/>
        </w:rPr>
      </w:pPr>
    </w:p>
    <w:p w14:paraId="44238854">
      <w:pPr>
        <w:ind w:firstLine="480"/>
        <w:rPr>
          <w:rFonts w:hint="eastAsia" w:ascii="方正仿宋_GB2312" w:hAnsi="方正仿宋_GB2312" w:eastAsia="方正仿宋_GB2312" w:cs="方正仿宋_GB2312"/>
          <w:color w:val="auto"/>
          <w:szCs w:val="24"/>
          <w:highlight w:val="none"/>
        </w:rPr>
      </w:pPr>
    </w:p>
    <w:p w14:paraId="5334CCCB">
      <w:pPr>
        <w:ind w:firstLine="480"/>
        <w:rPr>
          <w:rFonts w:hint="eastAsia" w:ascii="方正仿宋_GB2312" w:hAnsi="方正仿宋_GB2312" w:eastAsia="方正仿宋_GB2312" w:cs="方正仿宋_GB2312"/>
          <w:color w:val="auto"/>
          <w:szCs w:val="24"/>
          <w:highlight w:val="none"/>
        </w:rPr>
      </w:pPr>
    </w:p>
    <w:p w14:paraId="0C61B8C6">
      <w:pPr>
        <w:ind w:firstLine="480"/>
        <w:rPr>
          <w:rFonts w:hint="eastAsia" w:ascii="方正仿宋_GB2312" w:hAnsi="方正仿宋_GB2312" w:eastAsia="方正仿宋_GB2312" w:cs="方正仿宋_GB2312"/>
          <w:color w:val="auto"/>
          <w:szCs w:val="24"/>
          <w:highlight w:val="none"/>
        </w:rPr>
      </w:pPr>
    </w:p>
    <w:p w14:paraId="38D95B5C">
      <w:pPr>
        <w:ind w:firstLine="480"/>
        <w:rPr>
          <w:rFonts w:hint="eastAsia" w:ascii="方正仿宋_GB2312" w:hAnsi="方正仿宋_GB2312" w:eastAsia="方正仿宋_GB2312" w:cs="方正仿宋_GB2312"/>
          <w:color w:val="auto"/>
          <w:szCs w:val="24"/>
          <w:highlight w:val="none"/>
        </w:rPr>
      </w:pPr>
    </w:p>
    <w:p w14:paraId="64E4790E">
      <w:pPr>
        <w:spacing w:line="360" w:lineRule="auto"/>
        <w:jc w:val="center"/>
        <w:outlineLvl w:val="9"/>
        <w:rPr>
          <w:rFonts w:hint="eastAsia" w:ascii="方正仿宋_GB2312" w:hAnsi="方正仿宋_GB2312" w:eastAsia="方正仿宋_GB2312" w:cs="方正仿宋_GB2312"/>
          <w:color w:val="auto"/>
          <w:spacing w:val="0"/>
          <w:sz w:val="44"/>
          <w:szCs w:val="44"/>
          <w:highlight w:val="none"/>
        </w:rPr>
      </w:pPr>
      <w:bookmarkStart w:id="134" w:name="_Toc394929417"/>
      <w:bookmarkStart w:id="135" w:name="_Toc511595194"/>
      <w:bookmarkStart w:id="136" w:name="_Toc508779710"/>
      <w:bookmarkStart w:id="137" w:name="_Toc28168"/>
      <w:r>
        <w:rPr>
          <w:rFonts w:hint="eastAsia" w:ascii="方正仿宋_GB2312" w:hAnsi="方正仿宋_GB2312" w:eastAsia="方正仿宋_GB2312" w:cs="方正仿宋_GB2312"/>
          <w:color w:val="auto"/>
          <w:sz w:val="24"/>
          <w:szCs w:val="24"/>
          <w:highlight w:val="none"/>
        </w:rPr>
        <w:br w:type="page"/>
      </w:r>
      <w:bookmarkEnd w:id="134"/>
      <w:bookmarkEnd w:id="135"/>
      <w:bookmarkEnd w:id="136"/>
      <w:bookmarkEnd w:id="137"/>
      <w:bookmarkStart w:id="138" w:name="_Toc394929418"/>
      <w:r>
        <w:rPr>
          <w:rFonts w:hint="eastAsia" w:ascii="方正仿宋_GB2312" w:hAnsi="方正仿宋_GB2312" w:eastAsia="方正仿宋_GB2312" w:cs="方正仿宋_GB2312"/>
          <w:b/>
          <w:bCs/>
          <w:color w:val="auto"/>
          <w:spacing w:val="0"/>
          <w:w w:val="100"/>
          <w:position w:val="0"/>
          <w:sz w:val="36"/>
          <w:szCs w:val="36"/>
          <w:highlight w:val="none"/>
          <w:u w:val="none"/>
          <w:shd w:val="clear" w:color="auto" w:fill="FFFFFF"/>
          <w:lang w:val="zh-CN"/>
        </w:rPr>
        <w:t>廉政合同</w:t>
      </w:r>
    </w:p>
    <w:p w14:paraId="321F6BF7">
      <w:pPr>
        <w:widowControl w:val="0"/>
        <w:shd w:val="clear" w:color="auto" w:fill="auto"/>
        <w:spacing w:before="0" w:line="398"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方正仿宋_GB2312" w:hAnsi="方正仿宋_GB2312" w:eastAsia="方正仿宋_GB2312" w:cs="方正仿宋_GB2312"/>
          <w:color w:val="auto"/>
          <w:spacing w:val="0"/>
          <w:w w:val="100"/>
          <w:kern w:val="2"/>
          <w:position w:val="0"/>
          <w:sz w:val="21"/>
          <w:szCs w:val="21"/>
          <w:highlight w:val="none"/>
          <w:u w:val="single"/>
          <w:shd w:val="clear" w:color="auto" w:fill="FFFFFF"/>
          <w:lang w:val="zh-CN" w:eastAsia="zh-CN" w:bidi="zh-CN"/>
        </w:rPr>
        <w:t>百龙滩镇南新村弄洪屯进村入户路硬化项目</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(项目名称）的项目法人</w:t>
      </w:r>
      <w:r>
        <w:rPr>
          <w:rFonts w:hint="eastAsia" w:ascii="方正仿宋_GB2312" w:hAnsi="方正仿宋_GB2312" w:eastAsia="方正仿宋_GB2312" w:cs="方正仿宋_GB2312"/>
          <w:color w:val="auto"/>
          <w:spacing w:val="0"/>
          <w:w w:val="100"/>
          <w:kern w:val="2"/>
          <w:position w:val="0"/>
          <w:sz w:val="21"/>
          <w:szCs w:val="21"/>
          <w:highlight w:val="none"/>
          <w:u w:val="single"/>
          <w:shd w:val="clear" w:color="auto" w:fill="FFFFFF"/>
          <w:lang w:val="zh-CN" w:eastAsia="zh-CN" w:bidi="zh-CN"/>
        </w:rPr>
        <w:t>马山县百龙滩镇人民政府</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(项目法人名称，以下简称“发包人”）与该项目的施工单位</w:t>
      </w:r>
      <w:r>
        <w:rPr>
          <w:rFonts w:hint="eastAsia" w:ascii="方正仿宋_GB2312" w:hAnsi="方正仿宋_GB2312" w:eastAsia="方正仿宋_GB2312" w:cs="方正仿宋_GB2312"/>
          <w:color w:val="auto"/>
          <w:spacing w:val="0"/>
          <w:w w:val="100"/>
          <w:kern w:val="2"/>
          <w:position w:val="0"/>
          <w:sz w:val="21"/>
          <w:szCs w:val="21"/>
          <w:highlight w:val="none"/>
          <w:u w:val="single"/>
          <w:shd w:val="clear" w:color="auto" w:fill="FFFFFF"/>
          <w:lang w:val="zh-CN" w:eastAsia="zh-CN" w:bidi="zh-CN"/>
        </w:rPr>
        <w:tab/>
      </w:r>
      <w:r>
        <w:rPr>
          <w:rFonts w:hint="eastAsia" w:ascii="方正仿宋_GB2312" w:hAnsi="方正仿宋_GB2312" w:eastAsia="方正仿宋_GB2312" w:cs="方正仿宋_GB2312"/>
          <w:color w:val="auto"/>
          <w:spacing w:val="0"/>
          <w:w w:val="100"/>
          <w:kern w:val="2"/>
          <w:position w:val="0"/>
          <w:sz w:val="21"/>
          <w:szCs w:val="21"/>
          <w:highlight w:val="none"/>
          <w:u w:val="single"/>
          <w:shd w:val="clear" w:color="auto" w:fill="FFFFFF"/>
          <w:lang w:val="en-US" w:eastAsia="zh-CN" w:bidi="zh-CN"/>
        </w:rPr>
        <w:t xml:space="preserve">         </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(施工单位名称，以下简称“承包人”)，特订立如下合同。</w:t>
      </w:r>
    </w:p>
    <w:p w14:paraId="15BD3207">
      <w:pPr>
        <w:keepNext/>
        <w:keepLines/>
        <w:widowControl w:val="0"/>
        <w:shd w:val="clear" w:color="auto" w:fill="auto"/>
        <w:tabs>
          <w:tab w:val="left" w:pos="1178"/>
        </w:tabs>
        <w:autoSpaceDE/>
        <w:autoSpaceDN/>
        <w:adjustRightInd/>
        <w:spacing w:before="0" w:after="0" w:line="360" w:lineRule="auto"/>
        <w:jc w:val="both"/>
        <w:outlineLvl w:val="9"/>
        <w:rPr>
          <w:rFonts w:hint="eastAsia" w:ascii="方正仿宋_GB2312" w:hAnsi="方正仿宋_GB2312" w:eastAsia="方正仿宋_GB2312" w:cs="方正仿宋_GB2312"/>
          <w:b/>
          <w:bCs/>
          <w:color w:val="auto"/>
          <w:spacing w:val="0"/>
          <w:kern w:val="2"/>
          <w:sz w:val="21"/>
          <w:szCs w:val="21"/>
          <w:highlight w:val="none"/>
          <w:shd w:val="clear" w:color="auto" w:fill="FFFFFF"/>
          <w:lang w:val="en-US" w:eastAsia="zh-CN" w:bidi="ar-SA"/>
        </w:rPr>
      </w:pPr>
      <w:bookmarkStart w:id="139" w:name="bookmark188"/>
      <w:bookmarkStart w:id="140" w:name="_Toc514786909"/>
      <w:r>
        <w:rPr>
          <w:rFonts w:hint="eastAsia" w:ascii="方正仿宋_GB2312" w:hAnsi="方正仿宋_GB2312" w:eastAsia="方正仿宋_GB2312" w:cs="方正仿宋_GB2312"/>
          <w:b/>
          <w:bCs/>
          <w:color w:val="auto"/>
          <w:spacing w:val="0"/>
          <w:w w:val="100"/>
          <w:kern w:val="2"/>
          <w:position w:val="0"/>
          <w:sz w:val="21"/>
          <w:szCs w:val="21"/>
          <w:highlight w:val="none"/>
          <w:u w:val="none"/>
          <w:shd w:val="clear" w:color="auto" w:fill="FFFFFF"/>
          <w:lang w:val="zh-CN" w:eastAsia="zh-CN" w:bidi="zh-CN"/>
        </w:rPr>
        <w:t>1．发包人和承包人双方的权利和义务</w:t>
      </w:r>
      <w:bookmarkEnd w:id="139"/>
      <w:bookmarkEnd w:id="140"/>
    </w:p>
    <w:p w14:paraId="2FE9823F">
      <w:pPr>
        <w:widowControl w:val="0"/>
        <w:numPr>
          <w:ilvl w:val="0"/>
          <w:numId w:val="0"/>
        </w:numPr>
        <w:shd w:val="clear" w:color="auto" w:fill="auto"/>
        <w:tabs>
          <w:tab w:val="left" w:pos="1386"/>
        </w:tabs>
        <w:spacing w:before="0" w:line="360" w:lineRule="auto"/>
        <w:ind w:firstLine="44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(1)</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严格遵守党的政策规定和国家有关法律法规及交通运输部的有关规定。</w:t>
      </w:r>
    </w:p>
    <w:p w14:paraId="50AA1E66">
      <w:pPr>
        <w:widowControl w:val="0"/>
        <w:numPr>
          <w:ilvl w:val="0"/>
          <w:numId w:val="0"/>
        </w:numPr>
        <w:shd w:val="clear" w:color="auto" w:fill="auto"/>
        <w:tabs>
          <w:tab w:val="left" w:pos="1386"/>
        </w:tabs>
        <w:spacing w:before="0" w:line="360" w:lineRule="auto"/>
        <w:ind w:firstLine="44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(2)</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严格执行</w:t>
      </w:r>
      <w:r>
        <w:rPr>
          <w:rFonts w:hint="eastAsia" w:ascii="方正仿宋_GB2312" w:hAnsi="方正仿宋_GB2312" w:eastAsia="方正仿宋_GB2312" w:cs="方正仿宋_GB2312"/>
          <w:color w:val="auto"/>
          <w:spacing w:val="0"/>
          <w:w w:val="100"/>
          <w:kern w:val="2"/>
          <w:position w:val="0"/>
          <w:sz w:val="21"/>
          <w:szCs w:val="21"/>
          <w:highlight w:val="none"/>
          <w:u w:val="single"/>
          <w:shd w:val="clear" w:color="auto" w:fill="FFFFFF"/>
          <w:lang w:val="zh-CN" w:eastAsia="zh-CN" w:bidi="zh-CN"/>
        </w:rPr>
        <w:t>百龙滩镇南新村弄洪屯进村入户路硬化项目(项目名称）</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标段施工合同文件，自觉按合同办事。</w:t>
      </w:r>
    </w:p>
    <w:p w14:paraId="49A04B28">
      <w:pPr>
        <w:widowControl w:val="0"/>
        <w:numPr>
          <w:ilvl w:val="0"/>
          <w:numId w:val="0"/>
        </w:numPr>
        <w:shd w:val="clear" w:color="auto" w:fill="auto"/>
        <w:tabs>
          <w:tab w:val="left" w:pos="1273"/>
        </w:tabs>
        <w:spacing w:before="0" w:line="360" w:lineRule="auto"/>
        <w:ind w:firstLine="44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(3)</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双方的业务活动坚持公开、公正、诚信、透明的原则（法律认定的商业秘密和合同文件另有规定除外），不得损害国家和集体利益，不得违反工程建设管理规章制度。</w:t>
      </w:r>
    </w:p>
    <w:p w14:paraId="2B3720DC">
      <w:pPr>
        <w:widowControl w:val="0"/>
        <w:numPr>
          <w:ilvl w:val="0"/>
          <w:numId w:val="0"/>
        </w:numPr>
        <w:shd w:val="clear" w:color="auto" w:fill="auto"/>
        <w:tabs>
          <w:tab w:val="left" w:pos="1270"/>
        </w:tabs>
        <w:spacing w:before="0" w:line="360" w:lineRule="auto"/>
        <w:ind w:firstLine="440" w:firstLineChars="200"/>
        <w:jc w:val="left"/>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(4)</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建立健全廉政制度，开展廉政教育，设立廉政告示牌，公布举报电话，监督并认真查处违法违纪行为。</w:t>
      </w:r>
    </w:p>
    <w:p w14:paraId="75AA7BFB">
      <w:pPr>
        <w:widowControl w:val="0"/>
        <w:numPr>
          <w:ilvl w:val="0"/>
          <w:numId w:val="0"/>
        </w:numPr>
        <w:shd w:val="clear" w:color="auto" w:fill="auto"/>
        <w:tabs>
          <w:tab w:val="left" w:pos="1273"/>
        </w:tabs>
        <w:spacing w:before="0" w:line="360" w:lineRule="auto"/>
        <w:ind w:firstLine="44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(5)</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发现对方在业务活动中有违反廉政规定的行为，有及时提醒对方纠正的权利和义务。</w:t>
      </w:r>
    </w:p>
    <w:p w14:paraId="1AB257C4">
      <w:pPr>
        <w:widowControl w:val="0"/>
        <w:numPr>
          <w:ilvl w:val="0"/>
          <w:numId w:val="0"/>
        </w:numPr>
        <w:shd w:val="clear" w:color="auto" w:fill="auto"/>
        <w:tabs>
          <w:tab w:val="left" w:pos="1270"/>
        </w:tabs>
        <w:spacing w:before="0" w:line="360" w:lineRule="auto"/>
        <w:ind w:firstLine="440" w:firstLineChars="200"/>
        <w:jc w:val="left"/>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(6)</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发现对方严重违反本合同义务条款的行为，有向其上级有关部门举报、建议给予处理并要求告知处理结果的权利。</w:t>
      </w:r>
    </w:p>
    <w:p w14:paraId="697F44C2">
      <w:pPr>
        <w:keepNext/>
        <w:keepLines/>
        <w:widowControl w:val="0"/>
        <w:shd w:val="clear" w:color="auto" w:fill="auto"/>
        <w:tabs>
          <w:tab w:val="left" w:pos="1178"/>
        </w:tabs>
        <w:autoSpaceDE/>
        <w:autoSpaceDN/>
        <w:adjustRightInd/>
        <w:spacing w:before="0" w:after="0" w:line="360" w:lineRule="auto"/>
        <w:jc w:val="both"/>
        <w:outlineLvl w:val="9"/>
        <w:rPr>
          <w:rFonts w:hint="eastAsia" w:ascii="方正仿宋_GB2312" w:hAnsi="方正仿宋_GB2312" w:eastAsia="方正仿宋_GB2312" w:cs="方正仿宋_GB2312"/>
          <w:b/>
          <w:bCs/>
          <w:color w:val="auto"/>
          <w:spacing w:val="0"/>
          <w:kern w:val="2"/>
          <w:sz w:val="21"/>
          <w:szCs w:val="21"/>
          <w:highlight w:val="none"/>
          <w:shd w:val="clear" w:color="auto" w:fill="FFFFFF"/>
          <w:lang w:val="en-US" w:eastAsia="zh-CN" w:bidi="ar-SA"/>
        </w:rPr>
      </w:pPr>
      <w:bookmarkStart w:id="141" w:name="bookmark189"/>
      <w:bookmarkStart w:id="142" w:name="_Toc514786910"/>
      <w:r>
        <w:rPr>
          <w:rFonts w:hint="eastAsia" w:ascii="方正仿宋_GB2312" w:hAnsi="方正仿宋_GB2312" w:eastAsia="方正仿宋_GB2312" w:cs="方正仿宋_GB2312"/>
          <w:b/>
          <w:bCs/>
          <w:color w:val="auto"/>
          <w:spacing w:val="0"/>
          <w:w w:val="100"/>
          <w:kern w:val="2"/>
          <w:position w:val="0"/>
          <w:sz w:val="21"/>
          <w:szCs w:val="21"/>
          <w:highlight w:val="none"/>
          <w:u w:val="none"/>
          <w:shd w:val="clear" w:color="auto" w:fill="FFFFFF"/>
          <w:lang w:val="zh-CN" w:eastAsia="zh-CN" w:bidi="zh-CN"/>
        </w:rPr>
        <w:t>2．发包人的义务</w:t>
      </w:r>
      <w:bookmarkEnd w:id="141"/>
      <w:bookmarkEnd w:id="142"/>
    </w:p>
    <w:p w14:paraId="3B20851B">
      <w:pPr>
        <w:widowControl w:val="0"/>
        <w:shd w:val="clear" w:color="auto" w:fill="auto"/>
        <w:tabs>
          <w:tab w:val="left" w:pos="1251"/>
        </w:tabs>
        <w:spacing w:before="0" w:line="360" w:lineRule="auto"/>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（1）发包人及其工作人员不得索要或接受承包人的礼金、有价证券和贵重物品，不得让承包人报销任何应由发包人或发包人工作人员个人支付的费用等。</w:t>
      </w:r>
    </w:p>
    <w:p w14:paraId="3ACC6ED0">
      <w:pPr>
        <w:widowControl w:val="0"/>
        <w:shd w:val="clear" w:color="auto" w:fill="auto"/>
        <w:tabs>
          <w:tab w:val="left" w:pos="1266"/>
        </w:tabs>
        <w:spacing w:before="0" w:line="360" w:lineRule="auto"/>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（2）发包人工作人员不得参加承包人安排的超标准宴请和娱乐活动；不得接受承包人提供的通讯工具、交通工具和高档办公用品等。</w:t>
      </w:r>
    </w:p>
    <w:p w14:paraId="222C84EA">
      <w:pPr>
        <w:widowControl w:val="0"/>
        <w:shd w:val="clear" w:color="auto" w:fill="auto"/>
        <w:tabs>
          <w:tab w:val="left" w:pos="1268"/>
        </w:tabs>
        <w:spacing w:before="0" w:line="360" w:lineRule="auto"/>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（3）发包人及其工作人员不得要求或者接受承包人为其住房装修、婚丧嫁娶活动、配偶子女的工作安排以及出国出境、旅游等提供方便等。</w:t>
      </w:r>
    </w:p>
    <w:p w14:paraId="622558AB">
      <w:pPr>
        <w:widowControl w:val="0"/>
        <w:shd w:val="clear" w:color="auto" w:fill="auto"/>
        <w:tabs>
          <w:tab w:val="left" w:pos="1270"/>
        </w:tabs>
        <w:spacing w:before="0" w:line="360" w:lineRule="auto"/>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（4）发包人工作人员及其配偶、子女不得从事与发包人工程有关的材料设备供应、工程分包、劳务等经济活动等。</w:t>
      </w:r>
    </w:p>
    <w:p w14:paraId="163105DF">
      <w:pPr>
        <w:widowControl w:val="0"/>
        <w:shd w:val="clear" w:color="auto" w:fill="auto"/>
        <w:tabs>
          <w:tab w:val="left" w:pos="1268"/>
        </w:tabs>
        <w:spacing w:before="0" w:line="360" w:lineRule="auto"/>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（5）发包人及其工作人员不得以任何理由向承包人推荐分包单位或推销材料， 不得要求承包人购买合同规定外的材料和设备。</w:t>
      </w:r>
    </w:p>
    <w:p w14:paraId="575E4271">
      <w:pPr>
        <w:widowControl w:val="0"/>
        <w:shd w:val="clear" w:color="auto" w:fill="auto"/>
        <w:tabs>
          <w:tab w:val="left" w:pos="1268"/>
        </w:tabs>
        <w:spacing w:before="0" w:line="360" w:lineRule="auto"/>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（6）发包人工作人员要秉公办事，不准营私舞弊，不准利用职权从事各种个人有偿中介活动和安排个人施工队伍。</w:t>
      </w:r>
    </w:p>
    <w:p w14:paraId="25BD0698">
      <w:pPr>
        <w:widowControl w:val="0"/>
        <w:shd w:val="clear" w:color="auto" w:fill="auto"/>
        <w:tabs>
          <w:tab w:val="left" w:pos="1268"/>
        </w:tabs>
        <w:spacing w:before="0" w:line="360" w:lineRule="auto"/>
        <w:jc w:val="both"/>
        <w:rPr>
          <w:rFonts w:hint="eastAsia" w:ascii="方正仿宋_GB2312" w:hAnsi="方正仿宋_GB2312" w:eastAsia="方正仿宋_GB2312" w:cs="方正仿宋_GB2312"/>
          <w:b/>
          <w:bCs/>
          <w:color w:val="auto"/>
          <w:spacing w:val="0"/>
          <w:kern w:val="2"/>
          <w:sz w:val="21"/>
          <w:szCs w:val="21"/>
          <w:highlight w:val="none"/>
          <w:lang w:val="en-US" w:eastAsia="zh-CN" w:bidi="ar-SA"/>
        </w:rPr>
      </w:pPr>
      <w:r>
        <w:rPr>
          <w:rFonts w:hint="eastAsia" w:ascii="方正仿宋_GB2312" w:hAnsi="方正仿宋_GB2312" w:eastAsia="方正仿宋_GB2312" w:cs="方正仿宋_GB2312"/>
          <w:b/>
          <w:bCs/>
          <w:color w:val="auto"/>
          <w:spacing w:val="0"/>
          <w:w w:val="100"/>
          <w:kern w:val="2"/>
          <w:position w:val="0"/>
          <w:sz w:val="21"/>
          <w:szCs w:val="21"/>
          <w:highlight w:val="none"/>
          <w:u w:val="none"/>
          <w:lang w:val="zh-CN" w:eastAsia="zh-CN" w:bidi="zh-CN"/>
        </w:rPr>
        <w:t>3．承包人的义务</w:t>
      </w:r>
    </w:p>
    <w:p w14:paraId="780DFD9F">
      <w:pPr>
        <w:widowControl w:val="0"/>
        <w:numPr>
          <w:ilvl w:val="0"/>
          <w:numId w:val="0"/>
        </w:numPr>
        <w:shd w:val="clear" w:color="auto" w:fill="auto"/>
        <w:tabs>
          <w:tab w:val="left" w:pos="1275"/>
        </w:tabs>
        <w:spacing w:before="0" w:line="360" w:lineRule="auto"/>
        <w:ind w:firstLine="44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(1)</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承包人不得以任何理由向发包人及其工作人员行贿或馈赠礼金、有价证券、贵重礼品。</w:t>
      </w:r>
    </w:p>
    <w:p w14:paraId="550B3513">
      <w:pPr>
        <w:widowControl w:val="0"/>
        <w:numPr>
          <w:ilvl w:val="0"/>
          <w:numId w:val="0"/>
        </w:numPr>
        <w:shd w:val="clear" w:color="auto" w:fill="auto"/>
        <w:tabs>
          <w:tab w:val="left" w:pos="1270"/>
        </w:tabs>
        <w:spacing w:before="0" w:line="360" w:lineRule="auto"/>
        <w:ind w:firstLine="44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(2)</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承包人不得以任何名义为发包人及其工作人员报销应由发包人单位或个人支付的任何费用。</w:t>
      </w:r>
    </w:p>
    <w:p w14:paraId="1B5FA717">
      <w:pPr>
        <w:widowControl w:val="0"/>
        <w:numPr>
          <w:ilvl w:val="0"/>
          <w:numId w:val="0"/>
        </w:numPr>
        <w:shd w:val="clear" w:color="auto" w:fill="auto"/>
        <w:tabs>
          <w:tab w:val="left" w:pos="1389"/>
        </w:tabs>
        <w:spacing w:before="0" w:line="360" w:lineRule="auto"/>
        <w:ind w:firstLine="44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(3)</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承包人不得以任何理由安排发包人工作人员参加超标准宴请及娱乐活动。</w:t>
      </w:r>
    </w:p>
    <w:p w14:paraId="0672C1C3">
      <w:pPr>
        <w:widowControl w:val="0"/>
        <w:numPr>
          <w:ilvl w:val="0"/>
          <w:numId w:val="0"/>
        </w:numPr>
        <w:shd w:val="clear" w:color="auto" w:fill="auto"/>
        <w:tabs>
          <w:tab w:val="left" w:pos="1266"/>
        </w:tabs>
        <w:spacing w:before="0" w:line="360" w:lineRule="auto"/>
        <w:ind w:firstLine="44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(4)</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承包人不得为发包人单位和个人购置或提供通信工具、交通工具和高档办公用品等。</w:t>
      </w:r>
    </w:p>
    <w:p w14:paraId="32264E0A">
      <w:pPr>
        <w:widowControl w:val="0"/>
        <w:shd w:val="clear" w:color="auto" w:fill="auto"/>
        <w:tabs>
          <w:tab w:val="left" w:pos="1154"/>
        </w:tabs>
        <w:autoSpaceDE/>
        <w:autoSpaceDN/>
        <w:adjustRightInd/>
        <w:spacing w:line="398" w:lineRule="exact"/>
        <w:jc w:val="both"/>
        <w:rPr>
          <w:rFonts w:hint="eastAsia" w:ascii="方正仿宋_GB2312" w:hAnsi="方正仿宋_GB2312" w:eastAsia="方正仿宋_GB2312" w:cs="方正仿宋_GB2312"/>
          <w:b/>
          <w:bCs/>
          <w:color w:val="auto"/>
          <w:spacing w:val="0"/>
          <w:kern w:val="2"/>
          <w:sz w:val="21"/>
          <w:szCs w:val="21"/>
          <w:highlight w:val="none"/>
          <w:shd w:val="clear" w:color="auto" w:fill="FFFFFF"/>
          <w:lang w:val="en-US" w:eastAsia="zh-CN" w:bidi="ar-SA"/>
        </w:rPr>
      </w:pPr>
      <w:r>
        <w:rPr>
          <w:rFonts w:hint="eastAsia" w:ascii="方正仿宋_GB2312" w:hAnsi="方正仿宋_GB2312" w:eastAsia="方正仿宋_GB2312" w:cs="方正仿宋_GB2312"/>
          <w:b/>
          <w:bCs/>
          <w:color w:val="auto"/>
          <w:spacing w:val="0"/>
          <w:w w:val="100"/>
          <w:kern w:val="2"/>
          <w:position w:val="0"/>
          <w:sz w:val="21"/>
          <w:szCs w:val="21"/>
          <w:highlight w:val="none"/>
          <w:u w:val="none"/>
          <w:shd w:val="clear" w:color="auto" w:fill="FFFFFF"/>
          <w:lang w:val="zh-CN" w:eastAsia="zh-CN" w:bidi="zh-CN"/>
        </w:rPr>
        <w:t>4．违约责任</w:t>
      </w:r>
    </w:p>
    <w:p w14:paraId="6BC95FD2">
      <w:pPr>
        <w:widowControl w:val="0"/>
        <w:shd w:val="clear" w:color="auto" w:fill="auto"/>
        <w:tabs>
          <w:tab w:val="left" w:pos="1270"/>
        </w:tabs>
        <w:spacing w:before="0" w:line="398"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（1）发包人及其工作人员违反本合同第1、2条，按管理权限，依据有关规定给予党纪、政纪或组织处理；涉嫌犯罪的，移交司法机关追究刑事责任；给承包人单位造成经济损失的，应予以赔偿。</w:t>
      </w:r>
    </w:p>
    <w:p w14:paraId="1A04AC76">
      <w:pPr>
        <w:widowControl w:val="0"/>
        <w:shd w:val="clear" w:color="auto" w:fill="auto"/>
        <w:tabs>
          <w:tab w:val="left" w:pos="1270"/>
        </w:tabs>
        <w:spacing w:before="0" w:line="398" w:lineRule="exact"/>
        <w:ind w:firstLine="420" w:firstLineChars="200"/>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 建设市场的处罚。</w:t>
      </w:r>
    </w:p>
    <w:p w14:paraId="2BCDA5B3">
      <w:pPr>
        <w:widowControl w:val="0"/>
        <w:shd w:val="clear" w:color="auto" w:fill="auto"/>
        <w:tabs>
          <w:tab w:val="left" w:pos="975"/>
        </w:tabs>
        <w:spacing w:before="0" w:line="360" w:lineRule="auto"/>
        <w:jc w:val="left"/>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6ABEA9A9">
      <w:pPr>
        <w:widowControl w:val="0"/>
        <w:shd w:val="clear" w:color="auto" w:fill="auto"/>
        <w:tabs>
          <w:tab w:val="left" w:pos="1154"/>
        </w:tabs>
        <w:spacing w:before="0" w:line="360" w:lineRule="auto"/>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6．本合同有效期为发包人和承包人签署之日起至全部工程完工后经交工验收合格、缺陷责任期满签发缺陷责任终止证书后失效。</w:t>
      </w:r>
    </w:p>
    <w:p w14:paraId="5DD5BBE1">
      <w:pPr>
        <w:widowControl w:val="0"/>
        <w:shd w:val="clear" w:color="auto" w:fill="auto"/>
        <w:tabs>
          <w:tab w:val="left" w:leader="underscore" w:pos="3373"/>
          <w:tab w:val="left" w:leader="underscore" w:pos="5307"/>
        </w:tabs>
        <w:spacing w:before="0" w:line="360" w:lineRule="auto"/>
        <w:jc w:val="both"/>
        <w:rPr>
          <w:rFonts w:hint="eastAsia" w:ascii="方正仿宋_GB2312" w:hAnsi="方正仿宋_GB2312" w:eastAsia="方正仿宋_GB2312" w:cs="方正仿宋_GB2312"/>
          <w:color w:val="auto"/>
          <w:spacing w:val="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7．本合同作为</w:t>
      </w:r>
      <w:r>
        <w:rPr>
          <w:rFonts w:hint="eastAsia" w:ascii="方正仿宋_GB2312" w:hAnsi="方正仿宋_GB2312" w:eastAsia="方正仿宋_GB2312" w:cs="方正仿宋_GB2312"/>
          <w:color w:val="auto"/>
          <w:spacing w:val="0"/>
          <w:w w:val="100"/>
          <w:kern w:val="2"/>
          <w:position w:val="0"/>
          <w:sz w:val="21"/>
          <w:szCs w:val="21"/>
          <w:highlight w:val="none"/>
          <w:u w:val="single"/>
          <w:shd w:val="clear" w:color="auto" w:fill="FFFFFF"/>
          <w:lang w:val="zh-CN" w:eastAsia="zh-CN" w:bidi="zh-CN"/>
        </w:rPr>
        <w:t>百龙滩镇南新村弄洪屯进村入户路硬化项目</w:t>
      </w: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 xml:space="preserve"> (项目名称）施工合同的附件，与工程施工合同具有同等的法律效力，经合同双方签署后立即生效。</w:t>
      </w:r>
    </w:p>
    <w:p w14:paraId="27291D80">
      <w:pPr>
        <w:widowControl w:val="0"/>
        <w:shd w:val="clear" w:color="auto" w:fill="auto"/>
        <w:tabs>
          <w:tab w:val="left" w:pos="978"/>
        </w:tabs>
        <w:spacing w:before="0" w:line="360" w:lineRule="auto"/>
        <w:jc w:val="left"/>
        <w:rPr>
          <w:rFonts w:hint="eastAsia" w:ascii="方正仿宋_GB2312" w:hAnsi="方正仿宋_GB2312" w:eastAsia="方正仿宋_GB2312" w:cs="方正仿宋_GB2312"/>
          <w:color w:val="auto"/>
          <w:spacing w:val="20"/>
          <w:kern w:val="2"/>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1"/>
          <w:szCs w:val="21"/>
          <w:highlight w:val="none"/>
          <w:u w:val="none"/>
          <w:shd w:val="clear" w:color="auto" w:fill="FFFFFF"/>
          <w:lang w:val="zh-CN" w:eastAsia="zh-CN" w:bidi="zh-CN"/>
        </w:rPr>
        <w:t>8．本合同一式四份，由发包人和承包人各执一份，送交发包人和承包人的监督单位各一份。</w:t>
      </w:r>
    </w:p>
    <w:p w14:paraId="0FCA31ED">
      <w:pPr>
        <w:widowControl w:val="0"/>
        <w:shd w:val="clear" w:color="auto" w:fill="auto"/>
        <w:tabs>
          <w:tab w:val="left" w:pos="978"/>
        </w:tabs>
        <w:spacing w:before="0" w:line="398" w:lineRule="exact"/>
        <w:jc w:val="left"/>
        <w:rPr>
          <w:rFonts w:hint="eastAsia" w:ascii="方正仿宋_GB2312" w:hAnsi="方正仿宋_GB2312" w:eastAsia="方正仿宋_GB2312" w:cs="方正仿宋_GB2312"/>
          <w:color w:val="auto"/>
          <w:spacing w:val="0"/>
          <w:kern w:val="2"/>
          <w:sz w:val="21"/>
          <w:szCs w:val="21"/>
          <w:highlight w:val="none"/>
          <w:lang w:val="en-US" w:eastAsia="zh-CN" w:bidi="ar-SA"/>
        </w:rPr>
      </w:pPr>
    </w:p>
    <w:p w14:paraId="75178755">
      <w:pPr>
        <w:spacing w:line="360" w:lineRule="auto"/>
        <w:ind w:firstLine="210" w:firstLineChars="100"/>
        <w:rPr>
          <w:rFonts w:hint="eastAsia" w:ascii="方正仿宋_GB2312" w:hAnsi="方正仿宋_GB2312" w:eastAsia="方正仿宋_GB2312" w:cs="方正仿宋_GB2312"/>
          <w:color w:val="auto"/>
          <w:sz w:val="21"/>
          <w:szCs w:val="21"/>
          <w:highlight w:val="none"/>
          <w:lang w:eastAsia="zh-CN"/>
        </w:rPr>
      </w:pPr>
      <w:r>
        <w:rPr>
          <w:rFonts w:hint="eastAsia" w:ascii="方正仿宋_GB2312" w:hAnsi="方正仿宋_GB2312" w:eastAsia="方正仿宋_GB2312" w:cs="方正仿宋_GB2312"/>
          <w:color w:val="auto"/>
          <w:sz w:val="21"/>
          <w:szCs w:val="21"/>
          <w:highlight w:val="none"/>
        </w:rPr>
        <w:t>甲  方：</w:t>
      </w:r>
      <w:r>
        <w:rPr>
          <w:rFonts w:hint="eastAsia" w:ascii="方正仿宋_GB2312" w:hAnsi="方正仿宋_GB2312" w:eastAsia="方正仿宋_GB2312" w:cs="方正仿宋_GB2312"/>
          <w:color w:val="auto"/>
          <w:sz w:val="21"/>
          <w:szCs w:val="21"/>
          <w:highlight w:val="none"/>
          <w:u w:val="single"/>
          <w:lang w:eastAsia="zh-CN"/>
        </w:rPr>
        <w:t>马山县百龙滩镇人民政府</w:t>
      </w:r>
      <w:r>
        <w:rPr>
          <w:rFonts w:hint="eastAsia" w:ascii="方正仿宋_GB2312" w:hAnsi="方正仿宋_GB2312" w:eastAsia="方正仿宋_GB2312" w:cs="方正仿宋_GB2312"/>
          <w:color w:val="auto"/>
          <w:sz w:val="21"/>
          <w:szCs w:val="21"/>
          <w:highlight w:val="none"/>
          <w:lang w:eastAsia="zh-CN"/>
        </w:rPr>
        <w:t> </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乙</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 xml:space="preserve"> 方：</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u w:val="single"/>
          <w:lang w:val="en-US" w:eastAsia="zh-CN"/>
        </w:rPr>
        <w:t xml:space="preserve">  </w:t>
      </w:r>
      <w:r>
        <w:rPr>
          <w:rFonts w:hint="eastAsia" w:ascii="方正仿宋_GB2312" w:hAnsi="方正仿宋_GB2312" w:eastAsia="方正仿宋_GB2312" w:cs="方正仿宋_GB2312"/>
          <w:color w:val="auto"/>
          <w:sz w:val="21"/>
          <w:szCs w:val="21"/>
          <w:highlight w:val="none"/>
          <w:u w:val="single"/>
        </w:rPr>
        <w:t xml:space="preserve">       </w:t>
      </w:r>
    </w:p>
    <w:p w14:paraId="47A469B3">
      <w:pPr>
        <w:spacing w:line="360" w:lineRule="auto"/>
        <w:ind w:firstLine="210" w:firstLineChars="1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法定代表人或其</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法定代人或其</w:t>
      </w:r>
    </w:p>
    <w:p w14:paraId="00FAC1E2">
      <w:pPr>
        <w:spacing w:line="360" w:lineRule="auto"/>
        <w:ind w:firstLine="210" w:firstLineChars="1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授权的代理人：</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u w:val="single"/>
          <w:lang w:val="en-US" w:eastAsia="zh-CN"/>
        </w:rPr>
        <w:t xml:space="preserve"> </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授权的代理人：</w:t>
      </w:r>
      <w:r>
        <w:rPr>
          <w:rFonts w:hint="eastAsia" w:ascii="方正仿宋_GB2312" w:hAnsi="方正仿宋_GB2312" w:eastAsia="方正仿宋_GB2312" w:cs="方正仿宋_GB2312"/>
          <w:color w:val="auto"/>
          <w:sz w:val="21"/>
          <w:szCs w:val="21"/>
          <w:highlight w:val="none"/>
          <w:u w:val="single"/>
        </w:rPr>
        <w:t xml:space="preserve">            </w:t>
      </w:r>
    </w:p>
    <w:p w14:paraId="245174D3">
      <w:pPr>
        <w:spacing w:line="360" w:lineRule="auto"/>
        <w:ind w:firstLine="210" w:firstLineChars="1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职  务：</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 xml:space="preserve">职  务： </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p>
    <w:p w14:paraId="09FCF434">
      <w:pPr>
        <w:spacing w:line="36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姓  名：</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姓  名 ：</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p>
    <w:p w14:paraId="09C3CE54">
      <w:pPr>
        <w:spacing w:line="360" w:lineRule="auto"/>
        <w:rPr>
          <w:rFonts w:hint="eastAsia" w:ascii="方正仿宋_GB2312" w:hAnsi="方正仿宋_GB2312" w:eastAsia="方正仿宋_GB2312" w:cs="方正仿宋_GB2312"/>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 xml:space="preserve">  签  字：</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签  字：</w:t>
      </w:r>
      <w:r>
        <w:rPr>
          <w:rFonts w:hint="eastAsia" w:ascii="方正仿宋_GB2312" w:hAnsi="方正仿宋_GB2312" w:eastAsia="方正仿宋_GB2312" w:cs="方正仿宋_GB2312"/>
          <w:color w:val="auto"/>
          <w:sz w:val="21"/>
          <w:szCs w:val="21"/>
          <w:highlight w:val="none"/>
          <w:u w:val="single"/>
        </w:rPr>
        <w:t xml:space="preserve">                  </w:t>
      </w:r>
    </w:p>
    <w:p w14:paraId="4F78B985">
      <w:pPr>
        <w:spacing w:line="360" w:lineRule="auto"/>
        <w:ind w:firstLine="210" w:firstLineChars="1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地  址：</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地</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 xml:space="preserve">  址：</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p>
    <w:p w14:paraId="0250A5B6">
      <w:pPr>
        <w:spacing w:line="360" w:lineRule="auto"/>
        <w:ind w:firstLine="210" w:firstLineChars="1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日  期：</w:t>
      </w:r>
      <w:r>
        <w:rPr>
          <w:rFonts w:hint="eastAsia" w:ascii="方正仿宋_GB2312" w:hAnsi="方正仿宋_GB2312" w:eastAsia="方正仿宋_GB2312" w:cs="方正仿宋_GB2312"/>
          <w:color w:val="auto"/>
          <w:sz w:val="21"/>
          <w:szCs w:val="21"/>
          <w:highlight w:val="none"/>
          <w:u w:val="single"/>
          <w:lang w:val="en-US" w:eastAsia="zh-CN"/>
        </w:rPr>
        <w:t xml:space="preserve">    </w:t>
      </w:r>
      <w:r>
        <w:rPr>
          <w:rFonts w:hint="eastAsia" w:ascii="方正仿宋_GB2312" w:hAnsi="方正仿宋_GB2312" w:eastAsia="方正仿宋_GB2312" w:cs="方正仿宋_GB2312"/>
          <w:color w:val="auto"/>
          <w:sz w:val="21"/>
          <w:szCs w:val="21"/>
          <w:highlight w:val="none"/>
        </w:rPr>
        <w:t>年</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月</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日  </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日  期：</w:t>
      </w:r>
      <w:r>
        <w:rPr>
          <w:rFonts w:hint="eastAsia" w:ascii="方正仿宋_GB2312" w:hAnsi="方正仿宋_GB2312" w:eastAsia="方正仿宋_GB2312" w:cs="方正仿宋_GB2312"/>
          <w:color w:val="auto"/>
          <w:sz w:val="21"/>
          <w:szCs w:val="21"/>
          <w:highlight w:val="none"/>
          <w:u w:val="single"/>
          <w:lang w:val="en-US" w:eastAsia="zh-CN"/>
        </w:rPr>
        <w:t xml:space="preserve">   </w:t>
      </w:r>
      <w:r>
        <w:rPr>
          <w:rFonts w:hint="eastAsia" w:ascii="方正仿宋_GB2312" w:hAnsi="方正仿宋_GB2312" w:eastAsia="方正仿宋_GB2312" w:cs="方正仿宋_GB2312"/>
          <w:color w:val="auto"/>
          <w:sz w:val="21"/>
          <w:szCs w:val="21"/>
          <w:highlight w:val="none"/>
        </w:rPr>
        <w:t>年</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月</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日</w:t>
      </w:r>
    </w:p>
    <w:p w14:paraId="4377DD8A">
      <w:pPr>
        <w:widowControl w:val="0"/>
        <w:shd w:val="clear" w:color="auto" w:fill="auto"/>
        <w:tabs>
          <w:tab w:val="left" w:leader="underscore" w:pos="2153"/>
          <w:tab w:val="left" w:leader="underscore" w:pos="2993"/>
          <w:tab w:val="left" w:leader="underscore" w:pos="3833"/>
        </w:tabs>
        <w:spacing w:before="0" w:line="360" w:lineRule="auto"/>
        <w:ind w:right="660" w:firstLine="250" w:firstLineChars="100"/>
        <w:jc w:val="left"/>
        <w:rPr>
          <w:rFonts w:hint="eastAsia" w:ascii="方正仿宋_GB2312" w:hAnsi="方正仿宋_GB2312" w:eastAsia="方正仿宋_GB2312" w:cs="方正仿宋_GB2312"/>
          <w:color w:val="auto"/>
          <w:spacing w:val="20"/>
          <w:kern w:val="2"/>
          <w:sz w:val="21"/>
          <w:szCs w:val="21"/>
          <w:highlight w:val="none"/>
          <w:lang w:val="en-US" w:eastAsia="zh-CN" w:bidi="ar-SA"/>
        </w:rPr>
      </w:pPr>
      <w:r>
        <w:rPr>
          <w:rFonts w:hint="eastAsia" w:ascii="方正仿宋_GB2312" w:hAnsi="方正仿宋_GB2312" w:eastAsia="方正仿宋_GB2312" w:cs="方正仿宋_GB2312"/>
          <w:color w:val="auto"/>
          <w:spacing w:val="20"/>
          <w:kern w:val="2"/>
          <w:sz w:val="21"/>
          <w:szCs w:val="21"/>
          <w:highlight w:val="none"/>
          <w:lang w:val="en-US" w:eastAsia="zh-CN" w:bidi="ar-SA"/>
        </w:rPr>
        <w:t>甲方监督单位：</w:t>
      </w:r>
      <w:r>
        <w:rPr>
          <w:rFonts w:hint="eastAsia" w:ascii="方正仿宋_GB2312" w:hAnsi="方正仿宋_GB2312" w:eastAsia="方正仿宋_GB2312" w:cs="方正仿宋_GB2312"/>
          <w:color w:val="auto"/>
          <w:spacing w:val="20"/>
          <w:kern w:val="2"/>
          <w:sz w:val="21"/>
          <w:szCs w:val="21"/>
          <w:highlight w:val="none"/>
          <w:u w:val="single"/>
          <w:lang w:val="en-US" w:eastAsia="zh-CN" w:bidi="ar-SA"/>
        </w:rPr>
        <w:t xml:space="preserve">        </w:t>
      </w:r>
      <w:r>
        <w:rPr>
          <w:rFonts w:hint="eastAsia" w:ascii="方正仿宋_GB2312" w:hAnsi="方正仿宋_GB2312" w:eastAsia="方正仿宋_GB2312" w:cs="方正仿宋_GB2312"/>
          <w:color w:val="auto"/>
          <w:spacing w:val="20"/>
          <w:kern w:val="2"/>
          <w:sz w:val="21"/>
          <w:szCs w:val="21"/>
          <w:highlight w:val="none"/>
          <w:lang w:val="en-US" w:eastAsia="zh-CN" w:bidi="ar-SA"/>
        </w:rPr>
        <w:t xml:space="preserve">          乙方监督单位：</w:t>
      </w:r>
      <w:r>
        <w:rPr>
          <w:rFonts w:hint="eastAsia" w:ascii="方正仿宋_GB2312" w:hAnsi="方正仿宋_GB2312" w:eastAsia="方正仿宋_GB2312" w:cs="方正仿宋_GB2312"/>
          <w:color w:val="auto"/>
          <w:spacing w:val="20"/>
          <w:kern w:val="2"/>
          <w:sz w:val="21"/>
          <w:szCs w:val="21"/>
          <w:highlight w:val="none"/>
          <w:u w:val="single"/>
          <w:lang w:val="en-US" w:eastAsia="zh-CN" w:bidi="ar-SA"/>
        </w:rPr>
        <w:t xml:space="preserve">        </w:t>
      </w:r>
    </w:p>
    <w:p w14:paraId="77783CFD">
      <w:pPr>
        <w:spacing w:line="360" w:lineRule="auto"/>
        <w:jc w:val="center"/>
        <w:outlineLvl w:val="9"/>
        <w:rPr>
          <w:rFonts w:hint="eastAsia" w:ascii="方正仿宋_GB2312" w:hAnsi="方正仿宋_GB2312" w:eastAsia="方正仿宋_GB2312" w:cs="方正仿宋_GB2312"/>
          <w:b/>
          <w:bCs/>
          <w:color w:val="auto"/>
          <w:spacing w:val="0"/>
          <w:highlight w:val="none"/>
        </w:rPr>
      </w:pPr>
      <w:bookmarkStart w:id="143" w:name="_Toc428"/>
      <w:bookmarkStart w:id="144" w:name="_Toc511595195"/>
      <w:bookmarkStart w:id="145" w:name="_Toc508779711"/>
      <w:r>
        <w:rPr>
          <w:rFonts w:hint="eastAsia" w:ascii="方正仿宋_GB2312" w:hAnsi="方正仿宋_GB2312" w:eastAsia="方正仿宋_GB2312" w:cs="方正仿宋_GB2312"/>
          <w:color w:val="auto"/>
          <w:sz w:val="21"/>
          <w:szCs w:val="21"/>
          <w:highlight w:val="none"/>
        </w:rPr>
        <w:br w:type="page"/>
      </w:r>
      <w:bookmarkEnd w:id="138"/>
      <w:bookmarkEnd w:id="143"/>
      <w:bookmarkEnd w:id="144"/>
      <w:bookmarkEnd w:id="145"/>
      <w:bookmarkStart w:id="146" w:name="bookmark191"/>
      <w:bookmarkStart w:id="147" w:name="_Toc514786912"/>
      <w:r>
        <w:rPr>
          <w:rFonts w:hint="eastAsia" w:ascii="方正仿宋_GB2312" w:hAnsi="方正仿宋_GB2312" w:eastAsia="方正仿宋_GB2312" w:cs="方正仿宋_GB2312"/>
          <w:b/>
          <w:bCs/>
          <w:color w:val="auto"/>
          <w:spacing w:val="0"/>
          <w:w w:val="100"/>
          <w:position w:val="0"/>
          <w:sz w:val="36"/>
          <w:szCs w:val="36"/>
          <w:highlight w:val="none"/>
          <w:u w:val="none"/>
          <w:shd w:val="clear" w:color="auto" w:fill="FFFFFF"/>
          <w:lang w:val="zh-CN"/>
        </w:rPr>
        <w:t>安全生产合同</w:t>
      </w:r>
      <w:bookmarkEnd w:id="146"/>
      <w:bookmarkEnd w:id="147"/>
    </w:p>
    <w:p w14:paraId="022DE594">
      <w:pPr>
        <w:widowControl w:val="0"/>
        <w:shd w:val="clear" w:color="auto" w:fill="auto"/>
        <w:tabs>
          <w:tab w:val="left" w:leader="underscore" w:pos="2726"/>
          <w:tab w:val="left" w:leader="underscore" w:pos="4730"/>
        </w:tabs>
        <w:spacing w:before="0" w:line="389" w:lineRule="exact"/>
        <w:ind w:firstLine="440" w:firstLineChars="200"/>
        <w:jc w:val="both"/>
        <w:rPr>
          <w:rFonts w:hint="eastAsia" w:ascii="方正仿宋_GB2312" w:hAnsi="方正仿宋_GB2312" w:eastAsia="方正仿宋_GB2312" w:cs="方正仿宋_GB2312"/>
          <w:color w:val="auto"/>
          <w:spacing w:val="0"/>
          <w:kern w:val="2"/>
          <w:sz w:val="21"/>
          <w:szCs w:val="24"/>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为在</w:t>
      </w:r>
      <w:r>
        <w:rPr>
          <w:rFonts w:hint="eastAsia" w:ascii="方正仿宋_GB2312" w:hAnsi="方正仿宋_GB2312" w:eastAsia="方正仿宋_GB2312" w:cs="方正仿宋_GB2312"/>
          <w:color w:val="auto"/>
          <w:spacing w:val="0"/>
          <w:w w:val="100"/>
          <w:kern w:val="2"/>
          <w:position w:val="0"/>
          <w:sz w:val="22"/>
          <w:szCs w:val="22"/>
          <w:highlight w:val="none"/>
          <w:u w:val="single"/>
          <w:shd w:val="clear" w:color="auto" w:fill="FFFFFF"/>
          <w:lang w:val="zh-CN" w:eastAsia="zh-CN" w:bidi="zh-CN"/>
        </w:rPr>
        <w:t>百龙滩镇南新村弄洪屯进村入户路硬化项目</w:t>
      </w: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(项目名称）施工合同的实施过程中创造安全、高效的施工环境，切实搞好本项目的安全管理工作，本项目发包人</w:t>
      </w:r>
      <w:r>
        <w:rPr>
          <w:rFonts w:hint="eastAsia" w:ascii="方正仿宋_GB2312" w:hAnsi="方正仿宋_GB2312" w:eastAsia="方正仿宋_GB2312" w:cs="方正仿宋_GB2312"/>
          <w:color w:val="auto"/>
          <w:spacing w:val="0"/>
          <w:w w:val="100"/>
          <w:kern w:val="2"/>
          <w:position w:val="0"/>
          <w:sz w:val="22"/>
          <w:szCs w:val="22"/>
          <w:highlight w:val="none"/>
          <w:u w:val="single"/>
          <w:shd w:val="clear" w:color="auto" w:fill="FFFFFF"/>
          <w:lang w:val="zh-CN" w:eastAsia="zh-CN" w:bidi="zh-CN"/>
        </w:rPr>
        <w:t>马山县百龙滩镇人民政府</w:t>
      </w: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(发包人名称，以下简称“发包人”）与承包人</w:t>
      </w:r>
      <w:r>
        <w:rPr>
          <w:rFonts w:hint="eastAsia" w:ascii="方正仿宋_GB2312" w:hAnsi="方正仿宋_GB2312" w:eastAsia="方正仿宋_GB2312" w:cs="方正仿宋_GB2312"/>
          <w:color w:val="auto"/>
          <w:spacing w:val="0"/>
          <w:w w:val="100"/>
          <w:kern w:val="2"/>
          <w:position w:val="0"/>
          <w:sz w:val="22"/>
          <w:szCs w:val="22"/>
          <w:highlight w:val="none"/>
          <w:u w:val="single"/>
          <w:shd w:val="clear" w:color="auto" w:fill="FFFFFF"/>
          <w:lang w:val="en-US" w:eastAsia="zh-CN" w:bidi="zh-CN"/>
        </w:rPr>
        <w:t xml:space="preserve">      </w:t>
      </w:r>
      <w:r>
        <w:rPr>
          <w:rFonts w:hint="eastAsia" w:ascii="方正仿宋_GB2312" w:hAnsi="方正仿宋_GB2312" w:eastAsia="方正仿宋_GB2312" w:cs="方正仿宋_GB2312"/>
          <w:color w:val="auto"/>
          <w:spacing w:val="0"/>
          <w:w w:val="100"/>
          <w:kern w:val="2"/>
          <w:position w:val="0"/>
          <w:sz w:val="22"/>
          <w:szCs w:val="22"/>
          <w:highlight w:val="none"/>
          <w:u w:val="single"/>
          <w:shd w:val="clear" w:color="auto" w:fill="FFFFFF"/>
          <w:lang w:val="zh-CN" w:eastAsia="zh-CN" w:bidi="zh-CN"/>
        </w:rPr>
        <w:tab/>
      </w: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(承包人名称，以下简称“承包人”）特此签订安全生产合同：</w:t>
      </w:r>
    </w:p>
    <w:p w14:paraId="1F6FAC4B">
      <w:pPr>
        <w:keepNext/>
        <w:keepLines/>
        <w:widowControl w:val="0"/>
        <w:shd w:val="clear" w:color="auto" w:fill="auto"/>
        <w:tabs>
          <w:tab w:val="left" w:pos="994"/>
        </w:tabs>
        <w:autoSpaceDE/>
        <w:autoSpaceDN/>
        <w:adjustRightInd/>
        <w:spacing w:before="0" w:after="0" w:line="389" w:lineRule="exact"/>
        <w:jc w:val="both"/>
        <w:outlineLvl w:val="9"/>
        <w:rPr>
          <w:rFonts w:hint="eastAsia" w:ascii="方正仿宋_GB2312" w:hAnsi="方正仿宋_GB2312" w:eastAsia="方正仿宋_GB2312" w:cs="方正仿宋_GB2312"/>
          <w:b/>
          <w:bCs/>
          <w:color w:val="auto"/>
          <w:spacing w:val="0"/>
          <w:kern w:val="2"/>
          <w:sz w:val="22"/>
          <w:szCs w:val="22"/>
          <w:highlight w:val="none"/>
          <w:shd w:val="clear" w:color="auto" w:fill="FFFFFF"/>
          <w:lang w:val="en-US" w:eastAsia="zh-CN" w:bidi="ar-SA"/>
        </w:rPr>
      </w:pPr>
      <w:bookmarkStart w:id="148" w:name="_Toc514786913"/>
      <w:bookmarkStart w:id="149" w:name="bookmark192"/>
      <w:r>
        <w:rPr>
          <w:rFonts w:hint="eastAsia" w:ascii="方正仿宋_GB2312" w:hAnsi="方正仿宋_GB2312" w:eastAsia="方正仿宋_GB2312" w:cs="方正仿宋_GB2312"/>
          <w:b/>
          <w:bCs/>
          <w:color w:val="auto"/>
          <w:spacing w:val="0"/>
          <w:w w:val="100"/>
          <w:kern w:val="2"/>
          <w:position w:val="0"/>
          <w:sz w:val="22"/>
          <w:szCs w:val="22"/>
          <w:highlight w:val="none"/>
          <w:u w:val="none"/>
          <w:shd w:val="clear" w:color="auto" w:fill="FFFFFF"/>
          <w:lang w:val="zh-CN" w:eastAsia="zh-CN" w:bidi="zh-CN"/>
        </w:rPr>
        <w:t>1．发包人职责</w:t>
      </w:r>
      <w:bookmarkEnd w:id="148"/>
      <w:bookmarkEnd w:id="149"/>
    </w:p>
    <w:p w14:paraId="11A8AC28">
      <w:pPr>
        <w:widowControl w:val="0"/>
        <w:numPr>
          <w:ilvl w:val="0"/>
          <w:numId w:val="0"/>
        </w:numPr>
        <w:shd w:val="clear" w:color="auto" w:fill="auto"/>
        <w:tabs>
          <w:tab w:val="left" w:pos="1268"/>
        </w:tabs>
        <w:spacing w:before="0" w:line="389" w:lineRule="exact"/>
        <w:ind w:firstLine="440" w:firstLineChars="200"/>
        <w:jc w:val="both"/>
        <w:rPr>
          <w:rFonts w:hint="eastAsia" w:ascii="方正仿宋_GB2312" w:hAnsi="方正仿宋_GB2312" w:eastAsia="方正仿宋_GB2312" w:cs="方正仿宋_GB2312"/>
          <w:color w:val="auto"/>
          <w:spacing w:val="0"/>
          <w:kern w:val="2"/>
          <w:sz w:val="21"/>
          <w:szCs w:val="24"/>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(1)</w:t>
      </w: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严格遵守国家有关安全生产的法律法规，认真执行工程承包合同中的有关安全要求。</w:t>
      </w:r>
    </w:p>
    <w:p w14:paraId="0E708FE9">
      <w:pPr>
        <w:widowControl w:val="0"/>
        <w:numPr>
          <w:ilvl w:val="0"/>
          <w:numId w:val="0"/>
        </w:numPr>
        <w:shd w:val="clear" w:color="auto" w:fill="auto"/>
        <w:tabs>
          <w:tab w:val="left" w:pos="1273"/>
        </w:tabs>
        <w:spacing w:before="0" w:line="389" w:lineRule="exact"/>
        <w:ind w:firstLine="440" w:firstLineChars="200"/>
        <w:jc w:val="both"/>
        <w:rPr>
          <w:rFonts w:hint="eastAsia" w:ascii="方正仿宋_GB2312" w:hAnsi="方正仿宋_GB2312" w:eastAsia="方正仿宋_GB2312" w:cs="方正仿宋_GB2312"/>
          <w:color w:val="auto"/>
          <w:spacing w:val="0"/>
          <w:kern w:val="2"/>
          <w:sz w:val="21"/>
          <w:szCs w:val="24"/>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(2)</w:t>
      </w: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按照“安全第一、预防为主”和坚持“管生产必须管安全”的原则进行安全生产管理，做到生产与安全工作同时计划、布置、检查、总结和评比。</w:t>
      </w:r>
    </w:p>
    <w:p w14:paraId="41F6C7EE">
      <w:pPr>
        <w:widowControl w:val="0"/>
        <w:numPr>
          <w:ilvl w:val="0"/>
          <w:numId w:val="0"/>
        </w:numPr>
        <w:shd w:val="clear" w:color="auto" w:fill="auto"/>
        <w:tabs>
          <w:tab w:val="left" w:pos="1263"/>
        </w:tabs>
        <w:spacing w:before="0" w:line="389" w:lineRule="exact"/>
        <w:ind w:firstLine="440" w:firstLineChars="200"/>
        <w:jc w:val="left"/>
        <w:rPr>
          <w:rFonts w:hint="eastAsia" w:ascii="方正仿宋_GB2312" w:hAnsi="方正仿宋_GB2312" w:eastAsia="方正仿宋_GB2312" w:cs="方正仿宋_GB2312"/>
          <w:color w:val="auto"/>
          <w:spacing w:val="0"/>
          <w:kern w:val="2"/>
          <w:sz w:val="21"/>
          <w:szCs w:val="24"/>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(3)</w:t>
      </w: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重要的安全设施必须坚持与主体工程“三同时”的原则：同时设计、 审批，同时施工，同时验收，投入使用。</w:t>
      </w:r>
    </w:p>
    <w:p w14:paraId="4B1ECDD2">
      <w:pPr>
        <w:widowControl w:val="0"/>
        <w:numPr>
          <w:ilvl w:val="0"/>
          <w:numId w:val="0"/>
        </w:numPr>
        <w:shd w:val="clear" w:color="auto" w:fill="auto"/>
        <w:tabs>
          <w:tab w:val="left" w:pos="1311"/>
        </w:tabs>
        <w:spacing w:before="0" w:line="389" w:lineRule="exact"/>
        <w:ind w:firstLine="440" w:firstLineChars="200"/>
        <w:jc w:val="both"/>
        <w:rPr>
          <w:rFonts w:hint="eastAsia" w:ascii="方正仿宋_GB2312" w:hAnsi="方正仿宋_GB2312" w:eastAsia="方正仿宋_GB2312" w:cs="方正仿宋_GB2312"/>
          <w:color w:val="auto"/>
          <w:spacing w:val="0"/>
          <w:kern w:val="2"/>
          <w:sz w:val="21"/>
          <w:szCs w:val="24"/>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(4)</w:t>
      </w: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定期召开安全生产调度会，及时传达中央及地方有关安全生产的精神。</w:t>
      </w:r>
    </w:p>
    <w:p w14:paraId="2EE93A7F">
      <w:pPr>
        <w:widowControl w:val="0"/>
        <w:numPr>
          <w:ilvl w:val="0"/>
          <w:numId w:val="0"/>
        </w:numPr>
        <w:shd w:val="clear" w:color="auto" w:fill="auto"/>
        <w:tabs>
          <w:tab w:val="left" w:pos="1273"/>
        </w:tabs>
        <w:spacing w:before="0" w:line="389" w:lineRule="exact"/>
        <w:ind w:firstLine="440" w:firstLineChars="200"/>
        <w:jc w:val="both"/>
        <w:rPr>
          <w:rFonts w:hint="eastAsia" w:ascii="方正仿宋_GB2312" w:hAnsi="方正仿宋_GB2312" w:eastAsia="方正仿宋_GB2312" w:cs="方正仿宋_GB2312"/>
          <w:color w:val="auto"/>
          <w:spacing w:val="0"/>
          <w:kern w:val="2"/>
          <w:sz w:val="21"/>
          <w:szCs w:val="24"/>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(5)</w:t>
      </w: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组织对承包人施工现场进行安全生产检查，监督承包人及时处理发现的各种安全隐患。</w:t>
      </w:r>
    </w:p>
    <w:p w14:paraId="003898AC">
      <w:pPr>
        <w:keepNext/>
        <w:keepLines/>
        <w:widowControl w:val="0"/>
        <w:shd w:val="clear" w:color="auto" w:fill="auto"/>
        <w:tabs>
          <w:tab w:val="left" w:pos="1018"/>
        </w:tabs>
        <w:autoSpaceDE/>
        <w:autoSpaceDN/>
        <w:adjustRightInd/>
        <w:spacing w:before="0" w:after="0" w:line="389" w:lineRule="exact"/>
        <w:jc w:val="both"/>
        <w:outlineLvl w:val="9"/>
        <w:rPr>
          <w:rFonts w:hint="eastAsia" w:ascii="方正仿宋_GB2312" w:hAnsi="方正仿宋_GB2312" w:eastAsia="方正仿宋_GB2312" w:cs="方正仿宋_GB2312"/>
          <w:b/>
          <w:bCs/>
          <w:color w:val="auto"/>
          <w:spacing w:val="0"/>
          <w:kern w:val="2"/>
          <w:sz w:val="22"/>
          <w:szCs w:val="22"/>
          <w:highlight w:val="none"/>
          <w:shd w:val="clear" w:color="auto" w:fill="FFFFFF"/>
          <w:lang w:val="en-US" w:eastAsia="zh-CN" w:bidi="ar-SA"/>
        </w:rPr>
      </w:pPr>
      <w:bookmarkStart w:id="150" w:name="_Toc514786914"/>
      <w:bookmarkStart w:id="151" w:name="bookmark193"/>
      <w:r>
        <w:rPr>
          <w:rFonts w:hint="eastAsia" w:ascii="方正仿宋_GB2312" w:hAnsi="方正仿宋_GB2312" w:eastAsia="方正仿宋_GB2312" w:cs="方正仿宋_GB2312"/>
          <w:b/>
          <w:bCs/>
          <w:color w:val="auto"/>
          <w:spacing w:val="0"/>
          <w:w w:val="100"/>
          <w:kern w:val="2"/>
          <w:position w:val="0"/>
          <w:sz w:val="22"/>
          <w:szCs w:val="22"/>
          <w:highlight w:val="none"/>
          <w:u w:val="none"/>
          <w:shd w:val="clear" w:color="auto" w:fill="FFFFFF"/>
          <w:lang w:val="zh-CN" w:eastAsia="zh-CN" w:bidi="zh-CN"/>
        </w:rPr>
        <w:t>2．承包人职责</w:t>
      </w:r>
      <w:bookmarkEnd w:id="150"/>
      <w:bookmarkEnd w:id="151"/>
    </w:p>
    <w:p w14:paraId="124D86BB">
      <w:pPr>
        <w:widowControl w:val="0"/>
        <w:numPr>
          <w:ilvl w:val="0"/>
          <w:numId w:val="0"/>
        </w:numPr>
        <w:shd w:val="clear" w:color="auto" w:fill="auto"/>
        <w:tabs>
          <w:tab w:val="left" w:pos="1270"/>
        </w:tabs>
        <w:spacing w:before="0" w:line="389" w:lineRule="exact"/>
        <w:ind w:firstLine="440" w:firstLineChars="200"/>
        <w:jc w:val="both"/>
        <w:rPr>
          <w:rFonts w:hint="eastAsia" w:ascii="方正仿宋_GB2312" w:hAnsi="方正仿宋_GB2312" w:eastAsia="方正仿宋_GB2312" w:cs="方正仿宋_GB2312"/>
          <w:color w:val="auto"/>
          <w:spacing w:val="0"/>
          <w:kern w:val="2"/>
          <w:sz w:val="21"/>
          <w:szCs w:val="24"/>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(1)</w:t>
      </w: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严格遵守《中华人民共和国安全生产法》、《建设工程安全生产管理条例》 等国家有关安全生产的法律法规、《公路水运工程安全生产监督管理办法》和《公路工程施工安全技术规范》等有关安全生产的规定。认真执行工程承包合同中的有关安全要求。</w:t>
      </w:r>
    </w:p>
    <w:p w14:paraId="4CFF1CDA">
      <w:pPr>
        <w:widowControl w:val="0"/>
        <w:numPr>
          <w:ilvl w:val="0"/>
          <w:numId w:val="0"/>
        </w:numPr>
        <w:shd w:val="clear" w:color="auto" w:fill="auto"/>
        <w:tabs>
          <w:tab w:val="left" w:pos="1275"/>
        </w:tabs>
        <w:spacing w:before="0" w:line="389" w:lineRule="exact"/>
        <w:ind w:firstLine="440" w:firstLineChars="200"/>
        <w:jc w:val="left"/>
        <w:rPr>
          <w:rFonts w:hint="eastAsia" w:ascii="方正仿宋_GB2312" w:hAnsi="方正仿宋_GB2312" w:eastAsia="方正仿宋_GB2312" w:cs="方正仿宋_GB2312"/>
          <w:color w:val="auto"/>
          <w:spacing w:val="0"/>
          <w:kern w:val="2"/>
          <w:sz w:val="21"/>
          <w:szCs w:val="24"/>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(2)</w:t>
      </w: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 各级领导、工程技术人员、生产管理人员和具体操作人员，必须熟悉和遵守本合同的各项规定，做到生产与安全工作同时计划、布置、检查、总结和评比。</w:t>
      </w:r>
    </w:p>
    <w:p w14:paraId="22BE2629">
      <w:pPr>
        <w:widowControl w:val="0"/>
        <w:numPr>
          <w:ilvl w:val="0"/>
          <w:numId w:val="0"/>
        </w:numPr>
        <w:shd w:val="clear" w:color="auto" w:fill="auto"/>
        <w:tabs>
          <w:tab w:val="left" w:pos="1275"/>
        </w:tabs>
        <w:spacing w:before="0" w:line="389" w:lineRule="exact"/>
        <w:ind w:firstLine="440" w:firstLineChars="200"/>
        <w:jc w:val="both"/>
        <w:rPr>
          <w:rFonts w:hint="eastAsia" w:ascii="方正仿宋_GB2312" w:hAnsi="方正仿宋_GB2312" w:eastAsia="方正仿宋_GB2312" w:cs="方正仿宋_GB2312"/>
          <w:color w:val="auto"/>
          <w:spacing w:val="0"/>
          <w:kern w:val="2"/>
          <w:sz w:val="21"/>
          <w:szCs w:val="24"/>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(3)</w:t>
      </w: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 护性措施防止事故发生。</w:t>
      </w:r>
    </w:p>
    <w:p w14:paraId="4242228B">
      <w:pPr>
        <w:widowControl w:val="0"/>
        <w:numPr>
          <w:ilvl w:val="0"/>
          <w:numId w:val="0"/>
        </w:numPr>
        <w:shd w:val="clear" w:color="auto" w:fill="auto"/>
        <w:tabs>
          <w:tab w:val="left" w:pos="531"/>
        </w:tabs>
        <w:spacing w:before="0" w:line="389" w:lineRule="exact"/>
        <w:ind w:firstLine="440" w:firstLineChars="200"/>
        <w:jc w:val="both"/>
        <w:rPr>
          <w:rFonts w:hint="eastAsia" w:ascii="方正仿宋_GB2312" w:hAnsi="方正仿宋_GB2312" w:eastAsia="方正仿宋_GB2312" w:cs="方正仿宋_GB2312"/>
          <w:color w:val="auto"/>
          <w:spacing w:val="0"/>
          <w:kern w:val="2"/>
          <w:sz w:val="21"/>
          <w:szCs w:val="24"/>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(4)</w:t>
      </w: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承包人在任何时候都应采取各种合理的预防措施，防止其员工发生任何违法、违禁、暴力或妨碍治安的行为。</w:t>
      </w:r>
    </w:p>
    <w:p w14:paraId="0D3E002A">
      <w:pPr>
        <w:widowControl w:val="0"/>
        <w:numPr>
          <w:ilvl w:val="0"/>
          <w:numId w:val="0"/>
        </w:numPr>
        <w:shd w:val="clear" w:color="auto" w:fill="auto"/>
        <w:tabs>
          <w:tab w:val="left" w:pos="1273"/>
        </w:tabs>
        <w:spacing w:before="0" w:line="389" w:lineRule="exact"/>
        <w:ind w:firstLine="440" w:firstLineChars="200"/>
        <w:jc w:val="both"/>
        <w:rPr>
          <w:rFonts w:hint="eastAsia" w:ascii="方正仿宋_GB2312" w:hAnsi="方正仿宋_GB2312" w:eastAsia="方正仿宋_GB2312" w:cs="方正仿宋_GB2312"/>
          <w:color w:val="auto"/>
          <w:spacing w:val="0"/>
          <w:kern w:val="2"/>
          <w:sz w:val="21"/>
          <w:szCs w:val="24"/>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(5)</w:t>
      </w: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承包人必须具有劳动安全管理部门颁发的安全生产考核合格证书，参加施工的人员，必须接受安全技术教育，熟知和遵守本工种的各项安全技术操作规程， 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B84AE44">
      <w:pPr>
        <w:widowControl w:val="0"/>
        <w:numPr>
          <w:ilvl w:val="0"/>
          <w:numId w:val="0"/>
        </w:numPr>
        <w:shd w:val="clear" w:color="auto" w:fill="auto"/>
        <w:tabs>
          <w:tab w:val="left" w:pos="1273"/>
        </w:tabs>
        <w:spacing w:before="0" w:line="389" w:lineRule="exact"/>
        <w:ind w:firstLine="440" w:firstLineChars="200"/>
        <w:jc w:val="both"/>
        <w:rPr>
          <w:rFonts w:hint="eastAsia" w:ascii="方正仿宋_GB2312" w:hAnsi="方正仿宋_GB2312" w:eastAsia="方正仿宋_GB2312" w:cs="方正仿宋_GB2312"/>
          <w:color w:val="auto"/>
          <w:spacing w:val="0"/>
          <w:kern w:val="2"/>
          <w:sz w:val="21"/>
          <w:szCs w:val="24"/>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(6)</w:t>
      </w: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37EC62A0">
      <w:pPr>
        <w:widowControl w:val="0"/>
        <w:numPr>
          <w:ilvl w:val="0"/>
          <w:numId w:val="0"/>
        </w:numPr>
        <w:shd w:val="clear" w:color="auto" w:fill="auto"/>
        <w:tabs>
          <w:tab w:val="left" w:pos="1261"/>
        </w:tabs>
        <w:spacing w:before="0" w:line="389" w:lineRule="exact"/>
        <w:ind w:firstLine="440" w:firstLineChars="200"/>
        <w:jc w:val="both"/>
        <w:rPr>
          <w:rFonts w:hint="eastAsia" w:ascii="方正仿宋_GB2312" w:hAnsi="方正仿宋_GB2312" w:eastAsia="方正仿宋_GB2312" w:cs="方正仿宋_GB2312"/>
          <w:color w:val="auto"/>
          <w:spacing w:val="0"/>
          <w:kern w:val="2"/>
          <w:sz w:val="21"/>
          <w:szCs w:val="24"/>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(7)</w:t>
      </w: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操作人员上岗，必须按规定穿戴防护用品。施工负责人和安全检查员应随时检查劳动防护用品的穿戴情况，不按规定穿戴防护用品的人员不得上岗。</w:t>
      </w:r>
    </w:p>
    <w:p w14:paraId="099463E2">
      <w:pPr>
        <w:widowControl w:val="0"/>
        <w:numPr>
          <w:ilvl w:val="0"/>
          <w:numId w:val="0"/>
        </w:numPr>
        <w:shd w:val="clear" w:color="auto" w:fill="auto"/>
        <w:tabs>
          <w:tab w:val="left" w:pos="1273"/>
        </w:tabs>
        <w:spacing w:before="0" w:line="389" w:lineRule="exact"/>
        <w:ind w:firstLine="440" w:firstLineChars="200"/>
        <w:jc w:val="both"/>
        <w:rPr>
          <w:rFonts w:hint="eastAsia" w:ascii="方正仿宋_GB2312" w:hAnsi="方正仿宋_GB2312" w:eastAsia="方正仿宋_GB2312" w:cs="方正仿宋_GB2312"/>
          <w:color w:val="auto"/>
          <w:spacing w:val="0"/>
          <w:kern w:val="2"/>
          <w:sz w:val="21"/>
          <w:szCs w:val="24"/>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(8)</w:t>
      </w: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所有施工机具设备和高空作业的设备均应定期检查，并有安全员的签字记录，保证其经常处于完好状态；不合格的机具、设备和劳动保护用品严禁使用。</w:t>
      </w:r>
    </w:p>
    <w:p w14:paraId="56A11503">
      <w:pPr>
        <w:widowControl w:val="0"/>
        <w:numPr>
          <w:ilvl w:val="0"/>
          <w:numId w:val="0"/>
        </w:numPr>
        <w:shd w:val="clear" w:color="auto" w:fill="auto"/>
        <w:tabs>
          <w:tab w:val="left" w:pos="1270"/>
        </w:tabs>
        <w:spacing w:before="0" w:line="389" w:lineRule="exact"/>
        <w:ind w:firstLine="440" w:firstLineChars="200"/>
        <w:jc w:val="both"/>
        <w:rPr>
          <w:rFonts w:hint="eastAsia" w:ascii="方正仿宋_GB2312" w:hAnsi="方正仿宋_GB2312" w:eastAsia="方正仿宋_GB2312" w:cs="方正仿宋_GB2312"/>
          <w:color w:val="auto"/>
          <w:spacing w:val="0"/>
          <w:kern w:val="2"/>
          <w:sz w:val="21"/>
          <w:szCs w:val="24"/>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(9)</w:t>
      </w: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施工中采用新技术、新工艺、新设备、新材料时，必须制定相应的安全技术措施，施工现场必须具有相关的安全标志牌。</w:t>
      </w:r>
    </w:p>
    <w:p w14:paraId="68FD05D8">
      <w:pPr>
        <w:widowControl w:val="0"/>
        <w:numPr>
          <w:ilvl w:val="0"/>
          <w:numId w:val="0"/>
        </w:numPr>
        <w:shd w:val="clear" w:color="auto" w:fill="auto"/>
        <w:tabs>
          <w:tab w:val="left" w:pos="1390"/>
        </w:tabs>
        <w:spacing w:before="0" w:line="389" w:lineRule="exact"/>
        <w:ind w:firstLine="440" w:firstLineChars="200"/>
        <w:jc w:val="left"/>
        <w:rPr>
          <w:rFonts w:hint="eastAsia" w:ascii="方正仿宋_GB2312" w:hAnsi="方正仿宋_GB2312" w:eastAsia="方正仿宋_GB2312" w:cs="方正仿宋_GB2312"/>
          <w:color w:val="auto"/>
          <w:spacing w:val="0"/>
          <w:kern w:val="2"/>
          <w:sz w:val="21"/>
          <w:szCs w:val="24"/>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(10)</w:t>
      </w: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 严肃处理相关责任人。</w:t>
      </w:r>
    </w:p>
    <w:p w14:paraId="7619D7BD">
      <w:pPr>
        <w:widowControl w:val="0"/>
        <w:numPr>
          <w:ilvl w:val="0"/>
          <w:numId w:val="0"/>
        </w:numPr>
        <w:shd w:val="clear" w:color="auto" w:fill="auto"/>
        <w:tabs>
          <w:tab w:val="left" w:pos="1390"/>
        </w:tabs>
        <w:spacing w:before="0" w:line="389" w:lineRule="exact"/>
        <w:ind w:firstLine="440" w:firstLineChars="200"/>
        <w:jc w:val="both"/>
        <w:rPr>
          <w:rFonts w:hint="eastAsia" w:ascii="方正仿宋_GB2312" w:hAnsi="方正仿宋_GB2312" w:eastAsia="方正仿宋_GB2312" w:cs="方正仿宋_GB2312"/>
          <w:color w:val="auto"/>
          <w:spacing w:val="0"/>
          <w:kern w:val="2"/>
          <w:sz w:val="21"/>
          <w:szCs w:val="24"/>
          <w:highlight w:val="none"/>
          <w:lang w:val="en-US" w:eastAsia="zh-CN" w:bidi="ar-SA"/>
        </w:rPr>
      </w:pPr>
      <w:r>
        <w:rPr>
          <w:rFonts w:hint="eastAsia" w:ascii="方正仿宋_GB2312" w:hAnsi="方正仿宋_GB2312" w:eastAsia="方正仿宋_GB2312" w:cs="方正仿宋_GB2312"/>
          <w:b w:val="0"/>
          <w:bCs w:val="0"/>
          <w:i w:val="0"/>
          <w:iCs w:val="0"/>
          <w:smallCaps w:val="0"/>
          <w:strike w:val="0"/>
          <w:color w:val="auto"/>
          <w:spacing w:val="0"/>
          <w:w w:val="100"/>
          <w:kern w:val="2"/>
          <w:position w:val="0"/>
          <w:sz w:val="22"/>
          <w:szCs w:val="22"/>
          <w:highlight w:val="none"/>
          <w:u w:val="none"/>
          <w:shd w:val="clear" w:color="auto" w:fill="FFFFFF"/>
          <w:lang w:val="en-US" w:eastAsia="zh-CN" w:bidi="ar-SA"/>
        </w:rPr>
        <w:t>(11)</w:t>
      </w: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安全生产费用按照《公路水运工程安全生产监督管理办法》的相关规定使用和管理。</w:t>
      </w:r>
    </w:p>
    <w:p w14:paraId="34EC43AC">
      <w:pPr>
        <w:widowControl w:val="0"/>
        <w:shd w:val="clear" w:color="auto" w:fill="auto"/>
        <w:tabs>
          <w:tab w:val="left" w:pos="994"/>
        </w:tabs>
        <w:autoSpaceDE/>
        <w:autoSpaceDN/>
        <w:adjustRightInd/>
        <w:spacing w:line="389" w:lineRule="exact"/>
        <w:jc w:val="both"/>
        <w:rPr>
          <w:rFonts w:hint="eastAsia" w:ascii="方正仿宋_GB2312" w:hAnsi="方正仿宋_GB2312" w:eastAsia="方正仿宋_GB2312" w:cs="方正仿宋_GB2312"/>
          <w:b/>
          <w:bCs/>
          <w:color w:val="auto"/>
          <w:spacing w:val="0"/>
          <w:kern w:val="2"/>
          <w:sz w:val="22"/>
          <w:szCs w:val="22"/>
          <w:highlight w:val="none"/>
          <w:shd w:val="clear" w:color="auto" w:fill="FFFFFF"/>
          <w:lang w:val="en-US" w:eastAsia="zh-CN" w:bidi="ar-SA"/>
        </w:rPr>
      </w:pPr>
      <w:r>
        <w:rPr>
          <w:rFonts w:hint="eastAsia" w:ascii="方正仿宋_GB2312" w:hAnsi="方正仿宋_GB2312" w:eastAsia="方正仿宋_GB2312" w:cs="方正仿宋_GB2312"/>
          <w:b/>
          <w:bCs/>
          <w:color w:val="auto"/>
          <w:spacing w:val="0"/>
          <w:w w:val="100"/>
          <w:kern w:val="2"/>
          <w:position w:val="0"/>
          <w:sz w:val="22"/>
          <w:szCs w:val="22"/>
          <w:highlight w:val="none"/>
          <w:u w:val="none"/>
          <w:shd w:val="clear" w:color="auto" w:fill="FFFFFF"/>
          <w:lang w:val="zh-CN" w:eastAsia="zh-CN" w:bidi="zh-CN"/>
        </w:rPr>
        <w:t>3．违约责任</w:t>
      </w:r>
    </w:p>
    <w:p w14:paraId="149F2919">
      <w:pPr>
        <w:widowControl w:val="0"/>
        <w:numPr>
          <w:ilvl w:val="0"/>
          <w:numId w:val="0"/>
        </w:numPr>
        <w:shd w:val="clear" w:color="auto" w:fill="auto"/>
        <w:tabs>
          <w:tab w:val="left" w:pos="1390"/>
        </w:tabs>
        <w:spacing w:before="0" w:line="389" w:lineRule="exact"/>
        <w:ind w:firstLine="440" w:firstLineChars="200"/>
        <w:jc w:val="both"/>
        <w:rPr>
          <w:rFonts w:hint="eastAsia" w:ascii="方正仿宋_GB2312" w:hAnsi="方正仿宋_GB2312" w:eastAsia="方正仿宋_GB2312" w:cs="方正仿宋_GB2312"/>
          <w:color w:val="auto"/>
          <w:spacing w:val="20"/>
          <w:kern w:val="2"/>
          <w:sz w:val="21"/>
          <w:szCs w:val="24"/>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如因发包人或承包人违约造成安全事故，将依法追究责任。</w:t>
      </w:r>
    </w:p>
    <w:p w14:paraId="377DE01B">
      <w:pPr>
        <w:widowControl w:val="0"/>
        <w:numPr>
          <w:ilvl w:val="0"/>
          <w:numId w:val="0"/>
        </w:numPr>
        <w:shd w:val="clear" w:color="auto" w:fill="auto"/>
        <w:tabs>
          <w:tab w:val="left" w:pos="1390"/>
        </w:tabs>
        <w:spacing w:before="0" w:line="389" w:lineRule="exact"/>
        <w:jc w:val="both"/>
        <w:rPr>
          <w:rFonts w:hint="eastAsia" w:ascii="方正仿宋_GB2312" w:hAnsi="方正仿宋_GB2312" w:eastAsia="方正仿宋_GB2312" w:cs="方正仿宋_GB2312"/>
          <w:color w:val="auto"/>
          <w:spacing w:val="20"/>
          <w:kern w:val="2"/>
          <w:sz w:val="21"/>
          <w:szCs w:val="24"/>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4．本合同由双方法定代表人或其授权的代理人签署并加盖单位章后生效，全部工程完工后经交工验收合格、缺陷责任期满签发缺陷责任终止证书后失效。</w:t>
      </w:r>
    </w:p>
    <w:p w14:paraId="65E5DC30">
      <w:pPr>
        <w:widowControl w:val="0"/>
        <w:shd w:val="clear" w:color="auto" w:fill="auto"/>
        <w:tabs>
          <w:tab w:val="left" w:leader="underscore" w:pos="3679"/>
          <w:tab w:val="left" w:leader="underscore" w:pos="7914"/>
        </w:tabs>
        <w:spacing w:before="0" w:line="389" w:lineRule="exact"/>
        <w:jc w:val="both"/>
        <w:rPr>
          <w:rFonts w:hint="eastAsia" w:ascii="方正仿宋_GB2312" w:hAnsi="方正仿宋_GB2312" w:eastAsia="方正仿宋_GB2312" w:cs="方正仿宋_GB2312"/>
          <w:color w:val="auto"/>
          <w:spacing w:val="0"/>
          <w:kern w:val="2"/>
          <w:sz w:val="21"/>
          <w:szCs w:val="24"/>
          <w:highlight w:val="none"/>
          <w:lang w:val="en-US" w:eastAsia="zh-CN" w:bidi="ar-SA"/>
        </w:rPr>
      </w:pP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5．本合同正本二份、副本</w:t>
      </w:r>
      <w:r>
        <w:rPr>
          <w:rFonts w:hint="eastAsia" w:ascii="方正仿宋_GB2312" w:hAnsi="方正仿宋_GB2312" w:eastAsia="方正仿宋_GB2312" w:cs="方正仿宋_GB2312"/>
          <w:color w:val="auto"/>
          <w:spacing w:val="0"/>
          <w:w w:val="100"/>
          <w:kern w:val="2"/>
          <w:position w:val="0"/>
          <w:sz w:val="22"/>
          <w:szCs w:val="22"/>
          <w:highlight w:val="none"/>
          <w:u w:val="single"/>
          <w:shd w:val="clear" w:color="auto" w:fill="FFFFFF"/>
          <w:lang w:val="en-US" w:eastAsia="zh-CN" w:bidi="zh-CN"/>
        </w:rPr>
        <w:t xml:space="preserve">   </w:t>
      </w: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份，合同双方各执正本一份，副本</w:t>
      </w:r>
      <w:r>
        <w:rPr>
          <w:rFonts w:hint="eastAsia" w:ascii="方正仿宋_GB2312" w:hAnsi="方正仿宋_GB2312" w:eastAsia="方正仿宋_GB2312" w:cs="方正仿宋_GB2312"/>
          <w:color w:val="auto"/>
          <w:spacing w:val="0"/>
          <w:w w:val="100"/>
          <w:kern w:val="2"/>
          <w:position w:val="0"/>
          <w:sz w:val="22"/>
          <w:szCs w:val="22"/>
          <w:highlight w:val="none"/>
          <w:u w:val="single"/>
          <w:shd w:val="clear" w:color="auto" w:fill="FFFFFF"/>
          <w:lang w:val="en-US" w:eastAsia="zh-CN" w:bidi="zh-CN"/>
        </w:rPr>
        <w:t xml:space="preserve">   </w:t>
      </w:r>
      <w:r>
        <w:rPr>
          <w:rFonts w:hint="eastAsia" w:ascii="方正仿宋_GB2312" w:hAnsi="方正仿宋_GB2312" w:eastAsia="方正仿宋_GB2312" w:cs="方正仿宋_GB2312"/>
          <w:color w:val="auto"/>
          <w:spacing w:val="0"/>
          <w:w w:val="100"/>
          <w:kern w:val="2"/>
          <w:position w:val="0"/>
          <w:sz w:val="22"/>
          <w:szCs w:val="22"/>
          <w:highlight w:val="none"/>
          <w:u w:val="none"/>
          <w:shd w:val="clear" w:color="auto" w:fill="FFFFFF"/>
          <w:lang w:val="zh-CN" w:eastAsia="zh-CN" w:bidi="zh-CN"/>
        </w:rPr>
        <w:t>份，当正本与副本的内容不一致时，以正本为准。</w:t>
      </w:r>
    </w:p>
    <w:p w14:paraId="0D0A85A5">
      <w:pPr>
        <w:spacing w:line="360" w:lineRule="auto"/>
        <w:ind w:firstLine="210" w:firstLineChars="100"/>
        <w:rPr>
          <w:rFonts w:hint="eastAsia" w:ascii="方正仿宋_GB2312" w:hAnsi="方正仿宋_GB2312" w:eastAsia="方正仿宋_GB2312" w:cs="方正仿宋_GB2312"/>
          <w:color w:val="auto"/>
          <w:sz w:val="21"/>
          <w:szCs w:val="21"/>
          <w:highlight w:val="none"/>
        </w:rPr>
      </w:pPr>
      <w:bookmarkStart w:id="152" w:name="_Toc394929419"/>
      <w:bookmarkStart w:id="153" w:name="_Toc508779712"/>
      <w:bookmarkStart w:id="154" w:name="_Toc511595196"/>
      <w:bookmarkStart w:id="155" w:name="_Toc4646"/>
    </w:p>
    <w:p w14:paraId="4719C462">
      <w:pPr>
        <w:spacing w:line="360" w:lineRule="auto"/>
        <w:ind w:firstLine="210" w:firstLineChars="100"/>
        <w:rPr>
          <w:rFonts w:hint="eastAsia" w:ascii="方正仿宋_GB2312" w:hAnsi="方正仿宋_GB2312" w:eastAsia="方正仿宋_GB2312" w:cs="方正仿宋_GB2312"/>
          <w:color w:val="auto"/>
          <w:sz w:val="21"/>
          <w:szCs w:val="21"/>
          <w:highlight w:val="none"/>
          <w:lang w:eastAsia="zh-CN"/>
        </w:rPr>
      </w:pPr>
      <w:r>
        <w:rPr>
          <w:rFonts w:hint="eastAsia" w:ascii="方正仿宋_GB2312" w:hAnsi="方正仿宋_GB2312" w:eastAsia="方正仿宋_GB2312" w:cs="方正仿宋_GB2312"/>
          <w:color w:val="auto"/>
          <w:sz w:val="21"/>
          <w:szCs w:val="21"/>
          <w:highlight w:val="none"/>
        </w:rPr>
        <w:t>甲  方：</w:t>
      </w:r>
      <w:r>
        <w:rPr>
          <w:rFonts w:hint="eastAsia" w:ascii="方正仿宋_GB2312" w:hAnsi="方正仿宋_GB2312" w:eastAsia="方正仿宋_GB2312" w:cs="方正仿宋_GB2312"/>
          <w:color w:val="auto"/>
          <w:sz w:val="21"/>
          <w:szCs w:val="21"/>
          <w:highlight w:val="none"/>
          <w:u w:val="single"/>
          <w:lang w:eastAsia="zh-CN"/>
        </w:rPr>
        <w:t>马山县百龙滩镇人民政府</w:t>
      </w:r>
      <w:r>
        <w:rPr>
          <w:rFonts w:hint="eastAsia" w:ascii="方正仿宋_GB2312" w:hAnsi="方正仿宋_GB2312" w:eastAsia="方正仿宋_GB2312" w:cs="方正仿宋_GB2312"/>
          <w:color w:val="auto"/>
          <w:sz w:val="21"/>
          <w:szCs w:val="21"/>
          <w:highlight w:val="none"/>
          <w:lang w:eastAsia="zh-CN"/>
        </w:rPr>
        <w:t> </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乙 方：</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u w:val="single"/>
          <w:lang w:val="en-US" w:eastAsia="zh-CN"/>
        </w:rPr>
        <w:t xml:space="preserve">  </w:t>
      </w:r>
      <w:r>
        <w:rPr>
          <w:rFonts w:hint="eastAsia" w:ascii="方正仿宋_GB2312" w:hAnsi="方正仿宋_GB2312" w:eastAsia="方正仿宋_GB2312" w:cs="方正仿宋_GB2312"/>
          <w:color w:val="auto"/>
          <w:sz w:val="21"/>
          <w:szCs w:val="21"/>
          <w:highlight w:val="none"/>
          <w:u w:val="single"/>
        </w:rPr>
        <w:t xml:space="preserve">     </w:t>
      </w:r>
    </w:p>
    <w:p w14:paraId="71AB1E70">
      <w:pPr>
        <w:spacing w:line="360" w:lineRule="auto"/>
        <w:ind w:firstLine="210" w:firstLineChars="1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法定代表人或其</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法定代人或其</w:t>
      </w:r>
    </w:p>
    <w:p w14:paraId="19495DEE">
      <w:pPr>
        <w:spacing w:line="360" w:lineRule="auto"/>
        <w:ind w:firstLine="210" w:firstLineChars="1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授权的代理人：</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u w:val="single"/>
          <w:lang w:val="en-US" w:eastAsia="zh-CN"/>
        </w:rPr>
        <w:t xml:space="preserve"> </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授权的代理人：</w:t>
      </w:r>
      <w:r>
        <w:rPr>
          <w:rFonts w:hint="eastAsia" w:ascii="方正仿宋_GB2312" w:hAnsi="方正仿宋_GB2312" w:eastAsia="方正仿宋_GB2312" w:cs="方正仿宋_GB2312"/>
          <w:color w:val="auto"/>
          <w:sz w:val="21"/>
          <w:szCs w:val="21"/>
          <w:highlight w:val="none"/>
          <w:u w:val="single"/>
        </w:rPr>
        <w:t xml:space="preserve">            </w:t>
      </w:r>
    </w:p>
    <w:p w14:paraId="3B5536DF">
      <w:pPr>
        <w:spacing w:line="360" w:lineRule="auto"/>
        <w:ind w:firstLine="210" w:firstLineChars="1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职  务：</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 xml:space="preserve">职  务： </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p>
    <w:p w14:paraId="55387692">
      <w:pPr>
        <w:spacing w:line="36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姓  名：</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姓  名 ：</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p>
    <w:p w14:paraId="4FB6DB99">
      <w:pPr>
        <w:spacing w:line="360" w:lineRule="auto"/>
        <w:rPr>
          <w:rFonts w:hint="eastAsia" w:ascii="方正仿宋_GB2312" w:hAnsi="方正仿宋_GB2312" w:eastAsia="方正仿宋_GB2312" w:cs="方正仿宋_GB2312"/>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 xml:space="preserve">  签  字：</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签  字：</w:t>
      </w:r>
      <w:r>
        <w:rPr>
          <w:rFonts w:hint="eastAsia" w:ascii="方正仿宋_GB2312" w:hAnsi="方正仿宋_GB2312" w:eastAsia="方正仿宋_GB2312" w:cs="方正仿宋_GB2312"/>
          <w:color w:val="auto"/>
          <w:sz w:val="21"/>
          <w:szCs w:val="21"/>
          <w:highlight w:val="none"/>
          <w:u w:val="single"/>
        </w:rPr>
        <w:t xml:space="preserve">                  </w:t>
      </w:r>
    </w:p>
    <w:p w14:paraId="2BB0B619">
      <w:pPr>
        <w:spacing w:line="360" w:lineRule="auto"/>
        <w:ind w:firstLine="210" w:firstLineChars="1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地  址：</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地</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 xml:space="preserve">  址：</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p>
    <w:p w14:paraId="63ACFBD9">
      <w:pPr>
        <w:spacing w:line="360" w:lineRule="auto"/>
        <w:ind w:firstLine="210" w:firstLineChars="1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日  期：</w:t>
      </w:r>
      <w:r>
        <w:rPr>
          <w:rFonts w:hint="eastAsia" w:ascii="方正仿宋_GB2312" w:hAnsi="方正仿宋_GB2312" w:eastAsia="方正仿宋_GB2312" w:cs="方正仿宋_GB2312"/>
          <w:color w:val="auto"/>
          <w:sz w:val="21"/>
          <w:szCs w:val="21"/>
          <w:highlight w:val="none"/>
          <w:u w:val="single"/>
          <w:lang w:val="en-US" w:eastAsia="zh-CN"/>
        </w:rPr>
        <w:t xml:space="preserve">    </w:t>
      </w:r>
      <w:r>
        <w:rPr>
          <w:rFonts w:hint="eastAsia" w:ascii="方正仿宋_GB2312" w:hAnsi="方正仿宋_GB2312" w:eastAsia="方正仿宋_GB2312" w:cs="方正仿宋_GB2312"/>
          <w:color w:val="auto"/>
          <w:sz w:val="21"/>
          <w:szCs w:val="21"/>
          <w:highlight w:val="none"/>
        </w:rPr>
        <w:t>年</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月</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日  </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日  期：</w:t>
      </w:r>
      <w:r>
        <w:rPr>
          <w:rFonts w:hint="eastAsia" w:ascii="方正仿宋_GB2312" w:hAnsi="方正仿宋_GB2312" w:eastAsia="方正仿宋_GB2312" w:cs="方正仿宋_GB2312"/>
          <w:color w:val="auto"/>
          <w:sz w:val="21"/>
          <w:szCs w:val="21"/>
          <w:highlight w:val="none"/>
          <w:u w:val="single"/>
          <w:lang w:val="en-US" w:eastAsia="zh-CN"/>
        </w:rPr>
        <w:t xml:space="preserve">   </w:t>
      </w:r>
      <w:r>
        <w:rPr>
          <w:rFonts w:hint="eastAsia" w:ascii="方正仿宋_GB2312" w:hAnsi="方正仿宋_GB2312" w:eastAsia="方正仿宋_GB2312" w:cs="方正仿宋_GB2312"/>
          <w:color w:val="auto"/>
          <w:sz w:val="21"/>
          <w:szCs w:val="21"/>
          <w:highlight w:val="none"/>
        </w:rPr>
        <w:t>年</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月</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日</w:t>
      </w:r>
    </w:p>
    <w:p w14:paraId="5ABAFF82">
      <w:pPr>
        <w:snapToGrid w:val="0"/>
        <w:spacing w:line="360" w:lineRule="auto"/>
        <w:jc w:val="center"/>
        <w:outlineLvl w:val="9"/>
        <w:rPr>
          <w:rFonts w:hint="eastAsia" w:ascii="方正仿宋_GB2312" w:hAnsi="方正仿宋_GB2312" w:eastAsia="方正仿宋_GB2312" w:cs="方正仿宋_GB2312"/>
          <w:b/>
          <w:bCs/>
          <w:color w:val="auto"/>
          <w:spacing w:val="60"/>
          <w:sz w:val="36"/>
          <w:szCs w:val="36"/>
          <w:highlight w:val="none"/>
        </w:rPr>
      </w:pPr>
      <w:r>
        <w:rPr>
          <w:rFonts w:hint="eastAsia" w:ascii="方正仿宋_GB2312" w:hAnsi="方正仿宋_GB2312" w:eastAsia="方正仿宋_GB2312" w:cs="方正仿宋_GB2312"/>
          <w:color w:val="auto"/>
          <w:highlight w:val="none"/>
        </w:rPr>
        <w:br w:type="page"/>
      </w:r>
      <w:bookmarkEnd w:id="152"/>
      <w:bookmarkEnd w:id="153"/>
      <w:bookmarkEnd w:id="154"/>
      <w:bookmarkEnd w:id="155"/>
      <w:r>
        <w:rPr>
          <w:rFonts w:hint="eastAsia" w:ascii="方正仿宋_GB2312" w:hAnsi="方正仿宋_GB2312" w:eastAsia="方正仿宋_GB2312" w:cs="方正仿宋_GB2312"/>
          <w:b/>
          <w:bCs/>
          <w:color w:val="auto"/>
          <w:spacing w:val="60"/>
          <w:sz w:val="36"/>
          <w:szCs w:val="36"/>
          <w:highlight w:val="none"/>
        </w:rPr>
        <w:t>通用合同条款</w:t>
      </w:r>
    </w:p>
    <w:p w14:paraId="16146F77">
      <w:pPr>
        <w:tabs>
          <w:tab w:val="left" w:pos="1080"/>
        </w:tabs>
        <w:spacing w:line="360" w:lineRule="exact"/>
        <w:ind w:firstLine="420" w:firstLineChars="200"/>
        <w:rPr>
          <w:rFonts w:hint="eastAsia" w:ascii="方正仿宋_GB2312" w:hAnsi="方正仿宋_GB2312" w:eastAsia="方正仿宋_GB2312" w:cs="方正仿宋_GB2312"/>
          <w:color w:val="auto"/>
          <w:sz w:val="21"/>
          <w:szCs w:val="21"/>
          <w:highlight w:val="none"/>
        </w:rPr>
      </w:pPr>
    </w:p>
    <w:p w14:paraId="7F537B3A">
      <w:pPr>
        <w:tabs>
          <w:tab w:val="left" w:pos="1080"/>
        </w:tabs>
        <w:spacing w:line="360" w:lineRule="exact"/>
        <w:ind w:firstLine="420" w:firstLine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b/>
          <w:color w:val="auto"/>
          <w:sz w:val="21"/>
          <w:szCs w:val="21"/>
          <w:highlight w:val="none"/>
        </w:rPr>
        <w:t>公路工程</w:t>
      </w:r>
      <w:r>
        <w:rPr>
          <w:rFonts w:hint="eastAsia" w:ascii="方正仿宋_GB2312" w:hAnsi="方正仿宋_GB2312" w:eastAsia="方正仿宋_GB2312" w:cs="方正仿宋_GB2312"/>
          <w:b/>
          <w:color w:val="auto"/>
          <w:sz w:val="21"/>
          <w:szCs w:val="21"/>
          <w:highlight w:val="none"/>
          <w:lang w:eastAsia="zh-CN"/>
        </w:rPr>
        <w:t>通用</w:t>
      </w:r>
      <w:r>
        <w:rPr>
          <w:rFonts w:hint="eastAsia" w:ascii="方正仿宋_GB2312" w:hAnsi="方正仿宋_GB2312" w:eastAsia="方正仿宋_GB2312" w:cs="方正仿宋_GB2312"/>
          <w:b/>
          <w:color w:val="auto"/>
          <w:sz w:val="21"/>
          <w:szCs w:val="21"/>
          <w:highlight w:val="none"/>
        </w:rPr>
        <w:t>合同条款”采用交通运输部《公路工程标准施工招标文件》（2018年版）的“公路工程</w:t>
      </w:r>
      <w:r>
        <w:rPr>
          <w:rFonts w:hint="eastAsia" w:ascii="方正仿宋_GB2312" w:hAnsi="方正仿宋_GB2312" w:eastAsia="方正仿宋_GB2312" w:cs="方正仿宋_GB2312"/>
          <w:b/>
          <w:color w:val="auto"/>
          <w:sz w:val="21"/>
          <w:szCs w:val="21"/>
          <w:highlight w:val="none"/>
          <w:lang w:eastAsia="zh-CN"/>
        </w:rPr>
        <w:t>通用</w:t>
      </w:r>
      <w:r>
        <w:rPr>
          <w:rFonts w:hint="eastAsia" w:ascii="方正仿宋_GB2312" w:hAnsi="方正仿宋_GB2312" w:eastAsia="方正仿宋_GB2312" w:cs="方正仿宋_GB2312"/>
          <w:b/>
          <w:color w:val="auto"/>
          <w:sz w:val="21"/>
          <w:szCs w:val="21"/>
          <w:highlight w:val="none"/>
        </w:rPr>
        <w:t>合同条款”。</w:t>
      </w:r>
    </w:p>
    <w:p w14:paraId="6921F8C2">
      <w:pPr>
        <w:tabs>
          <w:tab w:val="left" w:pos="1080"/>
        </w:tabs>
        <w:spacing w:line="360" w:lineRule="exact"/>
        <w:jc w:val="both"/>
        <w:rPr>
          <w:rFonts w:hint="eastAsia" w:ascii="方正仿宋_GB2312" w:hAnsi="方正仿宋_GB2312" w:eastAsia="方正仿宋_GB2312" w:cs="方正仿宋_GB2312"/>
          <w:b/>
          <w:color w:val="auto"/>
          <w:sz w:val="21"/>
          <w:szCs w:val="21"/>
          <w:highlight w:val="none"/>
        </w:rPr>
      </w:pPr>
    </w:p>
    <w:p w14:paraId="74DE9D9B">
      <w:pPr>
        <w:tabs>
          <w:tab w:val="left" w:pos="1080"/>
        </w:tabs>
        <w:spacing w:line="360" w:lineRule="exact"/>
        <w:ind w:left="-359" w:leftChars="-171"/>
        <w:jc w:val="center"/>
        <w:rPr>
          <w:rFonts w:hint="eastAsia" w:ascii="方正仿宋_GB2312" w:hAnsi="方正仿宋_GB2312" w:eastAsia="方正仿宋_GB2312" w:cs="方正仿宋_GB2312"/>
          <w:b/>
          <w:color w:val="auto"/>
          <w:sz w:val="21"/>
          <w:szCs w:val="21"/>
          <w:highlight w:val="none"/>
        </w:rPr>
      </w:pPr>
    </w:p>
    <w:p w14:paraId="096BB182">
      <w:pPr>
        <w:tabs>
          <w:tab w:val="left" w:pos="1080"/>
        </w:tabs>
        <w:spacing w:line="360" w:lineRule="exact"/>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注：《公路工程标准施工招标文件》（2018年版）由</w:t>
      </w:r>
      <w:r>
        <w:rPr>
          <w:rFonts w:hint="eastAsia" w:ascii="方正仿宋_GB2312" w:hAnsi="方正仿宋_GB2312" w:eastAsia="方正仿宋_GB2312" w:cs="方正仿宋_GB2312"/>
          <w:color w:val="auto"/>
          <w:sz w:val="21"/>
          <w:szCs w:val="21"/>
          <w:highlight w:val="none"/>
          <w:lang w:eastAsia="zh-CN"/>
        </w:rPr>
        <w:t>承包人</w:t>
      </w:r>
      <w:r>
        <w:rPr>
          <w:rFonts w:hint="eastAsia" w:ascii="方正仿宋_GB2312" w:hAnsi="方正仿宋_GB2312" w:eastAsia="方正仿宋_GB2312" w:cs="方正仿宋_GB2312"/>
          <w:color w:val="auto"/>
          <w:sz w:val="21"/>
          <w:szCs w:val="21"/>
          <w:highlight w:val="none"/>
        </w:rPr>
        <w:t>自行到书店购买。</w:t>
      </w:r>
    </w:p>
    <w:p w14:paraId="4B01F4DC">
      <w:pPr>
        <w:snapToGrid w:val="0"/>
        <w:spacing w:line="360" w:lineRule="auto"/>
        <w:jc w:val="center"/>
        <w:outlineLvl w:val="9"/>
        <w:rPr>
          <w:rFonts w:hint="eastAsia" w:ascii="方正仿宋_GB2312" w:hAnsi="方正仿宋_GB2312" w:eastAsia="方正仿宋_GB2312" w:cs="方正仿宋_GB2312"/>
          <w:b/>
          <w:bCs/>
          <w:color w:val="auto"/>
          <w:spacing w:val="60"/>
          <w:sz w:val="36"/>
          <w:szCs w:val="36"/>
          <w:highlight w:val="none"/>
        </w:rPr>
      </w:pPr>
      <w:r>
        <w:rPr>
          <w:rFonts w:hint="eastAsia" w:ascii="方正仿宋_GB2312" w:hAnsi="方正仿宋_GB2312" w:eastAsia="方正仿宋_GB2312" w:cs="方正仿宋_GB2312"/>
          <w:bCs/>
          <w:color w:val="auto"/>
          <w:spacing w:val="60"/>
          <w:sz w:val="52"/>
          <w:szCs w:val="52"/>
          <w:highlight w:val="none"/>
        </w:rPr>
        <w:br w:type="page"/>
      </w:r>
      <w:r>
        <w:rPr>
          <w:rFonts w:hint="eastAsia" w:ascii="方正仿宋_GB2312" w:hAnsi="方正仿宋_GB2312" w:eastAsia="方正仿宋_GB2312" w:cs="方正仿宋_GB2312"/>
          <w:b/>
          <w:bCs/>
          <w:color w:val="auto"/>
          <w:spacing w:val="60"/>
          <w:sz w:val="36"/>
          <w:szCs w:val="36"/>
          <w:highlight w:val="none"/>
        </w:rPr>
        <w:t>专用合同条款</w:t>
      </w:r>
    </w:p>
    <w:p w14:paraId="1BBEB0FF">
      <w:pPr>
        <w:tabs>
          <w:tab w:val="left" w:pos="1080"/>
        </w:tabs>
        <w:spacing w:line="360" w:lineRule="exact"/>
        <w:ind w:left="-359" w:leftChars="-171"/>
        <w:jc w:val="center"/>
        <w:rPr>
          <w:rFonts w:hint="eastAsia" w:ascii="方正仿宋_GB2312" w:hAnsi="方正仿宋_GB2312" w:eastAsia="方正仿宋_GB2312" w:cs="方正仿宋_GB2312"/>
          <w:b/>
          <w:color w:val="auto"/>
          <w:sz w:val="30"/>
          <w:szCs w:val="30"/>
          <w:highlight w:val="none"/>
        </w:rPr>
      </w:pPr>
    </w:p>
    <w:p w14:paraId="28B9F27C">
      <w:pPr>
        <w:tabs>
          <w:tab w:val="left" w:pos="1080"/>
        </w:tabs>
        <w:spacing w:line="360" w:lineRule="exact"/>
        <w:ind w:left="-359" w:leftChars="-171"/>
        <w:jc w:val="center"/>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A.公路工程专用合同条款</w:t>
      </w:r>
    </w:p>
    <w:p w14:paraId="3354ED97">
      <w:pPr>
        <w:tabs>
          <w:tab w:val="left" w:pos="1080"/>
        </w:tabs>
        <w:spacing w:line="360" w:lineRule="exact"/>
        <w:ind w:left="-359" w:leftChars="-171"/>
        <w:jc w:val="center"/>
        <w:rPr>
          <w:rFonts w:hint="eastAsia" w:ascii="方正仿宋_GB2312" w:hAnsi="方正仿宋_GB2312" w:eastAsia="方正仿宋_GB2312" w:cs="方正仿宋_GB2312"/>
          <w:b/>
          <w:color w:val="auto"/>
          <w:sz w:val="30"/>
          <w:szCs w:val="30"/>
          <w:highlight w:val="none"/>
        </w:rPr>
      </w:pPr>
    </w:p>
    <w:p w14:paraId="0A11449E">
      <w:pPr>
        <w:tabs>
          <w:tab w:val="left" w:pos="1080"/>
        </w:tabs>
        <w:spacing w:line="360" w:lineRule="exact"/>
        <w:ind w:firstLine="420" w:firstLine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b/>
          <w:color w:val="auto"/>
          <w:sz w:val="21"/>
          <w:szCs w:val="21"/>
          <w:highlight w:val="none"/>
        </w:rPr>
        <w:t>公路工程专用合同条款”采用交通运输部《公路工程标准施工招标文件》（2018年版）的“公路工程专用合同条款”。</w:t>
      </w:r>
    </w:p>
    <w:p w14:paraId="3ED2613D">
      <w:pPr>
        <w:tabs>
          <w:tab w:val="left" w:pos="1080"/>
        </w:tabs>
        <w:spacing w:line="360" w:lineRule="exact"/>
        <w:jc w:val="both"/>
        <w:rPr>
          <w:rFonts w:hint="eastAsia" w:ascii="方正仿宋_GB2312" w:hAnsi="方正仿宋_GB2312" w:eastAsia="方正仿宋_GB2312" w:cs="方正仿宋_GB2312"/>
          <w:b/>
          <w:color w:val="auto"/>
          <w:sz w:val="21"/>
          <w:szCs w:val="21"/>
          <w:highlight w:val="none"/>
        </w:rPr>
      </w:pPr>
    </w:p>
    <w:p w14:paraId="4E6A87E0">
      <w:pPr>
        <w:tabs>
          <w:tab w:val="left" w:pos="1080"/>
        </w:tabs>
        <w:spacing w:line="360" w:lineRule="exact"/>
        <w:ind w:left="-359" w:leftChars="-171"/>
        <w:jc w:val="center"/>
        <w:rPr>
          <w:rFonts w:hint="eastAsia" w:ascii="方正仿宋_GB2312" w:hAnsi="方正仿宋_GB2312" w:eastAsia="方正仿宋_GB2312" w:cs="方正仿宋_GB2312"/>
          <w:b/>
          <w:color w:val="auto"/>
          <w:sz w:val="21"/>
          <w:szCs w:val="21"/>
          <w:highlight w:val="none"/>
        </w:rPr>
      </w:pPr>
    </w:p>
    <w:p w14:paraId="109A469D">
      <w:pPr>
        <w:tabs>
          <w:tab w:val="left" w:pos="1080"/>
        </w:tabs>
        <w:spacing w:line="360" w:lineRule="exact"/>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注：《公路工程标准施工招标文件》（2018年版）由</w:t>
      </w:r>
      <w:r>
        <w:rPr>
          <w:rFonts w:hint="eastAsia" w:ascii="方正仿宋_GB2312" w:hAnsi="方正仿宋_GB2312" w:eastAsia="方正仿宋_GB2312" w:cs="方正仿宋_GB2312"/>
          <w:color w:val="auto"/>
          <w:sz w:val="21"/>
          <w:szCs w:val="21"/>
          <w:highlight w:val="none"/>
          <w:lang w:eastAsia="zh-CN"/>
        </w:rPr>
        <w:t>承包人</w:t>
      </w:r>
      <w:r>
        <w:rPr>
          <w:rFonts w:hint="eastAsia" w:ascii="方正仿宋_GB2312" w:hAnsi="方正仿宋_GB2312" w:eastAsia="方正仿宋_GB2312" w:cs="方正仿宋_GB2312"/>
          <w:color w:val="auto"/>
          <w:sz w:val="21"/>
          <w:szCs w:val="21"/>
          <w:highlight w:val="none"/>
        </w:rPr>
        <w:t>自行到书店购买。</w:t>
      </w:r>
    </w:p>
    <w:p w14:paraId="0E8F366C">
      <w:pPr>
        <w:tabs>
          <w:tab w:val="left" w:pos="1080"/>
        </w:tabs>
        <w:spacing w:line="360" w:lineRule="exact"/>
        <w:ind w:left="-359" w:leftChars="-171"/>
        <w:jc w:val="center"/>
        <w:rPr>
          <w:rFonts w:hint="eastAsia" w:ascii="方正仿宋_GB2312" w:hAnsi="方正仿宋_GB2312" w:eastAsia="方正仿宋_GB2312" w:cs="方正仿宋_GB2312"/>
          <w:b/>
          <w:color w:val="auto"/>
          <w:sz w:val="30"/>
          <w:szCs w:val="30"/>
          <w:highlight w:val="none"/>
        </w:rPr>
      </w:pPr>
    </w:p>
    <w:p w14:paraId="580B1F3D">
      <w:pPr>
        <w:snapToGrid w:val="0"/>
        <w:spacing w:line="360" w:lineRule="auto"/>
        <w:ind w:firstLine="280"/>
        <w:jc w:val="center"/>
        <w:outlineLvl w:val="9"/>
        <w:rPr>
          <w:rFonts w:hint="eastAsia" w:ascii="方正仿宋_GB2312" w:hAnsi="方正仿宋_GB2312" w:eastAsia="方正仿宋_GB2312" w:cs="方正仿宋_GB2312"/>
          <w:b/>
          <w:bCs w:val="0"/>
          <w:color w:val="auto"/>
          <w:spacing w:val="60"/>
          <w:sz w:val="28"/>
          <w:szCs w:val="28"/>
          <w:highlight w:val="none"/>
        </w:rPr>
      </w:pPr>
    </w:p>
    <w:p w14:paraId="09A84BAB">
      <w:pPr>
        <w:snapToGrid w:val="0"/>
        <w:spacing w:line="360" w:lineRule="auto"/>
        <w:ind w:firstLine="280"/>
        <w:jc w:val="center"/>
        <w:outlineLvl w:val="9"/>
        <w:rPr>
          <w:rFonts w:hint="eastAsia" w:ascii="方正仿宋_GB2312" w:hAnsi="方正仿宋_GB2312" w:eastAsia="方正仿宋_GB2312" w:cs="方正仿宋_GB2312"/>
          <w:b/>
          <w:bCs w:val="0"/>
          <w:color w:val="auto"/>
          <w:spacing w:val="60"/>
          <w:sz w:val="28"/>
          <w:szCs w:val="28"/>
          <w:highlight w:val="none"/>
        </w:rPr>
      </w:pPr>
      <w:r>
        <w:rPr>
          <w:rFonts w:hint="eastAsia" w:ascii="方正仿宋_GB2312" w:hAnsi="方正仿宋_GB2312" w:eastAsia="方正仿宋_GB2312" w:cs="方正仿宋_GB2312"/>
          <w:b/>
          <w:bCs w:val="0"/>
          <w:color w:val="auto"/>
          <w:spacing w:val="60"/>
          <w:sz w:val="28"/>
          <w:szCs w:val="28"/>
          <w:highlight w:val="none"/>
        </w:rPr>
        <w:t>B.项目专用条款</w:t>
      </w:r>
    </w:p>
    <w:p w14:paraId="4726FD9F">
      <w:pPr>
        <w:tabs>
          <w:tab w:val="left" w:pos="1080"/>
        </w:tabs>
        <w:spacing w:line="360" w:lineRule="exac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说明：</w:t>
      </w:r>
    </w:p>
    <w:p w14:paraId="1FFDDDB6">
      <w:pPr>
        <w:tabs>
          <w:tab w:val="left" w:pos="1080"/>
        </w:tabs>
        <w:spacing w:line="400" w:lineRule="exact"/>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1.招标人在根据《公路工程标准施工招标文件》</w:t>
      </w:r>
      <w:r>
        <w:rPr>
          <w:rFonts w:hint="eastAsia" w:ascii="方正仿宋_GB2312" w:hAnsi="方正仿宋_GB2312" w:eastAsia="方正仿宋_GB2312" w:cs="方正仿宋_GB2312"/>
          <w:color w:val="auto"/>
          <w:sz w:val="21"/>
          <w:szCs w:val="21"/>
          <w:highlight w:val="none"/>
          <w:lang w:eastAsia="zh-CN"/>
        </w:rPr>
        <w:t>（</w:t>
      </w:r>
      <w:r>
        <w:rPr>
          <w:rFonts w:hint="eastAsia" w:ascii="方正仿宋_GB2312" w:hAnsi="方正仿宋_GB2312" w:eastAsia="方正仿宋_GB2312" w:cs="方正仿宋_GB2312"/>
          <w:color w:val="auto"/>
          <w:sz w:val="21"/>
          <w:szCs w:val="21"/>
          <w:highlight w:val="none"/>
          <w:lang w:val="en-US" w:eastAsia="zh-CN"/>
        </w:rPr>
        <w:t>2018年版</w:t>
      </w:r>
      <w:r>
        <w:rPr>
          <w:rFonts w:hint="eastAsia" w:ascii="方正仿宋_GB2312" w:hAnsi="方正仿宋_GB2312" w:eastAsia="方正仿宋_GB2312" w:cs="方正仿宋_GB2312"/>
          <w:color w:val="auto"/>
          <w:sz w:val="21"/>
          <w:szCs w:val="21"/>
          <w:highlight w:val="none"/>
          <w:lang w:eastAsia="zh-CN"/>
        </w:rPr>
        <w:t>）</w:t>
      </w:r>
      <w:r>
        <w:rPr>
          <w:rFonts w:hint="eastAsia" w:ascii="方正仿宋_GB2312" w:hAnsi="方正仿宋_GB2312" w:eastAsia="方正仿宋_GB2312" w:cs="方正仿宋_GB2312"/>
          <w:color w:val="auto"/>
          <w:sz w:val="21"/>
          <w:szCs w:val="21"/>
          <w:highlight w:val="none"/>
        </w:rPr>
        <w:t>编制项目招标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不同内容，不得违反法律、行政法规的强制性规定和平等、自愿、公平和诚实信用原则。</w:t>
      </w:r>
    </w:p>
    <w:p w14:paraId="2DE758A4">
      <w:pPr>
        <w:tabs>
          <w:tab w:val="left" w:pos="1080"/>
        </w:tabs>
        <w:spacing w:line="400" w:lineRule="exact"/>
        <w:ind w:firstLine="42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2.项目专用合同条款的编号应与通用合同条款和公路工程专用合同条款一致。</w:t>
      </w:r>
    </w:p>
    <w:p w14:paraId="5C3B2255">
      <w:pPr>
        <w:tabs>
          <w:tab w:val="left" w:pos="1080"/>
        </w:tabs>
        <w:spacing w:line="400" w:lineRule="exact"/>
        <w:ind w:firstLine="42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3.项目专用合同条款可对下列内容进行补充和细化：</w:t>
      </w:r>
    </w:p>
    <w:p w14:paraId="3C8873D7">
      <w:pPr>
        <w:tabs>
          <w:tab w:val="left" w:pos="1080"/>
        </w:tabs>
        <w:spacing w:line="400" w:lineRule="exact"/>
        <w:ind w:firstLine="42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079848E9">
      <w:pPr>
        <w:tabs>
          <w:tab w:val="left" w:pos="1080"/>
        </w:tabs>
        <w:spacing w:line="400" w:lineRule="exact"/>
        <w:ind w:firstLine="42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5D27DB96">
      <w:pPr>
        <w:tabs>
          <w:tab w:val="left" w:pos="1080"/>
        </w:tabs>
        <w:spacing w:line="400" w:lineRule="exact"/>
        <w:ind w:firstLine="42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（3）其他需要补充、细化的内容。</w:t>
      </w:r>
    </w:p>
    <w:p w14:paraId="6EBFBE4A">
      <w:pPr>
        <w:snapToGrid w:val="0"/>
        <w:spacing w:line="360" w:lineRule="auto"/>
        <w:ind w:firstLine="1200" w:firstLineChars="300"/>
        <w:outlineLvl w:val="9"/>
        <w:rPr>
          <w:rFonts w:hint="eastAsia" w:ascii="方正仿宋_GB2312" w:hAnsi="方正仿宋_GB2312" w:eastAsia="方正仿宋_GB2312" w:cs="方正仿宋_GB2312"/>
          <w:bCs/>
          <w:color w:val="auto"/>
          <w:spacing w:val="60"/>
          <w:sz w:val="28"/>
          <w:szCs w:val="28"/>
          <w:highlight w:val="none"/>
        </w:rPr>
      </w:pPr>
    </w:p>
    <w:p w14:paraId="79207E57">
      <w:pPr>
        <w:spacing w:line="840" w:lineRule="auto"/>
        <w:jc w:val="center"/>
        <w:rPr>
          <w:rFonts w:hint="eastAsia" w:ascii="方正仿宋_GB2312" w:hAnsi="方正仿宋_GB2312" w:eastAsia="方正仿宋_GB2312" w:cs="方正仿宋_GB2312"/>
          <w:color w:val="auto"/>
          <w:sz w:val="48"/>
          <w:szCs w:val="48"/>
          <w:highlight w:val="none"/>
        </w:rPr>
      </w:pPr>
    </w:p>
    <w:p w14:paraId="5D649FF4">
      <w:pPr>
        <w:tabs>
          <w:tab w:val="left" w:pos="1080"/>
        </w:tabs>
        <w:spacing w:line="360" w:lineRule="exact"/>
        <w:jc w:val="center"/>
        <w:rPr>
          <w:rFonts w:hint="eastAsia" w:ascii="方正仿宋_GB2312" w:hAnsi="方正仿宋_GB2312" w:eastAsia="方正仿宋_GB2312" w:cs="方正仿宋_GB2312"/>
          <w:b/>
          <w:color w:val="auto"/>
          <w:sz w:val="28"/>
          <w:szCs w:val="28"/>
          <w:highlight w:val="none"/>
        </w:rPr>
      </w:pPr>
      <w:bookmarkStart w:id="156" w:name="_Toc406939642"/>
      <w:r>
        <w:rPr>
          <w:rFonts w:hint="eastAsia" w:ascii="方正仿宋_GB2312" w:hAnsi="方正仿宋_GB2312" w:eastAsia="方正仿宋_GB2312" w:cs="方正仿宋_GB2312"/>
          <w:b/>
          <w:color w:val="auto"/>
          <w:sz w:val="28"/>
          <w:szCs w:val="28"/>
          <w:highlight w:val="none"/>
        </w:rPr>
        <w:t>项目专用合同条款数据表</w:t>
      </w:r>
    </w:p>
    <w:p w14:paraId="3EFD0906">
      <w:pPr>
        <w:tabs>
          <w:tab w:val="left" w:pos="1080"/>
        </w:tabs>
        <w:spacing w:line="360" w:lineRule="exact"/>
        <w:rPr>
          <w:rFonts w:hint="eastAsia" w:ascii="方正仿宋_GB2312" w:hAnsi="方正仿宋_GB2312" w:eastAsia="方正仿宋_GB2312" w:cs="方正仿宋_GB2312"/>
          <w:color w:val="auto"/>
          <w:sz w:val="28"/>
          <w:szCs w:val="28"/>
          <w:highlight w:val="none"/>
        </w:rPr>
      </w:pPr>
    </w:p>
    <w:p w14:paraId="52EFB597">
      <w:pPr>
        <w:tabs>
          <w:tab w:val="left" w:pos="1080"/>
        </w:tabs>
        <w:spacing w:line="400" w:lineRule="exac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
          <w:color w:val="auto"/>
          <w:sz w:val="21"/>
          <w:szCs w:val="21"/>
          <w:highlight w:val="none"/>
        </w:rPr>
        <w:t>说明：</w:t>
      </w:r>
      <w:r>
        <w:rPr>
          <w:rFonts w:hint="eastAsia" w:ascii="方正仿宋_GB2312" w:hAnsi="方正仿宋_GB2312" w:eastAsia="方正仿宋_GB2312" w:cs="方正仿宋_GB2312"/>
          <w:color w:val="auto"/>
          <w:sz w:val="21"/>
          <w:szCs w:val="21"/>
          <w:highlight w:val="none"/>
        </w:rPr>
        <w:t>本数据表是项目专用合同条款中适用于本项目的信息和数据的归纳与提示，是项目专用合同条款的组成部分。第九章“投标文件格式”的投标函附录中的数据（供投标人确认）与本表所列有重复。编写招标文件的单位应仔细校核，不使数据出现差错或不一致。</w:t>
      </w:r>
    </w:p>
    <w:p w14:paraId="3EDD7918">
      <w:pPr>
        <w:tabs>
          <w:tab w:val="left" w:pos="1080"/>
        </w:tabs>
        <w:spacing w:line="360" w:lineRule="exact"/>
        <w:rPr>
          <w:rFonts w:hint="eastAsia" w:ascii="方正仿宋_GB2312" w:hAnsi="方正仿宋_GB2312" w:eastAsia="方正仿宋_GB2312" w:cs="方正仿宋_GB2312"/>
          <w:color w:val="auto"/>
          <w:sz w:val="24"/>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72"/>
        <w:gridCol w:w="7205"/>
      </w:tblGrid>
      <w:tr w14:paraId="52DF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18" w:type="dxa"/>
            <w:noWrap w:val="0"/>
            <w:vAlign w:val="center"/>
          </w:tcPr>
          <w:p w14:paraId="08EE9B9C">
            <w:pPr>
              <w:shd w:val="clear"/>
              <w:tabs>
                <w:tab w:val="left" w:pos="1080"/>
              </w:tabs>
              <w:spacing w:line="360" w:lineRule="exact"/>
              <w:jc w:val="center"/>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序号</w:t>
            </w:r>
          </w:p>
        </w:tc>
        <w:tc>
          <w:tcPr>
            <w:tcW w:w="1272" w:type="dxa"/>
            <w:noWrap w:val="0"/>
            <w:vAlign w:val="center"/>
          </w:tcPr>
          <w:p w14:paraId="4F32758F">
            <w:pPr>
              <w:shd w:val="clear"/>
              <w:tabs>
                <w:tab w:val="left" w:pos="1080"/>
              </w:tabs>
              <w:spacing w:line="360" w:lineRule="exact"/>
              <w:jc w:val="center"/>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条目号</w:t>
            </w:r>
          </w:p>
        </w:tc>
        <w:tc>
          <w:tcPr>
            <w:tcW w:w="7205" w:type="dxa"/>
            <w:noWrap w:val="0"/>
            <w:vAlign w:val="center"/>
          </w:tcPr>
          <w:p w14:paraId="2411DC84">
            <w:pPr>
              <w:shd w:val="clear"/>
              <w:tabs>
                <w:tab w:val="left" w:pos="1080"/>
              </w:tabs>
              <w:spacing w:line="360" w:lineRule="exact"/>
              <w:jc w:val="center"/>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信 息 或 数 据</w:t>
            </w:r>
          </w:p>
        </w:tc>
      </w:tr>
      <w:tr w14:paraId="6348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18" w:type="dxa"/>
            <w:noWrap w:val="0"/>
            <w:vAlign w:val="center"/>
          </w:tcPr>
          <w:p w14:paraId="7F7D549E">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w:t>
            </w:r>
          </w:p>
        </w:tc>
        <w:tc>
          <w:tcPr>
            <w:tcW w:w="1272" w:type="dxa"/>
            <w:noWrap w:val="0"/>
            <w:vAlign w:val="center"/>
          </w:tcPr>
          <w:p w14:paraId="5CA4D566">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1.1.2.2</w:t>
            </w:r>
          </w:p>
        </w:tc>
        <w:tc>
          <w:tcPr>
            <w:tcW w:w="7205" w:type="dxa"/>
            <w:noWrap w:val="0"/>
            <w:vAlign w:val="top"/>
          </w:tcPr>
          <w:p w14:paraId="1545225B">
            <w:pPr>
              <w:shd w:val="clear"/>
              <w:spacing w:line="300" w:lineRule="auto"/>
              <w:ind w:firstLine="113" w:firstLineChars="50"/>
              <w:jc w:val="left"/>
              <w:rPr>
                <w:rFonts w:hint="eastAsia" w:ascii="方正仿宋_GB2312" w:hAnsi="方正仿宋_GB2312" w:eastAsia="方正仿宋_GB2312" w:cs="方正仿宋_GB2312"/>
                <w:color w:val="auto"/>
                <w:spacing w:val="8"/>
                <w:sz w:val="21"/>
                <w:szCs w:val="21"/>
                <w:highlight w:val="none"/>
                <w:lang w:eastAsia="zh-CN"/>
              </w:rPr>
            </w:pPr>
            <w:r>
              <w:rPr>
                <w:rFonts w:hint="eastAsia" w:ascii="方正仿宋_GB2312" w:hAnsi="方正仿宋_GB2312" w:eastAsia="方正仿宋_GB2312" w:cs="方正仿宋_GB2312"/>
                <w:color w:val="auto"/>
                <w:spacing w:val="8"/>
                <w:sz w:val="21"/>
                <w:szCs w:val="21"/>
                <w:highlight w:val="none"/>
              </w:rPr>
              <w:t>发 包 人：</w:t>
            </w:r>
            <w:r>
              <w:rPr>
                <w:rFonts w:hint="eastAsia" w:ascii="方正仿宋_GB2312" w:hAnsi="方正仿宋_GB2312" w:eastAsia="方正仿宋_GB2312" w:cs="方正仿宋_GB2312"/>
                <w:color w:val="auto"/>
                <w:spacing w:val="8"/>
                <w:sz w:val="21"/>
                <w:szCs w:val="21"/>
                <w:highlight w:val="none"/>
                <w:lang w:eastAsia="zh-CN"/>
              </w:rPr>
              <w:t>马山县百龙滩镇人民政府 </w:t>
            </w:r>
          </w:p>
          <w:p w14:paraId="0C752CCA">
            <w:pPr>
              <w:shd w:val="clear"/>
              <w:tabs>
                <w:tab w:val="left" w:pos="1080"/>
              </w:tabs>
              <w:spacing w:line="300" w:lineRule="auto"/>
              <w:ind w:firstLine="113" w:firstLineChars="50"/>
              <w:jc w:val="left"/>
              <w:rPr>
                <w:rFonts w:hint="eastAsia" w:ascii="方正仿宋_GB2312" w:hAnsi="方正仿宋_GB2312" w:eastAsia="方正仿宋_GB2312" w:cs="方正仿宋_GB2312"/>
                <w:color w:val="auto"/>
                <w:spacing w:val="8"/>
                <w:sz w:val="21"/>
                <w:szCs w:val="21"/>
                <w:highlight w:val="none"/>
              </w:rPr>
            </w:pPr>
            <w:r>
              <w:rPr>
                <w:rFonts w:hint="eastAsia" w:ascii="方正仿宋_GB2312" w:hAnsi="方正仿宋_GB2312" w:eastAsia="方正仿宋_GB2312" w:cs="方正仿宋_GB2312"/>
                <w:color w:val="auto"/>
                <w:spacing w:val="8"/>
                <w:sz w:val="21"/>
                <w:szCs w:val="21"/>
                <w:highlight w:val="none"/>
              </w:rPr>
              <w:t>地    址：</w:t>
            </w:r>
          </w:p>
          <w:p w14:paraId="7BDE680E">
            <w:pPr>
              <w:shd w:val="clear"/>
              <w:tabs>
                <w:tab w:val="left" w:pos="1080"/>
              </w:tabs>
              <w:spacing w:line="300" w:lineRule="auto"/>
              <w:ind w:firstLine="113" w:firstLineChars="5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pacing w:val="8"/>
                <w:sz w:val="21"/>
                <w:szCs w:val="21"/>
                <w:highlight w:val="none"/>
              </w:rPr>
              <w:t>邮政编码：</w:t>
            </w:r>
          </w:p>
        </w:tc>
      </w:tr>
      <w:tr w14:paraId="600F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18" w:type="dxa"/>
            <w:noWrap w:val="0"/>
            <w:vAlign w:val="center"/>
          </w:tcPr>
          <w:p w14:paraId="7857AB0E">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w:t>
            </w:r>
          </w:p>
        </w:tc>
        <w:tc>
          <w:tcPr>
            <w:tcW w:w="1272" w:type="dxa"/>
            <w:noWrap w:val="0"/>
            <w:vAlign w:val="center"/>
          </w:tcPr>
          <w:p w14:paraId="2564CBA1">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1.1.2.6</w:t>
            </w:r>
          </w:p>
        </w:tc>
        <w:tc>
          <w:tcPr>
            <w:tcW w:w="7205" w:type="dxa"/>
            <w:noWrap w:val="0"/>
            <w:vAlign w:val="top"/>
          </w:tcPr>
          <w:p w14:paraId="07E4DA18">
            <w:pPr>
              <w:shd w:val="clear"/>
              <w:spacing w:line="300" w:lineRule="auto"/>
              <w:ind w:firstLine="113" w:firstLineChars="50"/>
              <w:jc w:val="left"/>
              <w:rPr>
                <w:rFonts w:hint="eastAsia" w:ascii="方正仿宋_GB2312" w:hAnsi="方正仿宋_GB2312" w:eastAsia="方正仿宋_GB2312" w:cs="方正仿宋_GB2312"/>
                <w:color w:val="auto"/>
                <w:spacing w:val="8"/>
                <w:sz w:val="21"/>
                <w:szCs w:val="21"/>
                <w:highlight w:val="none"/>
              </w:rPr>
            </w:pPr>
            <w:r>
              <w:rPr>
                <w:rFonts w:hint="eastAsia" w:ascii="方正仿宋_GB2312" w:hAnsi="方正仿宋_GB2312" w:eastAsia="方正仿宋_GB2312" w:cs="方正仿宋_GB2312"/>
                <w:color w:val="auto"/>
                <w:spacing w:val="8"/>
                <w:sz w:val="21"/>
                <w:szCs w:val="21"/>
                <w:highlight w:val="none"/>
              </w:rPr>
              <w:t>监 理 人：</w:t>
            </w:r>
          </w:p>
          <w:p w14:paraId="058BC6F7">
            <w:pPr>
              <w:shd w:val="clear"/>
              <w:spacing w:line="300" w:lineRule="auto"/>
              <w:ind w:firstLine="113" w:firstLineChars="50"/>
              <w:jc w:val="left"/>
              <w:rPr>
                <w:rFonts w:hint="eastAsia" w:ascii="方正仿宋_GB2312" w:hAnsi="方正仿宋_GB2312" w:eastAsia="方正仿宋_GB2312" w:cs="方正仿宋_GB2312"/>
                <w:color w:val="auto"/>
                <w:spacing w:val="8"/>
                <w:sz w:val="21"/>
                <w:szCs w:val="21"/>
                <w:highlight w:val="none"/>
              </w:rPr>
            </w:pPr>
            <w:r>
              <w:rPr>
                <w:rFonts w:hint="eastAsia" w:ascii="方正仿宋_GB2312" w:hAnsi="方正仿宋_GB2312" w:eastAsia="方正仿宋_GB2312" w:cs="方正仿宋_GB2312"/>
                <w:color w:val="auto"/>
                <w:spacing w:val="8"/>
                <w:sz w:val="21"/>
                <w:szCs w:val="21"/>
                <w:highlight w:val="none"/>
              </w:rPr>
              <w:t xml:space="preserve">地    址： </w:t>
            </w:r>
          </w:p>
          <w:p w14:paraId="657FD679">
            <w:pPr>
              <w:shd w:val="clear"/>
              <w:spacing w:line="300" w:lineRule="auto"/>
              <w:ind w:firstLine="113" w:firstLineChars="5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pacing w:val="8"/>
                <w:sz w:val="21"/>
                <w:szCs w:val="21"/>
                <w:highlight w:val="none"/>
              </w:rPr>
              <w:t xml:space="preserve">邮政编码：   </w:t>
            </w:r>
          </w:p>
        </w:tc>
      </w:tr>
      <w:tr w14:paraId="4E49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18" w:type="dxa"/>
            <w:noWrap w:val="0"/>
            <w:vAlign w:val="center"/>
          </w:tcPr>
          <w:p w14:paraId="257690C9">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w:t>
            </w:r>
          </w:p>
        </w:tc>
        <w:tc>
          <w:tcPr>
            <w:tcW w:w="1272" w:type="dxa"/>
            <w:noWrap w:val="0"/>
            <w:vAlign w:val="center"/>
          </w:tcPr>
          <w:p w14:paraId="5924F5AB">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1.1.4.5</w:t>
            </w:r>
          </w:p>
        </w:tc>
        <w:tc>
          <w:tcPr>
            <w:tcW w:w="7205" w:type="dxa"/>
            <w:noWrap w:val="0"/>
            <w:vAlign w:val="top"/>
          </w:tcPr>
          <w:p w14:paraId="04486A40">
            <w:pPr>
              <w:shd w:val="clear"/>
              <w:tabs>
                <w:tab w:val="left" w:pos="1080"/>
              </w:tabs>
              <w:spacing w:line="440" w:lineRule="exact"/>
              <w:ind w:firstLine="210" w:firstLineChars="10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t>缺陷责任期：</w:t>
            </w:r>
            <w:r>
              <w:rPr>
                <w:rFonts w:hint="eastAsia" w:ascii="方正仿宋_GB2312" w:hAnsi="方正仿宋_GB2312" w:eastAsia="方正仿宋_GB2312" w:cs="方正仿宋_GB2312"/>
                <w:color w:val="auto"/>
                <w:spacing w:val="8"/>
                <w:sz w:val="21"/>
                <w:szCs w:val="21"/>
                <w:highlight w:val="none"/>
              </w:rPr>
              <w:t>自工程</w:t>
            </w:r>
            <w:r>
              <w:rPr>
                <w:rFonts w:hint="eastAsia" w:ascii="方正仿宋_GB2312" w:hAnsi="方正仿宋_GB2312" w:eastAsia="方正仿宋_GB2312" w:cs="方正仿宋_GB2312"/>
                <w:color w:val="auto"/>
                <w:spacing w:val="8"/>
                <w:sz w:val="21"/>
                <w:szCs w:val="21"/>
                <w:highlight w:val="none"/>
                <w:lang w:eastAsia="zh-CN"/>
              </w:rPr>
              <w:t>交工</w:t>
            </w:r>
            <w:r>
              <w:rPr>
                <w:rFonts w:hint="eastAsia" w:ascii="方正仿宋_GB2312" w:hAnsi="方正仿宋_GB2312" w:eastAsia="方正仿宋_GB2312" w:cs="方正仿宋_GB2312"/>
                <w:color w:val="auto"/>
                <w:spacing w:val="8"/>
                <w:sz w:val="21"/>
                <w:szCs w:val="21"/>
                <w:highlight w:val="none"/>
              </w:rPr>
              <w:t>验收认定为合格工程之日起计时</w:t>
            </w:r>
            <w:r>
              <w:rPr>
                <w:rFonts w:hint="eastAsia" w:ascii="方正仿宋_GB2312" w:hAnsi="方正仿宋_GB2312" w:eastAsia="方正仿宋_GB2312" w:cs="方正仿宋_GB2312"/>
                <w:color w:val="auto"/>
                <w:spacing w:val="8"/>
                <w:sz w:val="21"/>
                <w:szCs w:val="21"/>
                <w:highlight w:val="none"/>
                <w:u w:val="single"/>
                <w:lang w:val="en-US" w:eastAsia="zh-CN"/>
              </w:rPr>
              <w:t>1</w:t>
            </w:r>
            <w:r>
              <w:rPr>
                <w:rFonts w:hint="eastAsia" w:ascii="方正仿宋_GB2312" w:hAnsi="方正仿宋_GB2312" w:eastAsia="方正仿宋_GB2312" w:cs="方正仿宋_GB2312"/>
                <w:color w:val="auto"/>
                <w:spacing w:val="8"/>
                <w:sz w:val="21"/>
                <w:szCs w:val="21"/>
                <w:highlight w:val="none"/>
                <w:lang w:eastAsia="zh-CN"/>
              </w:rPr>
              <w:t>年</w:t>
            </w:r>
          </w:p>
        </w:tc>
      </w:tr>
      <w:tr w14:paraId="568B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18" w:type="dxa"/>
            <w:noWrap w:val="0"/>
            <w:vAlign w:val="center"/>
          </w:tcPr>
          <w:p w14:paraId="12BEA2AF">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w:t>
            </w:r>
          </w:p>
        </w:tc>
        <w:tc>
          <w:tcPr>
            <w:tcW w:w="1272" w:type="dxa"/>
            <w:noWrap w:val="0"/>
            <w:vAlign w:val="center"/>
          </w:tcPr>
          <w:p w14:paraId="5C0C1A90">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1.6.3</w:t>
            </w:r>
          </w:p>
        </w:tc>
        <w:tc>
          <w:tcPr>
            <w:tcW w:w="7205" w:type="dxa"/>
            <w:noWrap w:val="0"/>
            <w:vAlign w:val="top"/>
          </w:tcPr>
          <w:p w14:paraId="52E4098C">
            <w:pPr>
              <w:shd w:val="clear"/>
              <w:tabs>
                <w:tab w:val="left" w:pos="1080"/>
              </w:tabs>
              <w:spacing w:line="440" w:lineRule="exact"/>
              <w:ind w:firstLine="210" w:firstLineChars="1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图纸需要修改和补充的，应由监理人取得发包人同意后，在该工程或工程相应部位施工前</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b/>
                <w:color w:val="auto"/>
                <w:sz w:val="21"/>
                <w:szCs w:val="21"/>
                <w:highlight w:val="none"/>
                <w:u w:val="single"/>
              </w:rPr>
              <w:t xml:space="preserve">14 </w:t>
            </w:r>
            <w:r>
              <w:rPr>
                <w:rFonts w:hint="eastAsia" w:ascii="方正仿宋_GB2312" w:hAnsi="方正仿宋_GB2312" w:eastAsia="方正仿宋_GB2312" w:cs="方正仿宋_GB2312"/>
                <w:color w:val="auto"/>
                <w:sz w:val="21"/>
                <w:szCs w:val="21"/>
                <w:highlight w:val="none"/>
              </w:rPr>
              <w:t>天签发图纸修改图给承包人</w:t>
            </w:r>
          </w:p>
        </w:tc>
      </w:tr>
      <w:tr w14:paraId="4F00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818" w:type="dxa"/>
            <w:noWrap w:val="0"/>
            <w:vAlign w:val="center"/>
          </w:tcPr>
          <w:p w14:paraId="6C72A96E">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w:t>
            </w:r>
          </w:p>
        </w:tc>
        <w:tc>
          <w:tcPr>
            <w:tcW w:w="1272" w:type="dxa"/>
            <w:noWrap w:val="0"/>
            <w:vAlign w:val="center"/>
          </w:tcPr>
          <w:p w14:paraId="00E689D7">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3.1.1</w:t>
            </w:r>
          </w:p>
        </w:tc>
        <w:tc>
          <w:tcPr>
            <w:tcW w:w="7205" w:type="dxa"/>
            <w:noWrap w:val="0"/>
            <w:vAlign w:val="top"/>
          </w:tcPr>
          <w:p w14:paraId="352C72ED">
            <w:pPr>
              <w:shd w:val="clea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监理人在行使下列权力前需要经发包人事先批准：</w:t>
            </w:r>
          </w:p>
          <w:p w14:paraId="31A9E9B1">
            <w:pPr>
              <w:shd w:val="clear"/>
              <w:tabs>
                <w:tab w:val="left" w:pos="1080"/>
              </w:tabs>
              <w:spacing w:line="440" w:lineRule="exact"/>
              <w:ind w:firstLine="315" w:firstLineChars="15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（6）根据第15.3款发出的变更指示，其单项工程变更涉及的金额超过了该单项工程签约合同价的</w:t>
            </w:r>
            <w:r>
              <w:rPr>
                <w:rFonts w:hint="eastAsia" w:ascii="方正仿宋_GB2312" w:hAnsi="方正仿宋_GB2312" w:eastAsia="方正仿宋_GB2312" w:cs="方正仿宋_GB2312"/>
                <w:color w:val="auto"/>
                <w:sz w:val="21"/>
                <w:szCs w:val="21"/>
                <w:highlight w:val="none"/>
                <w:u w:val="single"/>
              </w:rPr>
              <w:t xml:space="preserve"> / </w:t>
            </w:r>
            <w:r>
              <w:rPr>
                <w:rFonts w:hint="eastAsia" w:ascii="方正仿宋_GB2312" w:hAnsi="方正仿宋_GB2312" w:eastAsia="方正仿宋_GB2312" w:cs="方正仿宋_GB2312"/>
                <w:color w:val="auto"/>
                <w:sz w:val="21"/>
                <w:szCs w:val="21"/>
                <w:highlight w:val="none"/>
              </w:rPr>
              <w:t>%或累计变更超过了签约合同价的</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%（即凡涉及费用调整的均应事先取得发包人的专门批准）</w:t>
            </w:r>
          </w:p>
        </w:tc>
      </w:tr>
      <w:tr w14:paraId="0798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18" w:type="dxa"/>
            <w:noWrap w:val="0"/>
            <w:vAlign w:val="center"/>
          </w:tcPr>
          <w:p w14:paraId="311763B7">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w:t>
            </w:r>
          </w:p>
        </w:tc>
        <w:tc>
          <w:tcPr>
            <w:tcW w:w="1272" w:type="dxa"/>
            <w:noWrap w:val="0"/>
            <w:vAlign w:val="center"/>
          </w:tcPr>
          <w:p w14:paraId="1928BFA0">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5.2.1</w:t>
            </w:r>
          </w:p>
        </w:tc>
        <w:tc>
          <w:tcPr>
            <w:tcW w:w="7205" w:type="dxa"/>
            <w:noWrap w:val="0"/>
            <w:vAlign w:val="center"/>
          </w:tcPr>
          <w:p w14:paraId="416D8EB8">
            <w:pPr>
              <w:shd w:val="clear"/>
              <w:tabs>
                <w:tab w:val="left" w:pos="1080"/>
              </w:tabs>
              <w:spacing w:line="440" w:lineRule="exact"/>
              <w:ind w:firstLine="210" w:firstLineChars="100"/>
              <w:rPr>
                <w:rFonts w:hint="eastAsia" w:ascii="方正仿宋_GB2312" w:hAnsi="方正仿宋_GB2312" w:eastAsia="方正仿宋_GB2312" w:cs="方正仿宋_GB2312"/>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发包人是否提供材料或施工设备：否</w:t>
            </w:r>
          </w:p>
        </w:tc>
      </w:tr>
      <w:tr w14:paraId="27B7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8" w:type="dxa"/>
            <w:noWrap w:val="0"/>
            <w:vAlign w:val="center"/>
          </w:tcPr>
          <w:p w14:paraId="5E151556">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7</w:t>
            </w:r>
          </w:p>
        </w:tc>
        <w:tc>
          <w:tcPr>
            <w:tcW w:w="1272" w:type="dxa"/>
            <w:noWrap w:val="0"/>
            <w:vAlign w:val="center"/>
          </w:tcPr>
          <w:p w14:paraId="0C223B20">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6.2</w:t>
            </w:r>
          </w:p>
        </w:tc>
        <w:tc>
          <w:tcPr>
            <w:tcW w:w="7205" w:type="dxa"/>
            <w:noWrap w:val="0"/>
            <w:vAlign w:val="center"/>
          </w:tcPr>
          <w:p w14:paraId="1BF1C651">
            <w:pPr>
              <w:shd w:val="clear"/>
              <w:tabs>
                <w:tab w:val="left" w:pos="1080"/>
              </w:tabs>
              <w:spacing w:line="440" w:lineRule="exact"/>
              <w:ind w:firstLine="210" w:firstLineChars="1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发包人是否提供施工设备和临时设施：否</w:t>
            </w:r>
          </w:p>
        </w:tc>
      </w:tr>
      <w:tr w14:paraId="1B5D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18" w:type="dxa"/>
            <w:noWrap w:val="0"/>
            <w:vAlign w:val="center"/>
          </w:tcPr>
          <w:p w14:paraId="0D456D59">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8</w:t>
            </w:r>
          </w:p>
        </w:tc>
        <w:tc>
          <w:tcPr>
            <w:tcW w:w="1272" w:type="dxa"/>
            <w:noWrap w:val="0"/>
            <w:vAlign w:val="center"/>
          </w:tcPr>
          <w:p w14:paraId="7F357F55">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8.1.1</w:t>
            </w:r>
          </w:p>
        </w:tc>
        <w:tc>
          <w:tcPr>
            <w:tcW w:w="7205" w:type="dxa"/>
            <w:noWrap w:val="0"/>
            <w:vAlign w:val="top"/>
          </w:tcPr>
          <w:p w14:paraId="77E13CE6">
            <w:pPr>
              <w:shd w:val="clear"/>
              <w:tabs>
                <w:tab w:val="left" w:pos="1080"/>
              </w:tabs>
              <w:spacing w:line="440" w:lineRule="exact"/>
              <w:ind w:firstLine="210" w:firstLineChars="100"/>
              <w:rPr>
                <w:rFonts w:hint="eastAsia" w:ascii="方正仿宋_GB2312" w:hAnsi="方正仿宋_GB2312" w:eastAsia="方正仿宋_GB2312" w:cs="方正仿宋_GB2312"/>
                <w:color w:val="auto"/>
                <w:sz w:val="21"/>
                <w:szCs w:val="21"/>
                <w:highlight w:val="none"/>
                <w:lang w:eastAsia="zh-CN"/>
              </w:rPr>
            </w:pPr>
            <w:r>
              <w:rPr>
                <w:rFonts w:hint="eastAsia" w:ascii="方正仿宋_GB2312" w:hAnsi="方正仿宋_GB2312" w:eastAsia="方正仿宋_GB2312" w:cs="方正仿宋_GB2312"/>
                <w:color w:val="auto"/>
                <w:sz w:val="21"/>
                <w:szCs w:val="21"/>
                <w:highlight w:val="none"/>
              </w:rPr>
              <w:t>发包人提供测量基准点、基准线和水准点及其书面资料的期限：</w:t>
            </w:r>
            <w:r>
              <w:rPr>
                <w:rFonts w:hint="eastAsia" w:ascii="方正仿宋_GB2312" w:hAnsi="方正仿宋_GB2312" w:eastAsia="方正仿宋_GB2312" w:cs="方正仿宋_GB2312"/>
                <w:b/>
                <w:color w:val="auto"/>
                <w:sz w:val="21"/>
                <w:szCs w:val="21"/>
                <w:highlight w:val="none"/>
                <w:u w:val="single"/>
              </w:rPr>
              <w:t>承包人接到开工通知书后14天内</w:t>
            </w:r>
            <w:r>
              <w:rPr>
                <w:rFonts w:hint="eastAsia" w:ascii="方正仿宋_GB2312" w:hAnsi="方正仿宋_GB2312" w:eastAsia="方正仿宋_GB2312" w:cs="方正仿宋_GB2312"/>
                <w:b/>
                <w:color w:val="auto"/>
                <w:sz w:val="21"/>
                <w:szCs w:val="21"/>
                <w:highlight w:val="none"/>
                <w:u w:val="single"/>
                <w:lang w:eastAsia="zh-CN"/>
              </w:rPr>
              <w:t>。</w:t>
            </w:r>
          </w:p>
          <w:p w14:paraId="7F9B807B">
            <w:pPr>
              <w:shd w:val="clear"/>
              <w:tabs>
                <w:tab w:val="left" w:pos="1080"/>
              </w:tabs>
              <w:spacing w:line="440" w:lineRule="exact"/>
              <w:ind w:firstLine="210" w:firstLineChars="100"/>
              <w:rPr>
                <w:rFonts w:hint="eastAsia" w:ascii="方正仿宋_GB2312" w:hAnsi="方正仿宋_GB2312" w:eastAsia="方正仿宋_GB2312" w:cs="方正仿宋_GB2312"/>
                <w:color w:val="auto"/>
                <w:sz w:val="21"/>
                <w:szCs w:val="21"/>
                <w:highlight w:val="none"/>
                <w:lang w:eastAsia="zh-CN"/>
              </w:rPr>
            </w:pPr>
            <w:r>
              <w:rPr>
                <w:rFonts w:hint="eastAsia" w:ascii="方正仿宋_GB2312" w:hAnsi="方正仿宋_GB2312" w:eastAsia="方正仿宋_GB2312" w:cs="方正仿宋_GB2312"/>
                <w:color w:val="auto"/>
                <w:sz w:val="21"/>
                <w:szCs w:val="21"/>
                <w:highlight w:val="none"/>
              </w:rPr>
              <w:t xml:space="preserve"> 承包人将施工控制网资料报送监理人审批的期限：</w:t>
            </w:r>
            <w:r>
              <w:rPr>
                <w:rFonts w:hint="eastAsia" w:ascii="方正仿宋_GB2312" w:hAnsi="方正仿宋_GB2312" w:eastAsia="方正仿宋_GB2312" w:cs="方正仿宋_GB2312"/>
                <w:b/>
                <w:color w:val="auto"/>
                <w:sz w:val="21"/>
                <w:szCs w:val="21"/>
                <w:highlight w:val="none"/>
                <w:u w:val="single"/>
              </w:rPr>
              <w:t>工程（单项工程）开工7天前</w:t>
            </w:r>
            <w:r>
              <w:rPr>
                <w:rFonts w:hint="eastAsia" w:ascii="方正仿宋_GB2312" w:hAnsi="方正仿宋_GB2312" w:eastAsia="方正仿宋_GB2312" w:cs="方正仿宋_GB2312"/>
                <w:b/>
                <w:color w:val="auto"/>
                <w:sz w:val="21"/>
                <w:szCs w:val="21"/>
                <w:highlight w:val="none"/>
                <w:u w:val="single"/>
                <w:lang w:eastAsia="zh-CN"/>
              </w:rPr>
              <w:t>。</w:t>
            </w:r>
          </w:p>
        </w:tc>
      </w:tr>
      <w:tr w14:paraId="7C33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18" w:type="dxa"/>
            <w:noWrap w:val="0"/>
            <w:vAlign w:val="center"/>
          </w:tcPr>
          <w:p w14:paraId="7B0804DC">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9</w:t>
            </w:r>
          </w:p>
        </w:tc>
        <w:tc>
          <w:tcPr>
            <w:tcW w:w="1272" w:type="dxa"/>
            <w:noWrap w:val="0"/>
            <w:vAlign w:val="center"/>
          </w:tcPr>
          <w:p w14:paraId="21F91E83">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11.5</w:t>
            </w:r>
          </w:p>
        </w:tc>
        <w:tc>
          <w:tcPr>
            <w:tcW w:w="7205" w:type="dxa"/>
            <w:noWrap w:val="0"/>
            <w:vAlign w:val="top"/>
          </w:tcPr>
          <w:p w14:paraId="618EEEF0">
            <w:pPr>
              <w:shd w:val="clear"/>
              <w:tabs>
                <w:tab w:val="left" w:pos="1080"/>
              </w:tabs>
              <w:spacing w:line="440" w:lineRule="exact"/>
              <w:ind w:firstLine="210" w:firstLineChars="1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逾期交工违约金：</w:t>
            </w:r>
            <w:r>
              <w:rPr>
                <w:rFonts w:hint="eastAsia" w:ascii="方正仿宋_GB2312" w:hAnsi="方正仿宋_GB2312" w:eastAsia="方正仿宋_GB2312" w:cs="方正仿宋_GB2312"/>
                <w:color w:val="auto"/>
                <w:sz w:val="21"/>
                <w:szCs w:val="21"/>
                <w:highlight w:val="none"/>
                <w:lang w:val="en-US" w:eastAsia="zh-CN"/>
              </w:rPr>
              <w:t>1000</w:t>
            </w:r>
            <w:r>
              <w:rPr>
                <w:rFonts w:hint="eastAsia" w:ascii="方正仿宋_GB2312" w:hAnsi="方正仿宋_GB2312" w:eastAsia="方正仿宋_GB2312" w:cs="方正仿宋_GB2312"/>
                <w:color w:val="auto"/>
                <w:sz w:val="21"/>
                <w:szCs w:val="21"/>
                <w:highlight w:val="none"/>
              </w:rPr>
              <w:t>元/天</w:t>
            </w:r>
          </w:p>
        </w:tc>
      </w:tr>
      <w:tr w14:paraId="7C4D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18" w:type="dxa"/>
            <w:noWrap w:val="0"/>
            <w:vAlign w:val="center"/>
          </w:tcPr>
          <w:p w14:paraId="601B6056">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w:t>
            </w:r>
          </w:p>
        </w:tc>
        <w:tc>
          <w:tcPr>
            <w:tcW w:w="1272" w:type="dxa"/>
            <w:noWrap w:val="0"/>
            <w:vAlign w:val="center"/>
          </w:tcPr>
          <w:p w14:paraId="7C3C109F">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11.5</w:t>
            </w:r>
          </w:p>
        </w:tc>
        <w:tc>
          <w:tcPr>
            <w:tcW w:w="7205" w:type="dxa"/>
            <w:noWrap w:val="0"/>
            <w:vAlign w:val="top"/>
          </w:tcPr>
          <w:p w14:paraId="26C0C8D5">
            <w:pPr>
              <w:shd w:val="clear"/>
              <w:tabs>
                <w:tab w:val="left" w:pos="1080"/>
              </w:tabs>
              <w:spacing w:line="440" w:lineRule="exact"/>
              <w:ind w:firstLine="210" w:firstLineChars="1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逾期交工违约金限额：</w:t>
            </w:r>
            <w:r>
              <w:rPr>
                <w:rFonts w:hint="eastAsia" w:ascii="方正仿宋_GB2312" w:hAnsi="方正仿宋_GB2312" w:eastAsia="方正仿宋_GB2312" w:cs="方正仿宋_GB2312"/>
                <w:color w:val="auto"/>
                <w:sz w:val="21"/>
                <w:szCs w:val="21"/>
                <w:highlight w:val="none"/>
                <w:lang w:val="en-US" w:eastAsia="zh-CN"/>
              </w:rPr>
              <w:t>5</w:t>
            </w:r>
            <w:r>
              <w:rPr>
                <w:rFonts w:hint="eastAsia" w:ascii="方正仿宋_GB2312" w:hAnsi="方正仿宋_GB2312" w:eastAsia="方正仿宋_GB2312" w:cs="方正仿宋_GB2312"/>
                <w:color w:val="auto"/>
                <w:sz w:val="21"/>
                <w:szCs w:val="21"/>
                <w:highlight w:val="none"/>
              </w:rPr>
              <w:t>%签约合同价</w:t>
            </w:r>
          </w:p>
        </w:tc>
      </w:tr>
      <w:tr w14:paraId="3875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18" w:type="dxa"/>
            <w:noWrap w:val="0"/>
            <w:vAlign w:val="center"/>
          </w:tcPr>
          <w:p w14:paraId="48F3386C">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11</w:t>
            </w:r>
          </w:p>
        </w:tc>
        <w:tc>
          <w:tcPr>
            <w:tcW w:w="1272" w:type="dxa"/>
            <w:noWrap w:val="0"/>
            <w:vAlign w:val="center"/>
          </w:tcPr>
          <w:p w14:paraId="0F473E7D">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11.6</w:t>
            </w:r>
          </w:p>
        </w:tc>
        <w:tc>
          <w:tcPr>
            <w:tcW w:w="7205" w:type="dxa"/>
            <w:noWrap w:val="0"/>
            <w:vAlign w:val="top"/>
          </w:tcPr>
          <w:p w14:paraId="32856258">
            <w:pPr>
              <w:shd w:val="clear"/>
              <w:tabs>
                <w:tab w:val="left" w:pos="1080"/>
              </w:tabs>
              <w:spacing w:line="440" w:lineRule="exact"/>
              <w:ind w:firstLine="210" w:firstLineChars="1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提前交工的奖金：/</w:t>
            </w:r>
          </w:p>
        </w:tc>
      </w:tr>
      <w:tr w14:paraId="0199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18" w:type="dxa"/>
            <w:noWrap w:val="0"/>
            <w:vAlign w:val="center"/>
          </w:tcPr>
          <w:p w14:paraId="1D3C5B7D">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w:t>
            </w:r>
          </w:p>
        </w:tc>
        <w:tc>
          <w:tcPr>
            <w:tcW w:w="1272" w:type="dxa"/>
            <w:noWrap w:val="0"/>
            <w:vAlign w:val="center"/>
          </w:tcPr>
          <w:p w14:paraId="1D7073D7">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11.6</w:t>
            </w:r>
          </w:p>
        </w:tc>
        <w:tc>
          <w:tcPr>
            <w:tcW w:w="7205" w:type="dxa"/>
            <w:noWrap w:val="0"/>
            <w:vAlign w:val="top"/>
          </w:tcPr>
          <w:p w14:paraId="4CDE77A7">
            <w:pPr>
              <w:shd w:val="clear"/>
              <w:tabs>
                <w:tab w:val="left" w:pos="1080"/>
              </w:tabs>
              <w:spacing w:line="440" w:lineRule="exact"/>
              <w:ind w:firstLine="210" w:firstLineChars="1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提前交工的奖金限额：/</w:t>
            </w:r>
          </w:p>
        </w:tc>
      </w:tr>
      <w:tr w14:paraId="53BA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18" w:type="dxa"/>
            <w:noWrap w:val="0"/>
            <w:vAlign w:val="center"/>
          </w:tcPr>
          <w:p w14:paraId="2C5DEE1D">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13</w:t>
            </w:r>
          </w:p>
        </w:tc>
        <w:tc>
          <w:tcPr>
            <w:tcW w:w="1272" w:type="dxa"/>
            <w:noWrap w:val="0"/>
            <w:vAlign w:val="center"/>
          </w:tcPr>
          <w:p w14:paraId="3C5BEC34">
            <w:pPr>
              <w:shd w:val="clear"/>
              <w:tabs>
                <w:tab w:val="left" w:pos="1080"/>
              </w:tabs>
              <w:spacing w:line="36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15.5.2</w:t>
            </w:r>
          </w:p>
        </w:tc>
        <w:tc>
          <w:tcPr>
            <w:tcW w:w="7205" w:type="dxa"/>
            <w:noWrap w:val="0"/>
            <w:vAlign w:val="top"/>
          </w:tcPr>
          <w:p w14:paraId="75AA737A">
            <w:pPr>
              <w:shd w:val="clear"/>
              <w:tabs>
                <w:tab w:val="left" w:pos="1080"/>
              </w:tabs>
              <w:spacing w:line="440" w:lineRule="exact"/>
              <w:ind w:firstLine="210" w:firstLineChars="100"/>
              <w:rPr>
                <w:rFonts w:hint="eastAsia" w:ascii="方正仿宋_GB2312" w:hAnsi="方正仿宋_GB2312" w:eastAsia="方正仿宋_GB2312" w:cs="方正仿宋_GB2312"/>
                <w:color w:val="auto"/>
                <w:sz w:val="21"/>
                <w:szCs w:val="21"/>
                <w:highlight w:val="none"/>
                <w:lang w:eastAsia="zh-CN"/>
              </w:rPr>
            </w:pPr>
            <w:r>
              <w:rPr>
                <w:rFonts w:hint="eastAsia" w:ascii="方正仿宋_GB2312" w:hAnsi="方正仿宋_GB2312" w:eastAsia="方正仿宋_GB2312" w:cs="方正仿宋_GB2312"/>
                <w:color w:val="auto"/>
                <w:sz w:val="21"/>
                <w:szCs w:val="21"/>
                <w:highlight w:val="none"/>
                <w:lang w:val="en-US" w:eastAsia="zh-CN"/>
              </w:rPr>
              <w:t>/</w:t>
            </w:r>
          </w:p>
        </w:tc>
      </w:tr>
    </w:tbl>
    <w:p w14:paraId="26795742">
      <w:pPr>
        <w:shd w:val="clear"/>
        <w:tabs>
          <w:tab w:val="left" w:pos="1080"/>
        </w:tabs>
        <w:spacing w:line="100" w:lineRule="exact"/>
        <w:rPr>
          <w:rFonts w:hint="eastAsia" w:ascii="方正仿宋_GB2312" w:hAnsi="方正仿宋_GB2312" w:eastAsia="方正仿宋_GB2312" w:cs="方正仿宋_GB2312"/>
          <w:color w:val="auto"/>
          <w:sz w:val="18"/>
          <w:szCs w:val="18"/>
          <w:highlight w:val="none"/>
        </w:rPr>
        <w:sectPr>
          <w:headerReference r:id="rId16" w:type="first"/>
          <w:headerReference r:id="rId15" w:type="default"/>
          <w:pgSz w:w="11906" w:h="16838"/>
          <w:pgMar w:top="1440" w:right="1474" w:bottom="1440" w:left="1588" w:header="851" w:footer="992" w:gutter="0"/>
          <w:pgNumType w:fmt="decimal"/>
          <w:cols w:space="720" w:num="1"/>
          <w:titlePg/>
          <w:docGrid w:linePitch="312" w:charSpace="0"/>
        </w:sectPr>
      </w:pPr>
    </w:p>
    <w:p w14:paraId="0E41140F">
      <w:pPr>
        <w:shd w:val="clear"/>
        <w:tabs>
          <w:tab w:val="left" w:pos="1080"/>
        </w:tabs>
        <w:spacing w:line="100" w:lineRule="exact"/>
        <w:rPr>
          <w:rFonts w:hint="eastAsia" w:ascii="方正仿宋_GB2312" w:hAnsi="方正仿宋_GB2312" w:eastAsia="方正仿宋_GB2312" w:cs="方正仿宋_GB2312"/>
          <w:color w:val="auto"/>
          <w:sz w:val="18"/>
          <w:szCs w:val="18"/>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261"/>
        <w:gridCol w:w="7205"/>
        <w:gridCol w:w="8"/>
      </w:tblGrid>
      <w:tr w14:paraId="5F77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29" w:type="dxa"/>
            <w:noWrap w:val="0"/>
            <w:vAlign w:val="center"/>
          </w:tcPr>
          <w:p w14:paraId="28925428">
            <w:pPr>
              <w:shd w:val="clear"/>
              <w:tabs>
                <w:tab w:val="left" w:pos="1080"/>
              </w:tabs>
              <w:spacing w:line="280" w:lineRule="exact"/>
              <w:jc w:val="center"/>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序号</w:t>
            </w:r>
          </w:p>
        </w:tc>
        <w:tc>
          <w:tcPr>
            <w:tcW w:w="1261" w:type="dxa"/>
            <w:noWrap w:val="0"/>
            <w:vAlign w:val="center"/>
          </w:tcPr>
          <w:p w14:paraId="0EFBABA4">
            <w:pPr>
              <w:shd w:val="clear"/>
              <w:tabs>
                <w:tab w:val="left" w:pos="1080"/>
              </w:tabs>
              <w:spacing w:line="280" w:lineRule="exact"/>
              <w:jc w:val="center"/>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条目号</w:t>
            </w:r>
          </w:p>
        </w:tc>
        <w:tc>
          <w:tcPr>
            <w:tcW w:w="7213" w:type="dxa"/>
            <w:gridSpan w:val="2"/>
            <w:noWrap w:val="0"/>
            <w:vAlign w:val="center"/>
          </w:tcPr>
          <w:p w14:paraId="2DDAF0AC">
            <w:pPr>
              <w:shd w:val="clear"/>
              <w:tabs>
                <w:tab w:val="left" w:pos="1080"/>
              </w:tabs>
              <w:spacing w:line="280" w:lineRule="exact"/>
              <w:jc w:val="center"/>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信 息 或 数 据</w:t>
            </w:r>
          </w:p>
        </w:tc>
      </w:tr>
      <w:tr w14:paraId="28F5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29" w:type="dxa"/>
            <w:noWrap w:val="0"/>
            <w:vAlign w:val="center"/>
          </w:tcPr>
          <w:p w14:paraId="007E9BC5">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14</w:t>
            </w:r>
          </w:p>
        </w:tc>
        <w:tc>
          <w:tcPr>
            <w:tcW w:w="1261" w:type="dxa"/>
            <w:noWrap w:val="0"/>
            <w:vAlign w:val="center"/>
          </w:tcPr>
          <w:p w14:paraId="3079D51D">
            <w:pPr>
              <w:shd w:val="clear"/>
              <w:tabs>
                <w:tab w:val="left" w:pos="1080"/>
              </w:tabs>
              <w:spacing w:line="280" w:lineRule="exact"/>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t>16</w:t>
            </w:r>
            <w:r>
              <w:rPr>
                <w:rFonts w:hint="eastAsia" w:ascii="方正仿宋_GB2312" w:hAnsi="方正仿宋_GB2312" w:eastAsia="方正仿宋_GB2312" w:cs="方正仿宋_GB2312"/>
                <w:color w:val="auto"/>
                <w:sz w:val="21"/>
                <w:szCs w:val="21"/>
                <w:highlight w:val="none"/>
                <w:lang w:val="en-US" w:eastAsia="zh-CN"/>
              </w:rPr>
              <w:t>.1</w:t>
            </w:r>
          </w:p>
        </w:tc>
        <w:tc>
          <w:tcPr>
            <w:tcW w:w="7213" w:type="dxa"/>
            <w:gridSpan w:val="2"/>
            <w:noWrap w:val="0"/>
            <w:vAlign w:val="center"/>
          </w:tcPr>
          <w:p w14:paraId="0FD7952B">
            <w:pPr>
              <w:shd w:val="clear"/>
              <w:tabs>
                <w:tab w:val="left" w:pos="1080"/>
              </w:tabs>
              <w:spacing w:line="440" w:lineRule="exac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物价（市场）价格波动是否调整合同价的约定：材料调差包括钢材、水泥、商品砼、砂、碎石等所有材料市场价格浮动在±5%（含）以外的价格风险及工程量清单漏项、变更、签证和政策性调整、不可抗力、《承包人提供主要材料和设备一览表》约定的材料、设备价格变动风险以外的其他风险。</w:t>
            </w:r>
          </w:p>
          <w:p w14:paraId="546FD040">
            <w:pPr>
              <w:shd w:val="clear"/>
              <w:tabs>
                <w:tab w:val="left" w:pos="1080"/>
              </w:tabs>
              <w:spacing w:line="440" w:lineRule="exac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因市场价格波动调整合同价格，</w:t>
            </w:r>
            <w:r>
              <w:rPr>
                <w:rFonts w:hint="eastAsia" w:ascii="方正仿宋_GB2312" w:hAnsi="方正仿宋_GB2312" w:eastAsia="方正仿宋_GB2312" w:cs="方正仿宋_GB2312"/>
                <w:color w:val="auto"/>
                <w:sz w:val="21"/>
                <w:szCs w:val="21"/>
                <w:highlight w:val="none"/>
                <w:lang w:eastAsia="zh-CN"/>
              </w:rPr>
              <w:t>按施工期间《南宁市建设工程造价信息》</w:t>
            </w:r>
            <w:r>
              <w:rPr>
                <w:rFonts w:hint="eastAsia" w:ascii="方正仿宋_GB2312" w:hAnsi="方正仿宋_GB2312" w:eastAsia="方正仿宋_GB2312" w:cs="方正仿宋_GB2312"/>
                <w:color w:val="auto"/>
                <w:sz w:val="21"/>
                <w:szCs w:val="21"/>
                <w:highlight w:val="none"/>
              </w:rPr>
              <w:t>马山县对应乡镇</w:t>
            </w:r>
            <w:r>
              <w:rPr>
                <w:rFonts w:hint="eastAsia" w:ascii="方正仿宋_GB2312" w:hAnsi="方正仿宋_GB2312" w:eastAsia="方正仿宋_GB2312" w:cs="方正仿宋_GB2312"/>
                <w:color w:val="auto"/>
                <w:sz w:val="21"/>
                <w:szCs w:val="21"/>
                <w:highlight w:val="none"/>
                <w:lang w:eastAsia="zh-CN"/>
              </w:rPr>
              <w:t>材料信息价的加权平均价计算，信息价没有的按专用条款规定确定。</w:t>
            </w:r>
            <w:r>
              <w:rPr>
                <w:rFonts w:hint="eastAsia" w:ascii="方正仿宋_GB2312" w:hAnsi="方正仿宋_GB2312" w:eastAsia="方正仿宋_GB2312" w:cs="方正仿宋_GB2312"/>
                <w:color w:val="auto"/>
                <w:sz w:val="21"/>
                <w:szCs w:val="21"/>
                <w:highlight w:val="none"/>
              </w:rPr>
              <w:t>《南宁建设工程造价信息》没有相应价格信息的按市场价由发包人询价确定；无定额可套的，根据市场价格由发包人询价后按相关造价法规、编制办法编制确定综合价格；新增项目的单价必须经发包人审定进行价格调整：</w:t>
            </w:r>
          </w:p>
          <w:p w14:paraId="43955C33">
            <w:pPr>
              <w:shd w:val="clear"/>
              <w:tabs>
                <w:tab w:val="left" w:pos="1080"/>
              </w:tabs>
              <w:spacing w:line="440" w:lineRule="exac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（1）允许调整的主要材料和设备、基期价格、风险系数、投标报价；</w:t>
            </w:r>
          </w:p>
          <w:p w14:paraId="17CAEBD7">
            <w:pPr>
              <w:shd w:val="clear"/>
              <w:tabs>
                <w:tab w:val="left" w:pos="1080"/>
              </w:tabs>
              <w:spacing w:line="440" w:lineRule="exact"/>
              <w:rPr>
                <w:rFonts w:hint="eastAsia" w:ascii="方正仿宋_GB2312" w:hAnsi="方正仿宋_GB2312" w:eastAsia="方正仿宋_GB2312" w:cs="方正仿宋_GB2312"/>
                <w:color w:val="auto"/>
                <w:sz w:val="21"/>
                <w:szCs w:val="21"/>
                <w:highlight w:val="yellow"/>
                <w:lang w:eastAsia="zh-CN"/>
              </w:rPr>
            </w:pPr>
            <w:r>
              <w:rPr>
                <w:rFonts w:hint="eastAsia" w:ascii="方正仿宋_GB2312" w:hAnsi="方正仿宋_GB2312" w:eastAsia="方正仿宋_GB2312" w:cs="方正仿宋_GB2312"/>
                <w:color w:val="auto"/>
                <w:sz w:val="21"/>
                <w:szCs w:val="21"/>
                <w:highlight w:val="none"/>
              </w:rPr>
              <w:t>（2）主要材料和设备确认价</w:t>
            </w:r>
            <w:r>
              <w:rPr>
                <w:rFonts w:hint="eastAsia" w:ascii="方正仿宋_GB2312" w:hAnsi="方正仿宋_GB2312" w:eastAsia="方正仿宋_GB2312" w:cs="方正仿宋_GB2312"/>
                <w:color w:val="auto"/>
                <w:sz w:val="21"/>
                <w:szCs w:val="21"/>
                <w:highlight w:val="none"/>
                <w:lang w:eastAsia="zh-CN"/>
              </w:rPr>
              <w:t>：按《南宁建设工程造价信息》2026年第3期上半月信息价及百龙滩镇信息价计取，信息价没有材料价格的按市场询价；</w:t>
            </w:r>
          </w:p>
          <w:p w14:paraId="3B410569">
            <w:pPr>
              <w:shd w:val="clear"/>
              <w:tabs>
                <w:tab w:val="left" w:pos="1080"/>
              </w:tabs>
              <w:spacing w:line="440" w:lineRule="exact"/>
              <w:rPr>
                <w:rFonts w:hint="eastAsia" w:ascii="方正仿宋_GB2312" w:hAnsi="方正仿宋_GB2312" w:eastAsia="方正仿宋_GB2312" w:cs="方正仿宋_GB2312"/>
                <w:color w:val="auto"/>
                <w:sz w:val="21"/>
                <w:szCs w:val="21"/>
                <w:highlight w:val="none"/>
                <w:lang w:eastAsia="zh-CN"/>
              </w:rPr>
            </w:pPr>
            <w:r>
              <w:rPr>
                <w:rFonts w:hint="eastAsia" w:ascii="方正仿宋_GB2312" w:hAnsi="方正仿宋_GB2312" w:eastAsia="方正仿宋_GB2312" w:cs="方正仿宋_GB2312"/>
                <w:color w:val="auto"/>
                <w:sz w:val="21"/>
                <w:szCs w:val="21"/>
                <w:highlight w:val="none"/>
              </w:rPr>
              <w:t>（3）价差计算法。承包人提供的主要材料和设备一览表中，材料和设备投标价低于（或高于）基准价格的：合同履行期间，材料和设备价格单价涨幅（或跌幅）以基准价格为基础超过约定的风险范围时，其超过部分据实调整。</w:t>
            </w:r>
          </w:p>
        </w:tc>
      </w:tr>
      <w:tr w14:paraId="2264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9" w:type="dxa"/>
            <w:noWrap w:val="0"/>
            <w:vAlign w:val="center"/>
          </w:tcPr>
          <w:p w14:paraId="28A05882">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15</w:t>
            </w:r>
          </w:p>
        </w:tc>
        <w:tc>
          <w:tcPr>
            <w:tcW w:w="1261" w:type="dxa"/>
            <w:noWrap w:val="0"/>
            <w:vAlign w:val="center"/>
          </w:tcPr>
          <w:p w14:paraId="1C21317A">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17.2.1</w:t>
            </w:r>
          </w:p>
        </w:tc>
        <w:tc>
          <w:tcPr>
            <w:tcW w:w="7213" w:type="dxa"/>
            <w:gridSpan w:val="2"/>
            <w:noWrap w:val="0"/>
            <w:vAlign w:val="center"/>
          </w:tcPr>
          <w:p w14:paraId="0489020A">
            <w:pPr>
              <w:shd w:val="clear"/>
              <w:tabs>
                <w:tab w:val="left" w:pos="1080"/>
              </w:tabs>
              <w:spacing w:line="440" w:lineRule="exact"/>
              <w:ind w:firstLine="210" w:firstLineChars="1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开工预付款金额：签订合同并进场施工后支付30%预付款（不超合同价），承包人须于60天内完成合同工程量40%。</w:t>
            </w:r>
          </w:p>
        </w:tc>
      </w:tr>
      <w:tr w14:paraId="5331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29" w:type="dxa"/>
            <w:noWrap w:val="0"/>
            <w:vAlign w:val="center"/>
          </w:tcPr>
          <w:p w14:paraId="67E5F371">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16</w:t>
            </w:r>
          </w:p>
        </w:tc>
        <w:tc>
          <w:tcPr>
            <w:tcW w:w="1261" w:type="dxa"/>
            <w:noWrap w:val="0"/>
            <w:vAlign w:val="center"/>
          </w:tcPr>
          <w:p w14:paraId="61017EE2">
            <w:pPr>
              <w:shd w:val="clear"/>
              <w:tabs>
                <w:tab w:val="left" w:pos="1080"/>
              </w:tabs>
              <w:spacing w:line="280" w:lineRule="exact"/>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17.3</w:t>
            </w:r>
          </w:p>
        </w:tc>
        <w:tc>
          <w:tcPr>
            <w:tcW w:w="7213" w:type="dxa"/>
            <w:gridSpan w:val="2"/>
            <w:noWrap w:val="0"/>
            <w:vAlign w:val="center"/>
          </w:tcPr>
          <w:p w14:paraId="6008A7EF">
            <w:pPr>
              <w:shd w:val="clear"/>
              <w:tabs>
                <w:tab w:val="left" w:pos="1080"/>
              </w:tabs>
              <w:spacing w:line="440" w:lineRule="exact"/>
              <w:ind w:firstLine="210" w:firstLineChars="1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预付款抵扣方式：当工程完成投资达到合同价40%后，对预付款实行一次性扣回。</w:t>
            </w:r>
          </w:p>
        </w:tc>
      </w:tr>
      <w:tr w14:paraId="2DFF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29" w:type="dxa"/>
            <w:noWrap w:val="0"/>
            <w:vAlign w:val="center"/>
          </w:tcPr>
          <w:p w14:paraId="7C79B462">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17</w:t>
            </w:r>
          </w:p>
        </w:tc>
        <w:tc>
          <w:tcPr>
            <w:tcW w:w="1261" w:type="dxa"/>
            <w:noWrap w:val="0"/>
            <w:vAlign w:val="center"/>
          </w:tcPr>
          <w:p w14:paraId="300082D7">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17.3.2</w:t>
            </w:r>
          </w:p>
        </w:tc>
        <w:tc>
          <w:tcPr>
            <w:tcW w:w="7213" w:type="dxa"/>
            <w:gridSpan w:val="2"/>
            <w:noWrap w:val="0"/>
            <w:vAlign w:val="center"/>
          </w:tcPr>
          <w:p w14:paraId="4C4303D6">
            <w:pPr>
              <w:shd w:val="clear"/>
              <w:tabs>
                <w:tab w:val="left" w:pos="1080"/>
              </w:tabs>
              <w:spacing w:line="440" w:lineRule="exact"/>
              <w:ind w:firstLine="210" w:firstLineChars="1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承包人在每个付款周期末向监理人提交进度付款申请单的份数：4份。</w:t>
            </w:r>
          </w:p>
        </w:tc>
      </w:tr>
      <w:tr w14:paraId="56B2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29" w:type="dxa"/>
            <w:noWrap w:val="0"/>
            <w:vAlign w:val="center"/>
          </w:tcPr>
          <w:p w14:paraId="74BE99FA">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18</w:t>
            </w:r>
          </w:p>
        </w:tc>
        <w:tc>
          <w:tcPr>
            <w:tcW w:w="1261" w:type="dxa"/>
            <w:noWrap w:val="0"/>
            <w:vAlign w:val="center"/>
          </w:tcPr>
          <w:p w14:paraId="48B3C43B">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17.3.3(1)</w:t>
            </w:r>
          </w:p>
        </w:tc>
        <w:tc>
          <w:tcPr>
            <w:tcW w:w="7213" w:type="dxa"/>
            <w:gridSpan w:val="2"/>
            <w:noWrap w:val="0"/>
            <w:vAlign w:val="center"/>
          </w:tcPr>
          <w:p w14:paraId="2086439F">
            <w:pPr>
              <w:shd w:val="clear"/>
              <w:tabs>
                <w:tab w:val="left" w:pos="1080"/>
              </w:tabs>
              <w:spacing w:line="440" w:lineRule="exact"/>
              <w:ind w:firstLine="210" w:firstLineChars="1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进度付款证书最低限额：0.3%签约合同价。</w:t>
            </w:r>
          </w:p>
        </w:tc>
      </w:tr>
      <w:tr w14:paraId="03C8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9" w:type="dxa"/>
            <w:noWrap w:val="0"/>
            <w:vAlign w:val="center"/>
          </w:tcPr>
          <w:p w14:paraId="7EB3C839">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19</w:t>
            </w:r>
          </w:p>
        </w:tc>
        <w:tc>
          <w:tcPr>
            <w:tcW w:w="1261" w:type="dxa"/>
            <w:noWrap w:val="0"/>
            <w:vAlign w:val="center"/>
          </w:tcPr>
          <w:p w14:paraId="600EFA14">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17.3.3(2)</w:t>
            </w:r>
          </w:p>
        </w:tc>
        <w:tc>
          <w:tcPr>
            <w:tcW w:w="7213" w:type="dxa"/>
            <w:gridSpan w:val="2"/>
            <w:noWrap w:val="0"/>
            <w:vAlign w:val="center"/>
          </w:tcPr>
          <w:p w14:paraId="202C553B">
            <w:pPr>
              <w:shd w:val="clear"/>
              <w:tabs>
                <w:tab w:val="left" w:pos="1080"/>
              </w:tabs>
              <w:spacing w:line="440" w:lineRule="exact"/>
              <w:ind w:firstLine="210" w:firstLineChars="1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逾期付款违约金的的利率：0.15‰/天。</w:t>
            </w:r>
          </w:p>
        </w:tc>
      </w:tr>
      <w:tr w14:paraId="029A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29" w:type="dxa"/>
            <w:noWrap w:val="0"/>
            <w:vAlign w:val="center"/>
          </w:tcPr>
          <w:p w14:paraId="50C5F1A7">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20</w:t>
            </w:r>
          </w:p>
        </w:tc>
        <w:tc>
          <w:tcPr>
            <w:tcW w:w="1261" w:type="dxa"/>
            <w:noWrap w:val="0"/>
            <w:vAlign w:val="center"/>
          </w:tcPr>
          <w:p w14:paraId="1E76B41C">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17.4.1</w:t>
            </w:r>
          </w:p>
        </w:tc>
        <w:tc>
          <w:tcPr>
            <w:tcW w:w="7213" w:type="dxa"/>
            <w:gridSpan w:val="2"/>
            <w:noWrap w:val="0"/>
            <w:vAlign w:val="center"/>
          </w:tcPr>
          <w:p w14:paraId="35CEE51B">
            <w:pPr>
              <w:shd w:val="clear"/>
              <w:tabs>
                <w:tab w:val="left" w:pos="1080"/>
              </w:tabs>
              <w:spacing w:line="440" w:lineRule="exact"/>
              <w:ind w:firstLine="210" w:firstLineChars="1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质量保证金百分比：</w:t>
            </w:r>
            <w:r>
              <w:rPr>
                <w:rFonts w:hint="eastAsia" w:ascii="方正仿宋_GB2312" w:hAnsi="方正仿宋_GB2312" w:eastAsia="方正仿宋_GB2312" w:cs="方正仿宋_GB2312"/>
                <w:color w:val="auto"/>
                <w:sz w:val="21"/>
                <w:szCs w:val="21"/>
                <w:highlight w:val="none"/>
                <w:lang w:val="en-US" w:eastAsia="zh-CN"/>
              </w:rPr>
              <w:t>结算审定总价的3%</w:t>
            </w:r>
          </w:p>
        </w:tc>
      </w:tr>
      <w:tr w14:paraId="2568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29" w:type="dxa"/>
            <w:noWrap w:val="0"/>
            <w:vAlign w:val="center"/>
          </w:tcPr>
          <w:p w14:paraId="63303F60">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21</w:t>
            </w:r>
          </w:p>
        </w:tc>
        <w:tc>
          <w:tcPr>
            <w:tcW w:w="1261" w:type="dxa"/>
            <w:noWrap w:val="0"/>
            <w:vAlign w:val="center"/>
          </w:tcPr>
          <w:p w14:paraId="3DFC2CC8">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17.4.1</w:t>
            </w:r>
          </w:p>
        </w:tc>
        <w:tc>
          <w:tcPr>
            <w:tcW w:w="7213" w:type="dxa"/>
            <w:gridSpan w:val="2"/>
            <w:noWrap w:val="0"/>
            <w:vAlign w:val="center"/>
          </w:tcPr>
          <w:p w14:paraId="21A733A5">
            <w:pPr>
              <w:shd w:val="clear"/>
              <w:tabs>
                <w:tab w:val="left" w:pos="1080"/>
              </w:tabs>
              <w:spacing w:line="440" w:lineRule="exact"/>
              <w:ind w:firstLine="210" w:firstLineChars="1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质量保证金限额：</w:t>
            </w:r>
            <w:r>
              <w:rPr>
                <w:rFonts w:hint="eastAsia" w:ascii="方正仿宋_GB2312" w:hAnsi="方正仿宋_GB2312" w:eastAsia="方正仿宋_GB2312" w:cs="方正仿宋_GB2312"/>
                <w:color w:val="auto"/>
                <w:sz w:val="21"/>
                <w:szCs w:val="21"/>
                <w:highlight w:val="none"/>
                <w:lang w:val="en-US" w:eastAsia="zh-CN"/>
              </w:rPr>
              <w:t>结算审定总价的3%</w:t>
            </w:r>
          </w:p>
        </w:tc>
      </w:tr>
      <w:tr w14:paraId="3000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29" w:type="dxa"/>
            <w:noWrap w:val="0"/>
            <w:vAlign w:val="center"/>
          </w:tcPr>
          <w:p w14:paraId="6A515E10">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22</w:t>
            </w:r>
          </w:p>
        </w:tc>
        <w:tc>
          <w:tcPr>
            <w:tcW w:w="1261" w:type="dxa"/>
            <w:noWrap w:val="0"/>
            <w:vAlign w:val="center"/>
          </w:tcPr>
          <w:p w14:paraId="496E889F">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17.5.1</w:t>
            </w:r>
          </w:p>
        </w:tc>
        <w:tc>
          <w:tcPr>
            <w:tcW w:w="7213" w:type="dxa"/>
            <w:gridSpan w:val="2"/>
            <w:noWrap w:val="0"/>
            <w:vAlign w:val="center"/>
          </w:tcPr>
          <w:p w14:paraId="4DF46EC2">
            <w:pPr>
              <w:shd w:val="clear"/>
              <w:tabs>
                <w:tab w:val="left" w:pos="1080"/>
              </w:tabs>
              <w:spacing w:line="440" w:lineRule="exact"/>
              <w:ind w:firstLine="210" w:firstLineChars="1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承包人向监理人提交交工付款申请单（包括相关证明材料）的份数：2份。</w:t>
            </w:r>
          </w:p>
        </w:tc>
      </w:tr>
      <w:tr w14:paraId="25F6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29" w:type="dxa"/>
            <w:noWrap w:val="0"/>
            <w:vAlign w:val="center"/>
          </w:tcPr>
          <w:p w14:paraId="501FBB21">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23</w:t>
            </w:r>
          </w:p>
        </w:tc>
        <w:tc>
          <w:tcPr>
            <w:tcW w:w="1261" w:type="dxa"/>
            <w:noWrap w:val="0"/>
            <w:vAlign w:val="center"/>
          </w:tcPr>
          <w:p w14:paraId="3A479803">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17.6.1</w:t>
            </w:r>
          </w:p>
        </w:tc>
        <w:tc>
          <w:tcPr>
            <w:tcW w:w="7213" w:type="dxa"/>
            <w:gridSpan w:val="2"/>
            <w:noWrap w:val="0"/>
            <w:vAlign w:val="center"/>
          </w:tcPr>
          <w:p w14:paraId="696BC8A7">
            <w:pPr>
              <w:shd w:val="clear"/>
              <w:tabs>
                <w:tab w:val="left" w:pos="1080"/>
              </w:tabs>
              <w:spacing w:line="440" w:lineRule="exact"/>
              <w:ind w:firstLine="210" w:firstLineChars="1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承包人向监理人提交最终结清申请单（包括相关证明材料）的份数：2份。</w:t>
            </w:r>
          </w:p>
        </w:tc>
      </w:tr>
      <w:tr w14:paraId="5119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29" w:type="dxa"/>
            <w:noWrap w:val="0"/>
            <w:vAlign w:val="center"/>
          </w:tcPr>
          <w:p w14:paraId="362B1A16">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24</w:t>
            </w:r>
          </w:p>
        </w:tc>
        <w:tc>
          <w:tcPr>
            <w:tcW w:w="1261" w:type="dxa"/>
            <w:noWrap w:val="0"/>
            <w:vAlign w:val="center"/>
          </w:tcPr>
          <w:p w14:paraId="60FA8DE3">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18.2</w:t>
            </w:r>
          </w:p>
        </w:tc>
        <w:tc>
          <w:tcPr>
            <w:tcW w:w="7213" w:type="dxa"/>
            <w:gridSpan w:val="2"/>
            <w:noWrap w:val="0"/>
            <w:vAlign w:val="center"/>
          </w:tcPr>
          <w:p w14:paraId="7AD934A5">
            <w:pPr>
              <w:shd w:val="clear"/>
              <w:tabs>
                <w:tab w:val="left" w:pos="1080"/>
              </w:tabs>
              <w:spacing w:line="440" w:lineRule="exact"/>
              <w:ind w:firstLine="210" w:firstLineChars="1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竣工资料的份数：2份。</w:t>
            </w:r>
          </w:p>
        </w:tc>
      </w:tr>
      <w:tr w14:paraId="1EC5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29" w:type="dxa"/>
            <w:noWrap w:val="0"/>
            <w:vAlign w:val="center"/>
          </w:tcPr>
          <w:p w14:paraId="45B61435">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25</w:t>
            </w:r>
          </w:p>
        </w:tc>
        <w:tc>
          <w:tcPr>
            <w:tcW w:w="1261" w:type="dxa"/>
            <w:noWrap w:val="0"/>
            <w:vAlign w:val="center"/>
          </w:tcPr>
          <w:p w14:paraId="2B38E757">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18.5.1</w:t>
            </w:r>
          </w:p>
        </w:tc>
        <w:tc>
          <w:tcPr>
            <w:tcW w:w="7213" w:type="dxa"/>
            <w:gridSpan w:val="2"/>
            <w:noWrap w:val="0"/>
            <w:vAlign w:val="center"/>
          </w:tcPr>
          <w:p w14:paraId="44D2F990">
            <w:pPr>
              <w:shd w:val="clear"/>
              <w:tabs>
                <w:tab w:val="left" w:pos="1080"/>
              </w:tabs>
              <w:spacing w:line="440" w:lineRule="exact"/>
              <w:ind w:firstLine="210" w:firstLineChars="1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单位工程或工程设备是否需投入施工期运行：是。</w:t>
            </w:r>
          </w:p>
        </w:tc>
      </w:tr>
      <w:tr w14:paraId="6D68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29" w:type="dxa"/>
            <w:noWrap w:val="0"/>
            <w:vAlign w:val="center"/>
          </w:tcPr>
          <w:p w14:paraId="625BD1DD">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26</w:t>
            </w:r>
          </w:p>
        </w:tc>
        <w:tc>
          <w:tcPr>
            <w:tcW w:w="1261" w:type="dxa"/>
            <w:noWrap w:val="0"/>
            <w:vAlign w:val="center"/>
          </w:tcPr>
          <w:p w14:paraId="4E9ECF9A">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18.6.1</w:t>
            </w:r>
          </w:p>
        </w:tc>
        <w:tc>
          <w:tcPr>
            <w:tcW w:w="7213" w:type="dxa"/>
            <w:gridSpan w:val="2"/>
            <w:noWrap w:val="0"/>
            <w:vAlign w:val="center"/>
          </w:tcPr>
          <w:p w14:paraId="127B94FF">
            <w:pPr>
              <w:shd w:val="clear"/>
              <w:tabs>
                <w:tab w:val="left" w:pos="1080"/>
              </w:tabs>
              <w:spacing w:line="440" w:lineRule="exact"/>
              <w:ind w:firstLine="210" w:firstLineChars="1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本工程及工程设备是否进行试运行：否。</w:t>
            </w:r>
          </w:p>
        </w:tc>
      </w:tr>
      <w:tr w14:paraId="0A00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82" w:hRule="atLeast"/>
        </w:trPr>
        <w:tc>
          <w:tcPr>
            <w:tcW w:w="829" w:type="dxa"/>
            <w:noWrap w:val="0"/>
            <w:vAlign w:val="center"/>
          </w:tcPr>
          <w:p w14:paraId="2B1E3D39">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27</w:t>
            </w:r>
          </w:p>
        </w:tc>
        <w:tc>
          <w:tcPr>
            <w:tcW w:w="1261" w:type="dxa"/>
            <w:noWrap w:val="0"/>
            <w:vAlign w:val="center"/>
          </w:tcPr>
          <w:p w14:paraId="35296710">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19.7</w:t>
            </w:r>
          </w:p>
        </w:tc>
        <w:tc>
          <w:tcPr>
            <w:tcW w:w="7205" w:type="dxa"/>
            <w:noWrap w:val="0"/>
            <w:vAlign w:val="center"/>
          </w:tcPr>
          <w:p w14:paraId="3C96D290">
            <w:pPr>
              <w:shd w:val="clear"/>
              <w:tabs>
                <w:tab w:val="left" w:pos="1080"/>
              </w:tabs>
              <w:spacing w:line="440" w:lineRule="exact"/>
              <w:ind w:firstLine="210" w:firstLineChars="1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保修期：自工程</w:t>
            </w:r>
            <w:r>
              <w:rPr>
                <w:rFonts w:hint="eastAsia" w:ascii="方正仿宋_GB2312" w:hAnsi="方正仿宋_GB2312" w:eastAsia="方正仿宋_GB2312" w:cs="方正仿宋_GB2312"/>
                <w:color w:val="auto"/>
                <w:sz w:val="21"/>
                <w:szCs w:val="21"/>
                <w:highlight w:val="none"/>
                <w:lang w:eastAsia="zh-CN"/>
              </w:rPr>
              <w:t>交工</w:t>
            </w:r>
            <w:r>
              <w:rPr>
                <w:rFonts w:hint="eastAsia" w:ascii="方正仿宋_GB2312" w:hAnsi="方正仿宋_GB2312" w:eastAsia="方正仿宋_GB2312" w:cs="方正仿宋_GB2312"/>
                <w:color w:val="auto"/>
                <w:sz w:val="21"/>
                <w:szCs w:val="21"/>
                <w:highlight w:val="none"/>
              </w:rPr>
              <w:t>验收认定为合格工程之日起计时</w:t>
            </w:r>
            <w:r>
              <w:rPr>
                <w:rFonts w:hint="eastAsia" w:ascii="方正仿宋_GB2312" w:hAnsi="方正仿宋_GB2312" w:eastAsia="方正仿宋_GB2312" w:cs="方正仿宋_GB2312"/>
                <w:color w:val="auto"/>
                <w:sz w:val="21"/>
                <w:szCs w:val="21"/>
                <w:highlight w:val="none"/>
                <w:u w:val="single"/>
                <w:lang w:val="en-US" w:eastAsia="zh-CN"/>
              </w:rPr>
              <w:t>1</w:t>
            </w:r>
            <w:r>
              <w:rPr>
                <w:rFonts w:hint="eastAsia" w:ascii="方正仿宋_GB2312" w:hAnsi="方正仿宋_GB2312" w:eastAsia="方正仿宋_GB2312" w:cs="方正仿宋_GB2312"/>
                <w:color w:val="auto"/>
                <w:sz w:val="21"/>
                <w:szCs w:val="21"/>
                <w:highlight w:val="none"/>
                <w:lang w:eastAsia="zh-CN"/>
              </w:rPr>
              <w:t>年</w:t>
            </w:r>
          </w:p>
        </w:tc>
      </w:tr>
      <w:tr w14:paraId="6FE3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09" w:hRule="atLeast"/>
        </w:trPr>
        <w:tc>
          <w:tcPr>
            <w:tcW w:w="829" w:type="dxa"/>
            <w:noWrap w:val="0"/>
            <w:vAlign w:val="center"/>
          </w:tcPr>
          <w:p w14:paraId="0BF3C3DF">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28</w:t>
            </w:r>
          </w:p>
        </w:tc>
        <w:tc>
          <w:tcPr>
            <w:tcW w:w="1261" w:type="dxa"/>
            <w:noWrap w:val="0"/>
            <w:vAlign w:val="center"/>
          </w:tcPr>
          <w:p w14:paraId="2747D078">
            <w:pPr>
              <w:shd w:val="clea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20.1</w:t>
            </w:r>
          </w:p>
        </w:tc>
        <w:tc>
          <w:tcPr>
            <w:tcW w:w="7205" w:type="dxa"/>
            <w:noWrap w:val="0"/>
            <w:vAlign w:val="center"/>
          </w:tcPr>
          <w:p w14:paraId="036FB377">
            <w:pPr>
              <w:shd w:val="clear"/>
              <w:tabs>
                <w:tab w:val="left" w:pos="1080"/>
              </w:tabs>
              <w:spacing w:line="440" w:lineRule="exact"/>
              <w:ind w:firstLine="210" w:firstLineChars="10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t>建筑工程一切险的保险费率：</w:t>
            </w:r>
            <w:r>
              <w:rPr>
                <w:rFonts w:hint="eastAsia" w:ascii="方正仿宋_GB2312" w:hAnsi="方正仿宋_GB2312" w:eastAsia="方正仿宋_GB2312" w:cs="方正仿宋_GB2312"/>
                <w:color w:val="auto"/>
                <w:sz w:val="21"/>
                <w:szCs w:val="21"/>
                <w:highlight w:val="none"/>
                <w:u w:val="single"/>
                <w:lang w:val="en-US" w:eastAsia="zh-CN"/>
              </w:rPr>
              <w:t>/</w:t>
            </w:r>
          </w:p>
        </w:tc>
      </w:tr>
      <w:tr w14:paraId="2E34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51" w:hRule="atLeast"/>
        </w:trPr>
        <w:tc>
          <w:tcPr>
            <w:tcW w:w="829" w:type="dxa"/>
            <w:noWrap w:val="0"/>
            <w:vAlign w:val="center"/>
          </w:tcPr>
          <w:p w14:paraId="6865DDB4">
            <w:pP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29</w:t>
            </w:r>
          </w:p>
        </w:tc>
        <w:tc>
          <w:tcPr>
            <w:tcW w:w="1261" w:type="dxa"/>
            <w:noWrap w:val="0"/>
            <w:vAlign w:val="center"/>
          </w:tcPr>
          <w:p w14:paraId="36A7C2A4">
            <w:pP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20.4.2</w:t>
            </w:r>
          </w:p>
        </w:tc>
        <w:tc>
          <w:tcPr>
            <w:tcW w:w="7205" w:type="dxa"/>
            <w:noWrap w:val="0"/>
            <w:vAlign w:val="center"/>
          </w:tcPr>
          <w:p w14:paraId="56A26EA8">
            <w:pPr>
              <w:tabs>
                <w:tab w:val="left" w:pos="1080"/>
              </w:tabs>
              <w:spacing w:line="440" w:lineRule="exact"/>
              <w:ind w:firstLine="210" w:firstLineChars="1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第三者责任险的最低投保金额：</w:t>
            </w:r>
            <w:r>
              <w:rPr>
                <w:rFonts w:hint="eastAsia" w:ascii="方正仿宋_GB2312" w:hAnsi="方正仿宋_GB2312" w:eastAsia="方正仿宋_GB2312" w:cs="方正仿宋_GB2312"/>
                <w:color w:val="auto"/>
                <w:sz w:val="21"/>
                <w:szCs w:val="21"/>
                <w:highlight w:val="none"/>
                <w:u w:val="single"/>
                <w:lang w:val="en-US" w:eastAsia="zh-CN"/>
              </w:rPr>
              <w:t>/</w:t>
            </w:r>
          </w:p>
          <w:p w14:paraId="6B6033F6">
            <w:pPr>
              <w:tabs>
                <w:tab w:val="left" w:pos="1080"/>
              </w:tabs>
              <w:spacing w:line="440" w:lineRule="exact"/>
              <w:ind w:firstLine="210" w:firstLineChars="1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保险费率：</w:t>
            </w:r>
            <w:r>
              <w:rPr>
                <w:rFonts w:hint="eastAsia" w:ascii="方正仿宋_GB2312" w:hAnsi="方正仿宋_GB2312" w:eastAsia="方正仿宋_GB2312" w:cs="方正仿宋_GB2312"/>
                <w:color w:val="auto"/>
                <w:sz w:val="21"/>
                <w:szCs w:val="21"/>
                <w:highlight w:val="none"/>
                <w:u w:val="single"/>
                <w:lang w:val="en-US" w:eastAsia="zh-CN"/>
              </w:rPr>
              <w:t>/</w:t>
            </w:r>
          </w:p>
        </w:tc>
      </w:tr>
      <w:tr w14:paraId="3662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770" w:hRule="atLeast"/>
        </w:trPr>
        <w:tc>
          <w:tcPr>
            <w:tcW w:w="829" w:type="dxa"/>
            <w:noWrap w:val="0"/>
            <w:vAlign w:val="center"/>
          </w:tcPr>
          <w:p w14:paraId="4D52F3C6">
            <w:pP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30</w:t>
            </w:r>
          </w:p>
        </w:tc>
        <w:tc>
          <w:tcPr>
            <w:tcW w:w="1261" w:type="dxa"/>
            <w:noWrap w:val="0"/>
            <w:vAlign w:val="center"/>
          </w:tcPr>
          <w:p w14:paraId="1C358C7B">
            <w:pPr>
              <w:tabs>
                <w:tab w:val="left" w:pos="1080"/>
              </w:tabs>
              <w:spacing w:line="28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24.1</w:t>
            </w:r>
          </w:p>
        </w:tc>
        <w:tc>
          <w:tcPr>
            <w:tcW w:w="7205" w:type="dxa"/>
            <w:noWrap w:val="0"/>
            <w:vAlign w:val="center"/>
          </w:tcPr>
          <w:p w14:paraId="46F7BD37">
            <w:pPr>
              <w:tabs>
                <w:tab w:val="left" w:pos="1080"/>
              </w:tabs>
              <w:spacing w:line="440" w:lineRule="exact"/>
              <w:ind w:firstLine="210" w:firstLineChars="100"/>
              <w:rPr>
                <w:rFonts w:hint="eastAsia" w:ascii="方正仿宋_GB2312" w:hAnsi="方正仿宋_GB2312" w:eastAsia="方正仿宋_GB2312" w:cs="方正仿宋_GB2312"/>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争议的最终解决方式：</w:t>
            </w:r>
            <w:r>
              <w:rPr>
                <w:rFonts w:hint="eastAsia" w:ascii="方正仿宋_GB2312" w:hAnsi="方正仿宋_GB2312" w:eastAsia="方正仿宋_GB2312" w:cs="方正仿宋_GB2312"/>
                <w:color w:val="auto"/>
                <w:sz w:val="21"/>
                <w:szCs w:val="21"/>
                <w:highlight w:val="none"/>
                <w:u w:val="single"/>
              </w:rPr>
              <w:t>仲裁或诉讼。</w:t>
            </w:r>
          </w:p>
          <w:p w14:paraId="59FE6D81">
            <w:pPr>
              <w:tabs>
                <w:tab w:val="left" w:pos="1080"/>
              </w:tabs>
              <w:spacing w:line="440" w:lineRule="exact"/>
              <w:ind w:firstLine="210" w:firstLineChars="1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color w:val="auto"/>
                <w:sz w:val="21"/>
                <w:szCs w:val="21"/>
                <w:highlight w:val="none"/>
              </w:rPr>
              <w:t>如采用仲裁</w:t>
            </w:r>
            <w:r>
              <w:rPr>
                <w:rFonts w:hint="eastAsia" w:ascii="方正仿宋_GB2312" w:hAnsi="方正仿宋_GB2312" w:eastAsia="方正仿宋_GB2312" w:cs="方正仿宋_GB2312"/>
                <w:color w:val="auto"/>
                <w:sz w:val="21"/>
                <w:szCs w:val="21"/>
                <w:highlight w:val="none"/>
                <w:lang w:eastAsia="zh-CN"/>
              </w:rPr>
              <w:t>，</w:t>
            </w:r>
            <w:r>
              <w:rPr>
                <w:rFonts w:hint="eastAsia" w:ascii="方正仿宋_GB2312" w:hAnsi="方正仿宋_GB2312" w:eastAsia="方正仿宋_GB2312" w:cs="方正仿宋_GB2312"/>
                <w:color w:val="auto"/>
                <w:sz w:val="21"/>
                <w:szCs w:val="21"/>
                <w:highlight w:val="none"/>
              </w:rPr>
              <w:t>仲裁委员会名称：</w:t>
            </w:r>
            <w:r>
              <w:rPr>
                <w:rFonts w:hint="eastAsia" w:ascii="方正仿宋_GB2312" w:hAnsi="方正仿宋_GB2312" w:eastAsia="方正仿宋_GB2312" w:cs="方正仿宋_GB2312"/>
                <w:color w:val="auto"/>
                <w:sz w:val="21"/>
                <w:szCs w:val="21"/>
                <w:highlight w:val="none"/>
                <w:lang w:eastAsia="zh-CN"/>
              </w:rPr>
              <w:t>南宁</w:t>
            </w:r>
            <w:r>
              <w:rPr>
                <w:rFonts w:hint="eastAsia" w:ascii="方正仿宋_GB2312" w:hAnsi="方正仿宋_GB2312" w:eastAsia="方正仿宋_GB2312" w:cs="方正仿宋_GB2312"/>
                <w:color w:val="auto"/>
                <w:sz w:val="21"/>
                <w:szCs w:val="21"/>
                <w:highlight w:val="none"/>
              </w:rPr>
              <w:t>仲裁委员会。</w:t>
            </w:r>
          </w:p>
        </w:tc>
      </w:tr>
    </w:tbl>
    <w:p w14:paraId="517E2AFB">
      <w:pPr>
        <w:tabs>
          <w:tab w:val="left" w:pos="1080"/>
        </w:tabs>
        <w:spacing w:line="280" w:lineRule="exact"/>
        <w:rPr>
          <w:rFonts w:hint="eastAsia" w:ascii="方正仿宋_GB2312" w:hAnsi="方正仿宋_GB2312" w:eastAsia="方正仿宋_GB2312" w:cs="方正仿宋_GB2312"/>
          <w:color w:val="auto"/>
          <w:szCs w:val="21"/>
          <w:highlight w:val="none"/>
        </w:rPr>
      </w:pPr>
    </w:p>
    <w:p w14:paraId="15ACE6EE">
      <w:pPr>
        <w:tabs>
          <w:tab w:val="left" w:pos="1080"/>
        </w:tabs>
        <w:spacing w:line="280" w:lineRule="exact"/>
        <w:rPr>
          <w:rFonts w:hint="eastAsia" w:ascii="方正仿宋_GB2312" w:hAnsi="方正仿宋_GB2312" w:eastAsia="方正仿宋_GB2312" w:cs="方正仿宋_GB2312"/>
          <w:color w:val="auto"/>
          <w:szCs w:val="21"/>
          <w:highlight w:val="none"/>
        </w:rPr>
      </w:pPr>
    </w:p>
    <w:p w14:paraId="175FE169">
      <w:pPr>
        <w:tabs>
          <w:tab w:val="left" w:pos="1080"/>
        </w:tabs>
        <w:spacing w:line="280" w:lineRule="exact"/>
        <w:jc w:val="center"/>
        <w:rPr>
          <w:rFonts w:hint="eastAsia" w:ascii="方正仿宋_GB2312" w:hAnsi="方正仿宋_GB2312" w:eastAsia="方正仿宋_GB2312" w:cs="方正仿宋_GB2312"/>
          <w:b/>
          <w:color w:val="auto"/>
          <w:sz w:val="30"/>
          <w:szCs w:val="30"/>
          <w:highlight w:val="none"/>
        </w:rPr>
        <w:sectPr>
          <w:pgSz w:w="11906" w:h="16838"/>
          <w:pgMar w:top="1440" w:right="1474" w:bottom="1440" w:left="1588" w:header="851" w:footer="992" w:gutter="0"/>
          <w:pgNumType w:fmt="decimal"/>
          <w:cols w:space="720" w:num="1"/>
          <w:titlePg/>
          <w:docGrid w:linePitch="312" w:charSpace="0"/>
        </w:sectPr>
      </w:pPr>
    </w:p>
    <w:p w14:paraId="52055F8B">
      <w:pPr>
        <w:tabs>
          <w:tab w:val="left" w:pos="1080"/>
        </w:tabs>
        <w:spacing w:line="320" w:lineRule="exact"/>
        <w:jc w:val="center"/>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项目专用合同条款</w:t>
      </w:r>
    </w:p>
    <w:p w14:paraId="4289453C">
      <w:pPr>
        <w:tabs>
          <w:tab w:val="left" w:pos="1080"/>
        </w:tabs>
        <w:spacing w:line="320" w:lineRule="exact"/>
        <w:jc w:val="center"/>
        <w:rPr>
          <w:rFonts w:hint="eastAsia" w:ascii="方正仿宋_GB2312" w:hAnsi="方正仿宋_GB2312" w:eastAsia="方正仿宋_GB2312" w:cs="方正仿宋_GB2312"/>
          <w:b/>
          <w:color w:val="auto"/>
          <w:sz w:val="28"/>
          <w:szCs w:val="28"/>
          <w:highlight w:val="none"/>
        </w:rPr>
      </w:pPr>
    </w:p>
    <w:p w14:paraId="6A15DC28">
      <w:pPr>
        <w:tabs>
          <w:tab w:val="left" w:pos="1080"/>
        </w:tabs>
        <w:spacing w:line="320" w:lineRule="exact"/>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说明：本部分所列的项目专用合同条款是对“公路工程专用合同条款”中规定必须在项目专用合同条款中明确的内容的集中，招标人编制的“项目专用合同条款”不限于本部分所列内容。</w:t>
      </w:r>
    </w:p>
    <w:p w14:paraId="31848D58">
      <w:pPr>
        <w:tabs>
          <w:tab w:val="left" w:pos="1080"/>
        </w:tabs>
        <w:spacing w:line="320" w:lineRule="exact"/>
        <w:rPr>
          <w:rFonts w:hint="eastAsia" w:ascii="方正仿宋_GB2312" w:hAnsi="方正仿宋_GB2312" w:eastAsia="方正仿宋_GB2312" w:cs="方正仿宋_GB2312"/>
          <w:bCs/>
          <w:color w:val="auto"/>
          <w:sz w:val="21"/>
          <w:szCs w:val="21"/>
          <w:highlight w:val="none"/>
        </w:rPr>
      </w:pPr>
    </w:p>
    <w:p w14:paraId="5D92C705">
      <w:pPr>
        <w:tabs>
          <w:tab w:val="left" w:pos="1080"/>
        </w:tabs>
        <w:spacing w:line="320" w:lineRule="exact"/>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4.1  承包人的一般义务</w:t>
      </w:r>
    </w:p>
    <w:p w14:paraId="26E1A8EB">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4.1.10  其他义务</w:t>
      </w:r>
    </w:p>
    <w:p w14:paraId="3CD6A5F4">
      <w:pPr>
        <w:tabs>
          <w:tab w:val="left" w:pos="1080"/>
        </w:tabs>
        <w:spacing w:line="360" w:lineRule="auto"/>
        <w:ind w:firstLine="210" w:firstLineChars="1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增加内容：承包人必须按国家法规、合同约定做好对农民工的管理工作，并执行广西壮族自治区公路管理局《关于印发广西壮族自治区公路管理局公路工程建设农民工管理实施细则（修订）的通知》(桂路工程发[2014]300号)要求（注：文件内容附后）、《</w:t>
      </w:r>
      <w:r>
        <w:rPr>
          <w:rFonts w:hint="eastAsia" w:ascii="方正仿宋_GB2312" w:hAnsi="方正仿宋_GB2312" w:eastAsia="方正仿宋_GB2312" w:cs="方正仿宋_GB2312"/>
          <w:bCs/>
          <w:color w:val="auto"/>
          <w:sz w:val="21"/>
          <w:szCs w:val="21"/>
          <w:highlight w:val="none"/>
        </w:rPr>
        <w:t>关于建立交通行业农民工工资保证金制度的通知》</w:t>
      </w: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bCs/>
          <w:color w:val="auto"/>
          <w:sz w:val="21"/>
          <w:szCs w:val="21"/>
          <w:highlight w:val="none"/>
        </w:rPr>
        <w:t>桂劳社发</w:t>
      </w: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bCs/>
          <w:color w:val="auto"/>
          <w:sz w:val="21"/>
          <w:szCs w:val="21"/>
          <w:highlight w:val="none"/>
        </w:rPr>
        <w:t>2007</w:t>
      </w: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bCs/>
          <w:color w:val="auto"/>
          <w:sz w:val="21"/>
          <w:szCs w:val="21"/>
          <w:highlight w:val="none"/>
        </w:rPr>
        <w:t>147号</w:t>
      </w:r>
      <w:r>
        <w:rPr>
          <w:rFonts w:hint="eastAsia" w:ascii="方正仿宋_GB2312" w:hAnsi="方正仿宋_GB2312" w:eastAsia="方正仿宋_GB2312" w:cs="方正仿宋_GB2312"/>
          <w:color w:val="auto"/>
          <w:sz w:val="21"/>
          <w:szCs w:val="21"/>
          <w:highlight w:val="none"/>
        </w:rPr>
        <w:t>）、《关于印发广西壮族自治区工程建设领域工人工资支付专用账户管理办法的通知》（桂薪联发﹝</w:t>
      </w:r>
      <w:r>
        <w:rPr>
          <w:rFonts w:hint="eastAsia" w:ascii="方正仿宋_GB2312" w:hAnsi="方正仿宋_GB2312" w:eastAsia="方正仿宋_GB2312" w:cs="方正仿宋_GB2312"/>
          <w:bCs/>
          <w:color w:val="auto"/>
          <w:sz w:val="21"/>
          <w:szCs w:val="21"/>
          <w:highlight w:val="none"/>
        </w:rPr>
        <w:t>2016</w:t>
      </w: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bCs/>
          <w:color w:val="auto"/>
          <w:sz w:val="21"/>
          <w:szCs w:val="21"/>
          <w:highlight w:val="none"/>
        </w:rPr>
        <w:t>1号</w:t>
      </w:r>
      <w:r>
        <w:rPr>
          <w:rFonts w:hint="eastAsia" w:ascii="方正仿宋_GB2312" w:hAnsi="方正仿宋_GB2312" w:eastAsia="方正仿宋_GB2312" w:cs="方正仿宋_GB2312"/>
          <w:color w:val="auto"/>
          <w:sz w:val="21"/>
          <w:szCs w:val="21"/>
          <w:highlight w:val="none"/>
        </w:rPr>
        <w:t>）、《关于明确农民工工资保证金制度有关问题的通知》（桂薪联发﹝</w:t>
      </w:r>
      <w:r>
        <w:rPr>
          <w:rFonts w:hint="eastAsia" w:ascii="方正仿宋_GB2312" w:hAnsi="方正仿宋_GB2312" w:eastAsia="方正仿宋_GB2312" w:cs="方正仿宋_GB2312"/>
          <w:bCs/>
          <w:color w:val="auto"/>
          <w:sz w:val="21"/>
          <w:szCs w:val="21"/>
          <w:highlight w:val="none"/>
        </w:rPr>
        <w:t>2016</w:t>
      </w: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bCs/>
          <w:color w:val="auto"/>
          <w:sz w:val="21"/>
          <w:szCs w:val="21"/>
          <w:highlight w:val="none"/>
        </w:rPr>
        <w:t>2号</w:t>
      </w: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color w:val="auto"/>
          <w:sz w:val="21"/>
          <w:szCs w:val="21"/>
          <w:highlight w:val="none"/>
          <w:lang w:eastAsia="zh-CN"/>
        </w:rPr>
        <w:t>、</w:t>
      </w:r>
      <w:r>
        <w:rPr>
          <w:rFonts w:hint="eastAsia" w:ascii="方正仿宋_GB2312" w:hAnsi="方正仿宋_GB2312" w:eastAsia="方正仿宋_GB2312" w:cs="方正仿宋_GB2312"/>
          <w:color w:val="auto"/>
          <w:sz w:val="21"/>
          <w:szCs w:val="21"/>
          <w:highlight w:val="none"/>
          <w:lang w:val="en-US" w:eastAsia="zh-CN"/>
        </w:rPr>
        <w:t>《</w:t>
      </w:r>
      <w:r>
        <w:rPr>
          <w:rFonts w:hint="eastAsia" w:ascii="方正仿宋_GB2312" w:hAnsi="方正仿宋_GB2312" w:eastAsia="方正仿宋_GB2312" w:cs="方正仿宋_GB2312"/>
          <w:color w:val="auto"/>
          <w:sz w:val="21"/>
          <w:szCs w:val="21"/>
          <w:highlight w:val="none"/>
          <w:lang w:eastAsia="zh-CN"/>
        </w:rPr>
        <w:t>关于印发广西壮族自治区工程建设领域农民工工资保证金规定实施办法的通知</w:t>
      </w:r>
      <w:r>
        <w:rPr>
          <w:rFonts w:hint="eastAsia" w:ascii="方正仿宋_GB2312" w:hAnsi="方正仿宋_GB2312" w:eastAsia="方正仿宋_GB2312" w:cs="方正仿宋_GB2312"/>
          <w:color w:val="auto"/>
          <w:sz w:val="21"/>
          <w:szCs w:val="21"/>
          <w:highlight w:val="none"/>
          <w:lang w:val="en-US" w:eastAsia="zh-CN"/>
        </w:rPr>
        <w:t>》（桂人社规[2021]16号）</w:t>
      </w:r>
      <w:r>
        <w:rPr>
          <w:rFonts w:hint="eastAsia" w:ascii="方正仿宋_GB2312" w:hAnsi="方正仿宋_GB2312" w:eastAsia="方正仿宋_GB2312" w:cs="方正仿宋_GB2312"/>
          <w:color w:val="auto"/>
          <w:sz w:val="21"/>
          <w:szCs w:val="21"/>
          <w:highlight w:val="none"/>
        </w:rPr>
        <w:t>要求。</w:t>
      </w:r>
    </w:p>
    <w:p w14:paraId="76EFA11E">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（4）承包人应履行的其他义务：</w:t>
      </w:r>
      <w:r>
        <w:rPr>
          <w:rFonts w:hint="eastAsia" w:ascii="方正仿宋_GB2312" w:hAnsi="方正仿宋_GB2312" w:eastAsia="方正仿宋_GB2312" w:cs="方正仿宋_GB2312"/>
          <w:color w:val="auto"/>
          <w:sz w:val="21"/>
          <w:szCs w:val="21"/>
          <w:highlight w:val="none"/>
          <w:u w:val="single"/>
        </w:rPr>
        <w:t>承包人应加强质量、进度、安全生产、文明施工、环境保护、交通通畅、合同履行等管理。</w:t>
      </w:r>
    </w:p>
    <w:p w14:paraId="28F86AF7">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（5）（增加）承包人应履行的其他义务：</w:t>
      </w:r>
    </w:p>
    <w:p w14:paraId="0F4F30F7">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a.与本工程项目相关的审计和稽查、检查、视察等活动，承包人应高度重视并有义务委派专人积极予以配合。</w:t>
      </w:r>
    </w:p>
    <w:p w14:paraId="4B2656FB">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b.发包人和监理有权监督检查承包人的供货合同。</w:t>
      </w:r>
    </w:p>
    <w:p w14:paraId="2FEB1F79">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c.对项目使用的原有道路的维护和管理，以确保正常通行。</w:t>
      </w:r>
    </w:p>
    <w:p w14:paraId="15750EBE">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d.维护社会稳定，避免发生因承包人原因引起施工队伍或施工引起周边群众等群体性上访事件</w:t>
      </w:r>
    </w:p>
    <w:p w14:paraId="59E23C0D">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e.承包人应自觉接受交通主管部门、质量监督单位、公路管理机构的监督，对指出的问题进行认真的整改，及时报告处理结果。</w:t>
      </w:r>
    </w:p>
    <w:p w14:paraId="290B2461">
      <w:pPr>
        <w:adjustRightInd w:val="0"/>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4.1.11(增加) 承包人响应“美丽广西·清洁乡村”行动</w:t>
      </w:r>
    </w:p>
    <w:p w14:paraId="615B720F">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承包人应根据《中共广西壮族自治区交通厅党组关于印发自治区交通运输系统“美丽广西·清洁乡村”交通行动实施方案的通知》（桂交党宣[2013]15号）精神，响应号召，以清洁公路、清洁水路、清洁运输为目标，大力实施交通运输尤其是农村交通运输环境的净化、绿化、美化，为群众创造畅通、高效、平安、绿色的交通运输环境及服务，以实现“生态环境美、文明风尚美、平安和谐美”的“三美交通”。</w:t>
      </w:r>
    </w:p>
    <w:p w14:paraId="3100668A">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具体要求：在建公路项目要文明施工，严格实行驻地建设标准化，强化施工路段的环境整治，施工车辆要避免扬尘洒漏，避免对原有公路的破坏，做好水土保持、环境保护工作；旧路改建项目要保证施工期间维持良好通车秩序；承包人应高度重视，有义务积极配合并委派专人参加“美丽广西·清洁乡村”的相关活动。</w:t>
      </w:r>
    </w:p>
    <w:p w14:paraId="04992B2F">
      <w:pPr>
        <w:tabs>
          <w:tab w:val="left" w:pos="1080"/>
        </w:tabs>
        <w:spacing w:line="360" w:lineRule="auto"/>
        <w:ind w:firstLine="422" w:firstLine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4.6 承包人人员的管理</w:t>
      </w:r>
    </w:p>
    <w:p w14:paraId="3ED7102D">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（增加）4.6.6</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项目经理、总工每年驻现场的时间应不少于300天，因故需离开工地应得到业主、监理工程师的许可，否则将按第22.1款视为承包人违约。</w:t>
      </w:r>
    </w:p>
    <w:p w14:paraId="50A839A9">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承包人安排在施工场地的主要管理人员和技术骨干人员每年驻现场的时间应不少于300天，除非经业主、监理工程师同意，否则将按第22.1款视为承包人违约。</w:t>
      </w:r>
    </w:p>
    <w:p w14:paraId="79BA0D84">
      <w:pPr>
        <w:tabs>
          <w:tab w:val="left" w:pos="1080"/>
        </w:tabs>
        <w:spacing w:line="360" w:lineRule="auto"/>
        <w:ind w:firstLine="422" w:firstLine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4.9工程价款应专款专用</w:t>
      </w:r>
    </w:p>
    <w:p w14:paraId="7F7D410E">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（1）凡不在业主指定银行开户的承包人，业主将不对其支付任何款项。</w:t>
      </w:r>
    </w:p>
    <w:p w14:paraId="31B672D4">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根据中国人民银行有关规定，每个承包人只能在一个银行开立一个结算帐户，不允许多头开户。业主按合同条款规定对承包人支付的款项，只对合同规定的法人或者法人代表的授权代理人支付，不对其内部独立核算单位或经批准的分包人直接支付（合同有专项规定者除外）。</w:t>
      </w:r>
    </w:p>
    <w:p w14:paraId="4C93741A">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在合同执行期间，业主或业主委托的公路审计部门有权不定期检查或审计承包人项目经理部的财务收支情况，承包人必须严格财经纪律，确保项目经理部的财务收支能客观、真实的反映工程实际成本，承包人及项目经理部必须接受业主或业主委托部门的监督和检查。</w:t>
      </w:r>
    </w:p>
    <w:p w14:paraId="01971BA3">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（4）在合同执行期间，承包人购买用于本工程的各种材料、施工机械设备、配件及支付人工工资等，在使用和购买前须签订好合同，并于使用和购买前报业主一份原件备案。</w:t>
      </w:r>
    </w:p>
    <w:p w14:paraId="1ECC79F6">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在合同执行期间，为确保工程建设资金专款专用，承包人在收到业主支付的款项后，须向业主提供资金使用计划，详细说明资金使用流向，经业主批准并在业主的监督下使用，必须优先支付工人特别是农民工的工资，其次是材料价款以及工程建设直接的成本。</w:t>
      </w:r>
    </w:p>
    <w:p w14:paraId="2EFCB53E">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（6）根据《关于明确农民工工资保证金制度有关问题的通知》（桂薪联发﹝</w:t>
      </w:r>
      <w:r>
        <w:rPr>
          <w:rFonts w:hint="eastAsia" w:ascii="方正仿宋_GB2312" w:hAnsi="方正仿宋_GB2312" w:eastAsia="方正仿宋_GB2312" w:cs="方正仿宋_GB2312"/>
          <w:bCs/>
          <w:color w:val="auto"/>
          <w:sz w:val="21"/>
          <w:szCs w:val="21"/>
          <w:highlight w:val="none"/>
        </w:rPr>
        <w:t>2016</w:t>
      </w: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bCs/>
          <w:color w:val="auto"/>
          <w:sz w:val="21"/>
          <w:szCs w:val="21"/>
          <w:highlight w:val="none"/>
        </w:rPr>
        <w:t>2号</w:t>
      </w: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color w:val="auto"/>
          <w:sz w:val="21"/>
          <w:szCs w:val="21"/>
          <w:highlight w:val="none"/>
          <w:lang w:eastAsia="zh-CN"/>
        </w:rPr>
        <w:t>、《关于印发广西壮族自治区工程建设领域农民工工资保证金规定实施办法的通知》（桂人社规[2021]16号）</w:t>
      </w:r>
      <w:r>
        <w:rPr>
          <w:rFonts w:hint="eastAsia" w:ascii="方正仿宋_GB2312" w:hAnsi="方正仿宋_GB2312" w:eastAsia="方正仿宋_GB2312" w:cs="方正仿宋_GB2312"/>
          <w:color w:val="auto"/>
          <w:sz w:val="21"/>
          <w:szCs w:val="21"/>
          <w:highlight w:val="none"/>
        </w:rPr>
        <w:t>，业主有权监督承包人对其雇员的工资发放，承包人应按投标承诺足额缴纳农民工工资保证金至承包人在工程项目所在地商业银行开设的农民工工资保证金专用账户或向发包人提供由工程项目所在地（工程项目所在省区范围内）商业银行出具同等金额农民工工资保证金银行保函，作为支付承包人拖欠的农民工工资的保证。有关要求如下：</w:t>
      </w:r>
    </w:p>
    <w:p w14:paraId="48C31443">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a.承包人应缴纳的农民工工资保证金额度为</w:t>
      </w:r>
      <w:r>
        <w:rPr>
          <w:rFonts w:hint="eastAsia" w:ascii="方正仿宋_GB2312" w:hAnsi="方正仿宋_GB2312" w:eastAsia="方正仿宋_GB2312" w:cs="方正仿宋_GB2312"/>
          <w:color w:val="auto"/>
          <w:sz w:val="21"/>
          <w:szCs w:val="21"/>
          <w:highlight w:val="none"/>
          <w:lang w:eastAsia="zh-CN"/>
        </w:rPr>
        <w:t>：签约合同价的</w:t>
      </w:r>
      <w:r>
        <w:rPr>
          <w:rFonts w:hint="eastAsia" w:ascii="方正仿宋_GB2312" w:hAnsi="方正仿宋_GB2312" w:eastAsia="方正仿宋_GB2312" w:cs="方正仿宋_GB2312"/>
          <w:color w:val="auto"/>
          <w:sz w:val="21"/>
          <w:szCs w:val="21"/>
          <w:highlight w:val="none"/>
          <w:lang w:val="en-US" w:eastAsia="zh-CN"/>
        </w:rPr>
        <w:t>1</w:t>
      </w:r>
      <w:r>
        <w:rPr>
          <w:rFonts w:hint="eastAsia" w:ascii="方正仿宋_GB2312" w:hAnsi="方正仿宋_GB2312" w:eastAsia="方正仿宋_GB2312" w:cs="方正仿宋_GB2312"/>
          <w:color w:val="auto"/>
          <w:sz w:val="21"/>
          <w:szCs w:val="21"/>
          <w:highlight w:val="none"/>
        </w:rPr>
        <w:t>%。</w:t>
      </w:r>
    </w:p>
    <w:p w14:paraId="14B12E99">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b.人力资源社会保障部门调查认定施工单位拖欠或克扣农民工工资的，责令施工单位支付被拖欠的农民工工资。逾期仍不支付或无力支付的，经有管辖权限的人力资源社会保障部门同意，从该施工单位缴存的农民工工资保证中支付。</w:t>
      </w:r>
    </w:p>
    <w:p w14:paraId="3FB4DF2F">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工程建设项目实行分包、转包的，发生拖欠农民工工资时，实施分包、转包的施工单位按照上述办法承担工资支付责任。</w:t>
      </w:r>
    </w:p>
    <w:p w14:paraId="63277099">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c.已使用农民工工资保证金的施工单位，必须在使用农民工工资保证金之日起一个月内，向农民工工资保证金专用账户补缴存已使用的农民工工资保证金数额的2倍工资保证金。</w:t>
      </w:r>
    </w:p>
    <w:p w14:paraId="2F334E38">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7）根据《关于印发广西壮族自治区工程建设领域工人工资支付专用账户管理办法的通知》（桂薪联发﹝2016﹞1号）要求，承包人应在项目开工前在项目所在地商业银行设立工人工资支付账户，并在用工之日起15个工作日内为每个工人确定有效工资个人账户。</w:t>
      </w:r>
    </w:p>
    <w:p w14:paraId="5C77FE01">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（8）业主将在每次对承包人进行计量支付时，将计量应付款的</w:t>
      </w:r>
      <w:r>
        <w:rPr>
          <w:rFonts w:hint="eastAsia" w:ascii="方正仿宋_GB2312" w:hAnsi="方正仿宋_GB2312" w:eastAsia="方正仿宋_GB2312" w:cs="方正仿宋_GB2312"/>
          <w:b/>
          <w:color w:val="auto"/>
          <w:sz w:val="21"/>
          <w:szCs w:val="21"/>
          <w:highlight w:val="none"/>
          <w:lang w:val="en-US" w:eastAsia="zh-CN"/>
        </w:rPr>
        <w:t>20</w:t>
      </w:r>
      <w:r>
        <w:rPr>
          <w:rFonts w:hint="eastAsia" w:ascii="方正仿宋_GB2312" w:hAnsi="方正仿宋_GB2312" w:eastAsia="方正仿宋_GB2312" w:cs="方正仿宋_GB2312"/>
          <w:b/>
          <w:color w:val="auto"/>
          <w:sz w:val="21"/>
          <w:szCs w:val="21"/>
          <w:highlight w:val="none"/>
        </w:rPr>
        <w:t>%</w:t>
      </w:r>
      <w:r>
        <w:rPr>
          <w:rFonts w:hint="eastAsia" w:ascii="方正仿宋_GB2312" w:hAnsi="方正仿宋_GB2312" w:eastAsia="方正仿宋_GB2312" w:cs="方正仿宋_GB2312"/>
          <w:color w:val="auto"/>
          <w:sz w:val="21"/>
          <w:szCs w:val="21"/>
          <w:highlight w:val="none"/>
        </w:rPr>
        <w:t>作为工人工资划入工人工资专用账户，由承包人专门用于支付工人工资。</w:t>
      </w:r>
    </w:p>
    <w:p w14:paraId="0D2BFC9A">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（9）承包人应当通过工人工资支付专用账户，依法按时足额将工人工资直接支付至工人的工资个人账户，并按月及时将工人工资支付明细表报建设单位和当地劳动保障监察部门备案。</w:t>
      </w:r>
    </w:p>
    <w:p w14:paraId="5A45400F">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（10）承包人应当建立劳动用工管理台账，真实、准确记录工人名册、劳动合同（集体合同）、劳务合同、工程进度、工时、劳务承包款和工人工资支付情况等信息，并保存两年以上备查。</w:t>
      </w:r>
    </w:p>
    <w:p w14:paraId="1BEE4C1B">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工程通过交工验收后，由业主对承包人支付农民工工资等内容进行公示，公示期不少于15天。业主支付的计量支付款，承包人首先应支付民工工资，并做好记录备案。</w:t>
      </w:r>
    </w:p>
    <w:p w14:paraId="61BE1949">
      <w:pPr>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（11）其它未尽事宜按《</w:t>
      </w:r>
      <w:r>
        <w:rPr>
          <w:rFonts w:hint="eastAsia" w:ascii="方正仿宋_GB2312" w:hAnsi="方正仿宋_GB2312" w:eastAsia="方正仿宋_GB2312" w:cs="方正仿宋_GB2312"/>
          <w:bCs/>
          <w:color w:val="auto"/>
          <w:sz w:val="21"/>
          <w:szCs w:val="21"/>
          <w:highlight w:val="none"/>
        </w:rPr>
        <w:t>关于建立交通行业农民工工资保证金制度的通知》</w:t>
      </w: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bCs/>
          <w:color w:val="auto"/>
          <w:sz w:val="21"/>
          <w:szCs w:val="21"/>
          <w:highlight w:val="none"/>
        </w:rPr>
        <w:t>桂劳社发</w:t>
      </w: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bCs/>
          <w:color w:val="auto"/>
          <w:sz w:val="21"/>
          <w:szCs w:val="21"/>
          <w:highlight w:val="none"/>
        </w:rPr>
        <w:t>2007</w:t>
      </w: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bCs/>
          <w:color w:val="auto"/>
          <w:sz w:val="21"/>
          <w:szCs w:val="21"/>
          <w:highlight w:val="none"/>
        </w:rPr>
        <w:t>147号</w:t>
      </w:r>
      <w:r>
        <w:rPr>
          <w:rFonts w:hint="eastAsia" w:ascii="方正仿宋_GB2312" w:hAnsi="方正仿宋_GB2312" w:eastAsia="方正仿宋_GB2312" w:cs="方正仿宋_GB2312"/>
          <w:color w:val="auto"/>
          <w:sz w:val="21"/>
          <w:szCs w:val="21"/>
          <w:highlight w:val="none"/>
        </w:rPr>
        <w:t>）、《关于印发广西壮族自治区工程建设领域工人工资支付专用账户管理办法的通知》（桂薪联发﹝</w:t>
      </w:r>
      <w:r>
        <w:rPr>
          <w:rFonts w:hint="eastAsia" w:ascii="方正仿宋_GB2312" w:hAnsi="方正仿宋_GB2312" w:eastAsia="方正仿宋_GB2312" w:cs="方正仿宋_GB2312"/>
          <w:bCs/>
          <w:color w:val="auto"/>
          <w:sz w:val="21"/>
          <w:szCs w:val="21"/>
          <w:highlight w:val="none"/>
        </w:rPr>
        <w:t>2016</w:t>
      </w: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bCs/>
          <w:color w:val="auto"/>
          <w:sz w:val="21"/>
          <w:szCs w:val="21"/>
          <w:highlight w:val="none"/>
        </w:rPr>
        <w:t>1号</w:t>
      </w:r>
      <w:r>
        <w:rPr>
          <w:rFonts w:hint="eastAsia" w:ascii="方正仿宋_GB2312" w:hAnsi="方正仿宋_GB2312" w:eastAsia="方正仿宋_GB2312" w:cs="方正仿宋_GB2312"/>
          <w:color w:val="auto"/>
          <w:sz w:val="21"/>
          <w:szCs w:val="21"/>
          <w:highlight w:val="none"/>
        </w:rPr>
        <w:t>）、《关于明确农民工工资保证金制度有关问题的通知》（桂薪联发﹝</w:t>
      </w:r>
      <w:r>
        <w:rPr>
          <w:rFonts w:hint="eastAsia" w:ascii="方正仿宋_GB2312" w:hAnsi="方正仿宋_GB2312" w:eastAsia="方正仿宋_GB2312" w:cs="方正仿宋_GB2312"/>
          <w:bCs/>
          <w:color w:val="auto"/>
          <w:sz w:val="21"/>
          <w:szCs w:val="21"/>
          <w:highlight w:val="none"/>
        </w:rPr>
        <w:t>2016</w:t>
      </w: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bCs/>
          <w:color w:val="auto"/>
          <w:sz w:val="21"/>
          <w:szCs w:val="21"/>
          <w:highlight w:val="none"/>
        </w:rPr>
        <w:t>2号</w:t>
      </w: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color w:val="auto"/>
          <w:sz w:val="21"/>
          <w:szCs w:val="21"/>
          <w:highlight w:val="none"/>
          <w:lang w:eastAsia="zh-CN"/>
        </w:rPr>
        <w:t>、《关于印发广西壮族自治区工程建设领域农民工工资保证金规定实施办法的通知》（桂人社规[2021]16号）</w:t>
      </w:r>
      <w:r>
        <w:rPr>
          <w:rFonts w:hint="eastAsia" w:ascii="方正仿宋_GB2312" w:hAnsi="方正仿宋_GB2312" w:eastAsia="方正仿宋_GB2312" w:cs="方正仿宋_GB2312"/>
          <w:color w:val="auto"/>
          <w:sz w:val="21"/>
          <w:szCs w:val="21"/>
          <w:highlight w:val="none"/>
        </w:rPr>
        <w:t>的有关规定执行。</w:t>
      </w:r>
    </w:p>
    <w:p w14:paraId="429F7394">
      <w:pPr>
        <w:tabs>
          <w:tab w:val="left" w:pos="1080"/>
        </w:tabs>
        <w:spacing w:line="360" w:lineRule="auto"/>
        <w:ind w:firstLine="422" w:firstLineChars="200"/>
        <w:rPr>
          <w:rFonts w:hint="eastAsia" w:ascii="方正仿宋_GB2312" w:hAnsi="方正仿宋_GB2312" w:eastAsia="方正仿宋_GB2312" w:cs="方正仿宋_GB2312"/>
          <w:b/>
          <w:color w:val="auto"/>
          <w:kern w:val="0"/>
          <w:sz w:val="21"/>
          <w:szCs w:val="21"/>
          <w:highlight w:val="none"/>
        </w:rPr>
      </w:pPr>
      <w:bookmarkStart w:id="157" w:name="_Toc367602701"/>
      <w:r>
        <w:rPr>
          <w:rFonts w:hint="eastAsia" w:ascii="方正仿宋_GB2312" w:hAnsi="方正仿宋_GB2312" w:eastAsia="方正仿宋_GB2312" w:cs="方正仿宋_GB2312"/>
          <w:b/>
          <w:color w:val="auto"/>
          <w:sz w:val="21"/>
          <w:szCs w:val="21"/>
          <w:highlight w:val="none"/>
        </w:rPr>
        <w:t>7.3 场外交通</w:t>
      </w:r>
      <w:bookmarkEnd w:id="157"/>
    </w:p>
    <w:p w14:paraId="1D292CBF">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（增加）7.3.3为保证道路交通安全及运输畅通，承包人应采取以下措施：</w:t>
      </w:r>
    </w:p>
    <w:p w14:paraId="03BBE1D1">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当施工期间，因施工原因造成原有道路暂时堵塞时，承包人必须与交通和公安部门协商，采取足够的措施引导、疏通交通。但不管何种原因，因其交通堵塞时间均不能超过60分钟。若堵塞交通超过上述规定的时间，将视为承包人违约按22.1款等相关条款处理，同时监理人可指令采取任何措施疏通，一切费用由承包人承担。</w:t>
      </w:r>
    </w:p>
    <w:p w14:paraId="62845906">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7.3.4 承包人应加强文明施工，保障道路通畅的管理</w:t>
      </w:r>
    </w:p>
    <w:p w14:paraId="7430953B">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（1）承包人在施工期内应按国家、交通主管部门与公路管理机构有关文明施工，保障畅通的规定组织施工，对出现的交通堵塞无条件地采取措施进行疏通。</w:t>
      </w:r>
    </w:p>
    <w:p w14:paraId="3FB31F6B">
      <w:pPr>
        <w:tabs>
          <w:tab w:val="left" w:pos="1080"/>
        </w:tabs>
        <w:spacing w:line="360" w:lineRule="auto"/>
        <w:ind w:firstLine="420" w:firstLineChars="200"/>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sz w:val="21"/>
          <w:szCs w:val="21"/>
          <w:highlight w:val="none"/>
        </w:rPr>
        <w:t>（2）对于旧路改建工程项目：破坏旧路必须作出交通维持与恢复路面通行条件方案并必须取得监理工程师与项目建设办公室的书面批准，未经批准进行旧路开挖与填筑的，项目建设办公室和监理工程师有权责令停工，并由承包人恢复原良好的通车条件，并需承担一切费用；不得在道路上堆放材料或占道施工影响交通；路基、路面施工应避免出现晴天扬尘，雨天打滑影响安全与交通和影响群众生活、生产的现象；维持交通的路基施工应保证表面平整，行车通畅。</w:t>
      </w:r>
    </w:p>
    <w:p w14:paraId="1392CF90">
      <w:pPr>
        <w:tabs>
          <w:tab w:val="left" w:pos="1080"/>
        </w:tabs>
        <w:spacing w:line="360" w:lineRule="auto"/>
        <w:ind w:firstLine="422" w:firstLine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9.2  承包人的施工安全责任</w:t>
      </w:r>
    </w:p>
    <w:p w14:paraId="550B24BD">
      <w:pPr>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9.2.5 条款末增加： 如业主或监理在日常检查中发现承包人用于危险路段、有安全隐患路段施工安全防护的设施和用具（含交通标志牌、安全危险告知牌、安全隐患告知牌等）不齐全或缺乏，并且承包人没有按规定及时添置安放，则业主为承包人添置的施工安全防护设施和用具（含交通标志牌、安全危险告知牌、安全隐患告知牌等）所花费的费用，以及业主对承包人安全管理人员的培训费用均由承包人负责，由业主在承包人合同价中计量扣除。</w:t>
      </w:r>
    </w:p>
    <w:p w14:paraId="09FE984E">
      <w:pPr>
        <w:tabs>
          <w:tab w:val="left" w:pos="1080"/>
        </w:tabs>
        <w:spacing w:line="360" w:lineRule="auto"/>
        <w:ind w:firstLine="422" w:firstLine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10.1  合同进度计划</w:t>
      </w:r>
    </w:p>
    <w:p w14:paraId="6A295F09">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承包人编制施工方案的内容：承包人应在签订合同协议书后7天内，向监理人提交2份其格式和内容符合监理人规定的工程进度计划，以及为完成该计划而建议采用的实施性的施工安排和施工方案的说明。监理人应在收到该计划后7天内审查同意或提出修改意见，否则该进度计划视为已得到批准。经监理人批准的施工进度计划称为合同进度计划，是控制合同工程进度的依据。工程进度计划应按照关键线路网络图和主要工作横道图两种形式分别绘制，并应包括每月预计完成的工作量和形象进度。</w:t>
      </w:r>
    </w:p>
    <w:p w14:paraId="1990767B">
      <w:pPr>
        <w:tabs>
          <w:tab w:val="left" w:pos="1080"/>
        </w:tabs>
        <w:spacing w:line="360" w:lineRule="auto"/>
        <w:ind w:firstLine="422" w:firstLine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11.4  异常恶劣的气候条件</w:t>
      </w:r>
    </w:p>
    <w:p w14:paraId="395250B1">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异常恶劣的气候条件的范围：对本项目而言，指发生烈度7度（含7度）以上地震、龙卷风、施工场地受淹超过业主提供的设计图纸指明的设计洪水水位引起的延误的情况。</w:t>
      </w:r>
      <w:bookmarkStart w:id="158" w:name="_Toc385244326"/>
    </w:p>
    <w:p w14:paraId="38B57DAD">
      <w:pPr>
        <w:tabs>
          <w:tab w:val="left" w:pos="1080"/>
        </w:tabs>
        <w:spacing w:line="360" w:lineRule="auto"/>
        <w:ind w:firstLine="422" w:firstLine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（增加）11.8 其它进度要求</w:t>
      </w:r>
      <w:bookmarkEnd w:id="158"/>
    </w:p>
    <w:p w14:paraId="01C7D920">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承包人应加强工程进度计划管理，努力实现均衡组织施工的目标。</w:t>
      </w:r>
    </w:p>
    <w:p w14:paraId="7AC9E959">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a  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w:t>
      </w:r>
    </w:p>
    <w:p w14:paraId="4E231C09">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b  路面碎石材料的采备应与路基施工进度同步，以保证路面施工进度。</w:t>
      </w:r>
    </w:p>
    <w:p w14:paraId="03E2E085">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c  桥梁、主要涵洞、高大支挡结构、旧路改建（破坏旧路路面）的路面等关键工程及分项应有独立详细的施工组织设计，并采取措施确保落实。</w:t>
      </w:r>
    </w:p>
    <w:p w14:paraId="38A0EDDB">
      <w:pPr>
        <w:tabs>
          <w:tab w:val="left" w:pos="1080"/>
        </w:tabs>
        <w:spacing w:line="360" w:lineRule="auto"/>
        <w:ind w:firstLine="422" w:firstLine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13.3  承包人的质量检查</w:t>
      </w:r>
    </w:p>
    <w:p w14:paraId="0385CA1D">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增加内容：</w:t>
      </w:r>
    </w:p>
    <w:p w14:paraId="2B1941BB">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（1）落实质量责任制和质量保证体系</w:t>
      </w:r>
    </w:p>
    <w:p w14:paraId="61C41BCC">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分项施工现场应实行标示牌管理，写明作业内容、项目质量管理责任人（施工作业管理专业工程师、试验、测量、质检工程师、总工、项目经理及监理工程师及现场监理）和质量管理举报电话； </w:t>
      </w:r>
    </w:p>
    <w:p w14:paraId="2B13BA86">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（2）认真执行三检制度：</w:t>
      </w:r>
    </w:p>
    <w:p w14:paraId="56A75F3C">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施工作业管理的专业工程师在测量、试验工程师配合下完成施工自检并作施工记录（工艺及原材料使用等）；</w:t>
      </w:r>
    </w:p>
    <w:p w14:paraId="1AA9434D">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质检工程师在测量、试验工程师配合下加强中间质量检测，严格控制工序质量，及时完成工序、分项完工检验并提交质量检验记录，收集工序、分项资料与检验申请经项目总工签认后报送监理工程师。</w:t>
      </w:r>
    </w:p>
    <w:p w14:paraId="6A358A3C">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试验、测量工程师根据施工质检需要完成试验与测量作业并及时交检验结果报告专业工程师、质检工程师。</w:t>
      </w:r>
    </w:p>
    <w:p w14:paraId="560F8388">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为保证质量责任制的落实，必须做到</w:t>
      </w:r>
      <w:r>
        <w:rPr>
          <w:rFonts w:hint="eastAsia" w:ascii="方正仿宋_GB2312" w:hAnsi="方正仿宋_GB2312" w:eastAsia="方正仿宋_GB2312" w:cs="方正仿宋_GB2312"/>
          <w:b/>
          <w:color w:val="auto"/>
          <w:sz w:val="21"/>
          <w:szCs w:val="21"/>
          <w:highlight w:val="none"/>
        </w:rPr>
        <w:t>“三个到位”、“三个同时”</w:t>
      </w:r>
      <w:r>
        <w:rPr>
          <w:rFonts w:hint="eastAsia" w:ascii="方正仿宋_GB2312" w:hAnsi="方正仿宋_GB2312" w:eastAsia="方正仿宋_GB2312" w:cs="方正仿宋_GB2312"/>
          <w:color w:val="auto"/>
          <w:sz w:val="21"/>
          <w:szCs w:val="21"/>
          <w:highlight w:val="none"/>
        </w:rPr>
        <w:t>，即：质量管理人员到位，检测工具到位，记录表格到位；施工作业与专业工程师质量检查、检验同时，承包人质量检验工程师、监理的检验与施工作业同时，检查、检验与记录同时。</w:t>
      </w:r>
    </w:p>
    <w:p w14:paraId="6283FC4C">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(3)质量管理记录的原始记录包括作业记录、测量记录、试验记录、检验记录及验收记录，地基、基础、填挖交界碾压，墙台背回填等隐蔽工程</w:t>
      </w:r>
      <w:r>
        <w:rPr>
          <w:rFonts w:hint="eastAsia" w:ascii="方正仿宋_GB2312" w:hAnsi="方正仿宋_GB2312" w:eastAsia="方正仿宋_GB2312" w:cs="方正仿宋_GB2312"/>
          <w:b/>
          <w:color w:val="auto"/>
          <w:sz w:val="21"/>
          <w:szCs w:val="21"/>
          <w:highlight w:val="none"/>
        </w:rPr>
        <w:t>应摄像或照相作为现场记录保存</w:t>
      </w:r>
      <w:r>
        <w:rPr>
          <w:rFonts w:hint="eastAsia" w:ascii="方正仿宋_GB2312" w:hAnsi="方正仿宋_GB2312" w:eastAsia="方正仿宋_GB2312" w:cs="方正仿宋_GB2312"/>
          <w:color w:val="auto"/>
          <w:sz w:val="21"/>
          <w:szCs w:val="21"/>
          <w:highlight w:val="none"/>
        </w:rPr>
        <w:t>。</w:t>
      </w:r>
    </w:p>
    <w:p w14:paraId="7429024D">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(4)加强对质量通病的预防与治理，减少工程质量隐患。</w:t>
      </w:r>
    </w:p>
    <w:p w14:paraId="0EE4266E">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(5)质量管理目标：</w:t>
      </w:r>
      <w:r>
        <w:rPr>
          <w:rFonts w:hint="eastAsia" w:ascii="方正仿宋_GB2312" w:hAnsi="方正仿宋_GB2312" w:eastAsia="方正仿宋_GB2312" w:cs="方正仿宋_GB2312"/>
          <w:b/>
          <w:color w:val="auto"/>
          <w:sz w:val="21"/>
          <w:szCs w:val="21"/>
          <w:highlight w:val="none"/>
        </w:rPr>
        <w:t>达到国家施工验收规范合格标准。</w:t>
      </w:r>
    </w:p>
    <w:p w14:paraId="2D55B6D6">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（6）承包人应加强工程进度计划管理，努力实现均衡组织施工的目标。</w:t>
      </w:r>
    </w:p>
    <w:p w14:paraId="2BEAFF3E">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a  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w:t>
      </w:r>
    </w:p>
    <w:p w14:paraId="59559AAE">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b  路面碎石材料的采备至少应与路基施工进度同步。</w:t>
      </w:r>
    </w:p>
    <w:p w14:paraId="21DF9D81">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c  桥梁、主要涵洞、高大支挡结构、旧路改建（破坏旧路路面）的路面等关键工程及分项应有独立详细的施工组织设计，并采取措施确保落实。</w:t>
      </w:r>
    </w:p>
    <w:p w14:paraId="4484B452">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(7) 承包人应加强文明施工，保障道路通畅的管理</w:t>
      </w:r>
    </w:p>
    <w:p w14:paraId="0F3C00F1">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a  承包人在施工期内应按国家、交通主管部门与公路管理机构文明施工，保障畅通的有关规定组织施工，对出现的交通堵塞无条件地采取措施进行疏通。</w:t>
      </w:r>
    </w:p>
    <w:p w14:paraId="2DD469D1">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b 旧路改建工程项目</w:t>
      </w:r>
    </w:p>
    <w:p w14:paraId="2ACB8A98">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i)破坏旧路必须作出交通维持与恢复路面通行条件方案并必须取得监理工程师与业主的批准，未经批准进行旧路开挖与填筑的，业主和监理工程师有权责令停工，并由承包人恢复原良好的通车条件，并需承担一切费用。</w:t>
      </w:r>
    </w:p>
    <w:p w14:paraId="275F3AB6">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(ii)不得在道路上堆放材料或占道施工影响交通。</w:t>
      </w:r>
    </w:p>
    <w:p w14:paraId="7B75A41A">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路基、路面施工应避免出现晴天扬尘，雨天打滑影响安全与交通和影响群众生活、生产的现象。维持交通的路基施工应保证表面平整，保证通畅。</w:t>
      </w:r>
    </w:p>
    <w:p w14:paraId="5DE2C44A">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(8) 承包人应自觉接受交通主管部门、质量监督单位、公路管理机构的监督，对指出的问题进行认真的整改，及时报告处理结果。</w:t>
      </w:r>
    </w:p>
    <w:p w14:paraId="7A7B1AD5">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在整个施工过程中，监理工程师、业主对承包人履行责任有权进行监督，并向承包人提出整改要求。承包人应认真履行责任，执行业主、监理工程师的指令，否则将按第22.1款视为承包人违约。</w:t>
      </w:r>
      <w:bookmarkStart w:id="159" w:name="_Toc385244329"/>
    </w:p>
    <w:p w14:paraId="4694772A">
      <w:pPr>
        <w:tabs>
          <w:tab w:val="left" w:pos="1080"/>
        </w:tabs>
        <w:spacing w:line="360" w:lineRule="auto"/>
        <w:ind w:firstLine="422" w:firstLine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13.5工程隐蔽部位覆盖前的检查</w:t>
      </w:r>
      <w:bookmarkEnd w:id="159"/>
    </w:p>
    <w:p w14:paraId="6B8B4BB0">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（增加）13.5.1项补充：</w:t>
      </w:r>
    </w:p>
    <w:p w14:paraId="47524353">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隐蔽部位覆盖前应经监理人检查确认,分阶段(工序)进行拍摄或照相,并向监理人提供相关影像相片等书面资料作为计量支付的依据，否则不应给予计量。</w:t>
      </w:r>
    </w:p>
    <w:p w14:paraId="49E8352D">
      <w:pPr>
        <w:tabs>
          <w:tab w:val="left" w:pos="1080"/>
        </w:tabs>
        <w:spacing w:line="360" w:lineRule="auto"/>
        <w:ind w:firstLine="422" w:firstLineChars="200"/>
        <w:rPr>
          <w:rFonts w:hint="eastAsia" w:ascii="方正仿宋_GB2312" w:hAnsi="方正仿宋_GB2312" w:eastAsia="方正仿宋_GB2312" w:cs="方正仿宋_GB2312"/>
          <w:b/>
          <w:color w:val="auto"/>
          <w:sz w:val="21"/>
          <w:szCs w:val="21"/>
          <w:highlight w:val="none"/>
          <w:lang w:val="en-US" w:eastAsia="zh-CN"/>
        </w:rPr>
      </w:pPr>
      <w:r>
        <w:rPr>
          <w:rFonts w:hint="eastAsia" w:ascii="方正仿宋_GB2312" w:hAnsi="方正仿宋_GB2312" w:eastAsia="方正仿宋_GB2312" w:cs="方正仿宋_GB2312"/>
          <w:b/>
          <w:color w:val="auto"/>
          <w:sz w:val="21"/>
          <w:szCs w:val="21"/>
          <w:highlight w:val="none"/>
          <w:lang w:val="en-US" w:eastAsia="zh-CN"/>
        </w:rPr>
        <w:t>15.1 变更的范围和内容</w:t>
      </w:r>
    </w:p>
    <w:p w14:paraId="7358E046">
      <w:pPr>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增加）变更原则：承包方必须严格按照工程设计要求和施工技术标准施工，不得擅自变更设计图纸及施工路线。经过充分认证后确需变更设计的，须有项目所在地村委签认的受益群众申请材料，并经发包单位、设计单位及监理单位审批签字后方可变更和施工，因此发生的工程量签证才能作为审计结算的依据且签证金额不能超过合同价的10%。未经发包单位、设计单位及监理单位审批会签的工程量均不能列入审计结算。</w:t>
      </w:r>
    </w:p>
    <w:p w14:paraId="327F1D41">
      <w:pPr>
        <w:tabs>
          <w:tab w:val="left" w:pos="1080"/>
        </w:tabs>
        <w:spacing w:line="360" w:lineRule="auto"/>
        <w:ind w:firstLine="422" w:firstLine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15.3 变更</w:t>
      </w:r>
    </w:p>
    <w:p w14:paraId="42A66461">
      <w:pPr>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（增加）15.3.5 设计变更涉及到隐蔽工程的工程变更报告除附规定的相关资料外，还必须附上变更项目工程照片。</w:t>
      </w:r>
    </w:p>
    <w:p w14:paraId="7071E68D">
      <w:pPr>
        <w:spacing w:line="360" w:lineRule="auto"/>
        <w:ind w:firstLine="422" w:firstLineChars="200"/>
        <w:rPr>
          <w:rFonts w:hint="eastAsia" w:ascii="方正仿宋_GB2312" w:hAnsi="方正仿宋_GB2312" w:eastAsia="方正仿宋_GB2312" w:cs="方正仿宋_GB2312"/>
          <w:b/>
          <w:color w:val="auto"/>
          <w:sz w:val="21"/>
          <w:szCs w:val="21"/>
          <w:highlight w:val="none"/>
          <w:lang w:val="en-US" w:eastAsia="zh-CN"/>
        </w:rPr>
      </w:pPr>
      <w:r>
        <w:rPr>
          <w:rFonts w:hint="eastAsia" w:ascii="方正仿宋_GB2312" w:hAnsi="方正仿宋_GB2312" w:eastAsia="方正仿宋_GB2312" w:cs="方正仿宋_GB2312"/>
          <w:b/>
          <w:color w:val="auto"/>
          <w:sz w:val="21"/>
          <w:szCs w:val="21"/>
          <w:highlight w:val="none"/>
          <w:lang w:val="en-US" w:eastAsia="zh-CN"/>
        </w:rPr>
        <w:t>15.4 变更的估价原则</w:t>
      </w:r>
    </w:p>
    <w:p w14:paraId="7C466D3F">
      <w:pPr>
        <w:spacing w:line="360" w:lineRule="auto"/>
        <w:ind w:firstLine="420" w:firstLineChars="200"/>
        <w:rPr>
          <w:rFonts w:hint="eastAsia" w:ascii="方正仿宋_GB2312" w:hAnsi="方正仿宋_GB2312" w:eastAsia="方正仿宋_GB2312" w:cs="方正仿宋_GB2312"/>
          <w:b/>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t>已标价工程量清单中无适用或类似子目的单价，按照以下原则确定：①有定额可套的，套用编制控制价所选定额计算，并乘以中标价下浮系数（中标价下浮系数为中标价与控制价的比值），其中材料价格有信息价的按当地同期信息价，无信息的由发包人、承包人、监理人市场询价确定。②无定额可套的，由发包人、承包人、监理人市场询价确定。</w:t>
      </w:r>
    </w:p>
    <w:p w14:paraId="37116D3E">
      <w:pPr>
        <w:spacing w:line="360" w:lineRule="auto"/>
        <w:ind w:firstLine="422" w:firstLineChars="200"/>
        <w:rPr>
          <w:rFonts w:hint="default" w:ascii="方正仿宋_GB2312" w:hAnsi="方正仿宋_GB2312" w:eastAsia="方正仿宋_GB2312" w:cs="方正仿宋_GB2312"/>
          <w:b/>
          <w:color w:val="auto"/>
          <w:sz w:val="21"/>
          <w:szCs w:val="21"/>
          <w:highlight w:val="none"/>
          <w:lang w:val="en-US" w:eastAsia="zh-CN"/>
        </w:rPr>
      </w:pPr>
      <w:r>
        <w:rPr>
          <w:rFonts w:hint="eastAsia" w:ascii="方正仿宋_GB2312" w:hAnsi="方正仿宋_GB2312" w:eastAsia="方正仿宋_GB2312" w:cs="方正仿宋_GB2312"/>
          <w:b/>
          <w:color w:val="auto"/>
          <w:sz w:val="21"/>
          <w:szCs w:val="21"/>
          <w:highlight w:val="none"/>
          <w:lang w:val="en-US" w:eastAsia="zh-CN"/>
        </w:rPr>
        <w:t>16.价格调整</w:t>
      </w:r>
    </w:p>
    <w:p w14:paraId="06418B02">
      <w:pPr>
        <w:spacing w:line="360" w:lineRule="auto"/>
        <w:ind w:firstLine="420" w:firstLine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价格调整原则：</w:t>
      </w:r>
    </w:p>
    <w:p w14:paraId="186694A5">
      <w:pPr>
        <w:spacing w:line="360" w:lineRule="auto"/>
        <w:ind w:firstLine="420" w:firstLineChars="200"/>
        <w:rPr>
          <w:rFonts w:hint="eastAsia" w:ascii="方正仿宋_GB2312" w:hAnsi="方正仿宋_GB2312" w:eastAsia="方正仿宋_GB2312" w:cs="方正仿宋_GB2312"/>
          <w:b w:val="0"/>
          <w:bCs/>
          <w:color w:val="auto"/>
          <w:sz w:val="21"/>
          <w:szCs w:val="21"/>
          <w:highlight w:val="none"/>
          <w:lang w:eastAsia="zh-CN"/>
        </w:rPr>
      </w:pPr>
      <w:r>
        <w:rPr>
          <w:rFonts w:hint="eastAsia" w:ascii="方正仿宋_GB2312" w:hAnsi="方正仿宋_GB2312" w:eastAsia="方正仿宋_GB2312" w:cs="方正仿宋_GB2312"/>
          <w:b w:val="0"/>
          <w:bCs/>
          <w:color w:val="auto"/>
          <w:sz w:val="21"/>
          <w:szCs w:val="21"/>
          <w:highlight w:val="none"/>
          <w:lang w:val="en-US" w:eastAsia="zh-CN"/>
        </w:rPr>
        <w:t>1.</w:t>
      </w:r>
      <w:r>
        <w:rPr>
          <w:rFonts w:hint="eastAsia" w:ascii="方正仿宋_GB2312" w:hAnsi="方正仿宋_GB2312" w:eastAsia="方正仿宋_GB2312" w:cs="方正仿宋_GB2312"/>
          <w:b w:val="0"/>
          <w:bCs/>
          <w:color w:val="auto"/>
          <w:sz w:val="21"/>
          <w:szCs w:val="21"/>
          <w:highlight w:val="none"/>
        </w:rPr>
        <w:t>法律引起的价格调整</w:t>
      </w:r>
      <w:r>
        <w:rPr>
          <w:rFonts w:hint="eastAsia" w:ascii="方正仿宋_GB2312" w:hAnsi="方正仿宋_GB2312" w:eastAsia="方正仿宋_GB2312" w:cs="方正仿宋_GB2312"/>
          <w:b w:val="0"/>
          <w:bCs/>
          <w:color w:val="auto"/>
          <w:sz w:val="21"/>
          <w:szCs w:val="21"/>
          <w:highlight w:val="none"/>
          <w:lang w:eastAsia="zh-CN"/>
        </w:rPr>
        <w:t>；</w:t>
      </w:r>
    </w:p>
    <w:p w14:paraId="773605E3">
      <w:pPr>
        <w:spacing w:line="360" w:lineRule="auto"/>
        <w:ind w:firstLine="420" w:firstLineChars="200"/>
        <w:rPr>
          <w:rFonts w:hint="eastAsia" w:ascii="方正仿宋_GB2312" w:hAnsi="方正仿宋_GB2312" w:eastAsia="方正仿宋_GB2312" w:cs="方正仿宋_GB2312"/>
          <w:b w:val="0"/>
          <w:bCs/>
          <w:color w:val="auto"/>
          <w:sz w:val="21"/>
          <w:szCs w:val="21"/>
          <w:highlight w:val="none"/>
          <w:lang w:eastAsia="zh-CN"/>
        </w:rPr>
      </w:pPr>
      <w:r>
        <w:rPr>
          <w:rFonts w:hint="eastAsia" w:ascii="方正仿宋_GB2312" w:hAnsi="方正仿宋_GB2312" w:eastAsia="方正仿宋_GB2312" w:cs="方正仿宋_GB2312"/>
          <w:b w:val="0"/>
          <w:bCs/>
          <w:color w:val="auto"/>
          <w:sz w:val="21"/>
          <w:szCs w:val="21"/>
          <w:highlight w:val="none"/>
          <w:lang w:val="en-US" w:eastAsia="zh-CN"/>
        </w:rPr>
        <w:t>2.</w:t>
      </w:r>
      <w:r>
        <w:rPr>
          <w:rFonts w:hint="eastAsia" w:ascii="方正仿宋_GB2312" w:hAnsi="方正仿宋_GB2312" w:eastAsia="方正仿宋_GB2312" w:cs="方正仿宋_GB2312"/>
          <w:b w:val="0"/>
          <w:bCs/>
          <w:color w:val="auto"/>
          <w:sz w:val="21"/>
          <w:szCs w:val="21"/>
          <w:highlight w:val="none"/>
        </w:rPr>
        <w:t>工程变更、项目特征不符、工程量清单缺项、工程量偏差引起的调整</w:t>
      </w:r>
      <w:r>
        <w:rPr>
          <w:rFonts w:hint="eastAsia" w:ascii="方正仿宋_GB2312" w:hAnsi="方正仿宋_GB2312" w:eastAsia="方正仿宋_GB2312" w:cs="方正仿宋_GB2312"/>
          <w:b w:val="0"/>
          <w:bCs/>
          <w:color w:val="auto"/>
          <w:sz w:val="21"/>
          <w:szCs w:val="21"/>
          <w:highlight w:val="none"/>
          <w:lang w:eastAsia="zh-CN"/>
        </w:rPr>
        <w:t>；</w:t>
      </w:r>
    </w:p>
    <w:p w14:paraId="6EC93126">
      <w:pPr>
        <w:spacing w:line="360" w:lineRule="auto"/>
        <w:ind w:firstLine="420" w:firstLineChars="200"/>
        <w:rPr>
          <w:rFonts w:hint="eastAsia" w:ascii="方正仿宋_GB2312" w:hAnsi="方正仿宋_GB2312" w:eastAsia="方正仿宋_GB2312" w:cs="方正仿宋_GB2312"/>
          <w:b w:val="0"/>
          <w:bCs/>
          <w:color w:val="auto"/>
          <w:sz w:val="21"/>
          <w:szCs w:val="21"/>
          <w:highlight w:val="none"/>
          <w:lang w:eastAsia="zh-CN"/>
        </w:rPr>
      </w:pPr>
      <w:r>
        <w:rPr>
          <w:rFonts w:hint="eastAsia" w:ascii="方正仿宋_GB2312" w:hAnsi="方正仿宋_GB2312" w:eastAsia="方正仿宋_GB2312" w:cs="方正仿宋_GB2312"/>
          <w:b w:val="0"/>
          <w:bCs/>
          <w:color w:val="auto"/>
          <w:sz w:val="21"/>
          <w:szCs w:val="21"/>
          <w:highlight w:val="none"/>
          <w:lang w:val="en-US" w:eastAsia="zh-CN"/>
        </w:rPr>
        <w:t>3.</w:t>
      </w:r>
      <w:r>
        <w:rPr>
          <w:rFonts w:hint="eastAsia" w:ascii="方正仿宋_GB2312" w:hAnsi="方正仿宋_GB2312" w:eastAsia="方正仿宋_GB2312" w:cs="方正仿宋_GB2312"/>
          <w:b w:val="0"/>
          <w:bCs/>
          <w:color w:val="auto"/>
          <w:sz w:val="21"/>
          <w:szCs w:val="21"/>
          <w:highlight w:val="none"/>
        </w:rPr>
        <w:t>计日工引起的调整</w:t>
      </w:r>
      <w:r>
        <w:rPr>
          <w:rFonts w:hint="eastAsia" w:ascii="方正仿宋_GB2312" w:hAnsi="方正仿宋_GB2312" w:eastAsia="方正仿宋_GB2312" w:cs="方正仿宋_GB2312"/>
          <w:b w:val="0"/>
          <w:bCs/>
          <w:color w:val="auto"/>
          <w:sz w:val="21"/>
          <w:szCs w:val="21"/>
          <w:highlight w:val="none"/>
          <w:lang w:eastAsia="zh-CN"/>
        </w:rPr>
        <w:t>；</w:t>
      </w:r>
    </w:p>
    <w:p w14:paraId="59DDFB1C">
      <w:pPr>
        <w:spacing w:line="360" w:lineRule="auto"/>
        <w:ind w:firstLine="420" w:firstLineChars="200"/>
        <w:rPr>
          <w:rFonts w:hint="eastAsia" w:ascii="方正仿宋_GB2312" w:hAnsi="方正仿宋_GB2312" w:eastAsia="方正仿宋_GB2312" w:cs="方正仿宋_GB2312"/>
          <w:b w:val="0"/>
          <w:bCs/>
          <w:color w:val="auto"/>
          <w:sz w:val="21"/>
          <w:szCs w:val="21"/>
          <w:highlight w:val="none"/>
          <w:lang w:eastAsia="zh-CN"/>
        </w:rPr>
      </w:pPr>
      <w:r>
        <w:rPr>
          <w:rFonts w:hint="eastAsia" w:ascii="方正仿宋_GB2312" w:hAnsi="方正仿宋_GB2312" w:eastAsia="方正仿宋_GB2312" w:cs="方正仿宋_GB2312"/>
          <w:b w:val="0"/>
          <w:bCs/>
          <w:color w:val="auto"/>
          <w:sz w:val="21"/>
          <w:szCs w:val="21"/>
          <w:highlight w:val="none"/>
          <w:lang w:val="en-US" w:eastAsia="zh-CN"/>
        </w:rPr>
        <w:t>4.</w:t>
      </w:r>
      <w:r>
        <w:rPr>
          <w:rFonts w:hint="eastAsia" w:ascii="方正仿宋_GB2312" w:hAnsi="方正仿宋_GB2312" w:eastAsia="方正仿宋_GB2312" w:cs="方正仿宋_GB2312"/>
          <w:b w:val="0"/>
          <w:bCs/>
          <w:color w:val="auto"/>
          <w:sz w:val="21"/>
          <w:szCs w:val="21"/>
          <w:highlight w:val="none"/>
        </w:rPr>
        <w:t>市场价格波动引起的调整</w:t>
      </w:r>
      <w:r>
        <w:rPr>
          <w:rFonts w:hint="eastAsia" w:ascii="方正仿宋_GB2312" w:hAnsi="方正仿宋_GB2312" w:eastAsia="方正仿宋_GB2312" w:cs="方正仿宋_GB2312"/>
          <w:b w:val="0"/>
          <w:bCs/>
          <w:color w:val="auto"/>
          <w:sz w:val="21"/>
          <w:szCs w:val="21"/>
          <w:highlight w:val="none"/>
          <w:lang w:eastAsia="zh-CN"/>
        </w:rPr>
        <w:t>。</w:t>
      </w:r>
    </w:p>
    <w:p w14:paraId="4A48B093">
      <w:pPr>
        <w:spacing w:line="360" w:lineRule="auto"/>
        <w:ind w:firstLine="422" w:firstLineChars="200"/>
        <w:rPr>
          <w:rFonts w:hint="eastAsia" w:ascii="方正仿宋_GB2312" w:hAnsi="方正仿宋_GB2312" w:eastAsia="方正仿宋_GB2312" w:cs="方正仿宋_GB2312"/>
          <w:b/>
          <w:color w:val="auto"/>
          <w:sz w:val="21"/>
          <w:szCs w:val="21"/>
          <w:highlight w:val="none"/>
          <w:lang w:val="en-US" w:eastAsia="zh-CN"/>
        </w:rPr>
      </w:pPr>
      <w:r>
        <w:rPr>
          <w:rFonts w:hint="eastAsia" w:ascii="方正仿宋_GB2312" w:hAnsi="方正仿宋_GB2312" w:eastAsia="方正仿宋_GB2312" w:cs="方正仿宋_GB2312"/>
          <w:b/>
          <w:color w:val="auto"/>
          <w:sz w:val="21"/>
          <w:szCs w:val="21"/>
          <w:highlight w:val="none"/>
          <w:lang w:val="en-US" w:eastAsia="zh-CN"/>
        </w:rPr>
        <w:t>16.1物价波动引起的价格调整</w:t>
      </w:r>
    </w:p>
    <w:p w14:paraId="51E532E6">
      <w:pPr>
        <w:spacing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lang w:val="en-US" w:eastAsia="zh-CN"/>
        </w:rPr>
        <w:t>物价（</w:t>
      </w:r>
      <w:r>
        <w:rPr>
          <w:rFonts w:hint="eastAsia" w:ascii="方正仿宋_GB2312" w:hAnsi="方正仿宋_GB2312" w:eastAsia="方正仿宋_GB2312" w:cs="方正仿宋_GB2312"/>
          <w:b w:val="0"/>
          <w:bCs/>
          <w:color w:val="auto"/>
          <w:sz w:val="21"/>
          <w:szCs w:val="21"/>
          <w:highlight w:val="none"/>
        </w:rPr>
        <w:t>市场</w:t>
      </w:r>
      <w:r>
        <w:rPr>
          <w:rFonts w:hint="eastAsia" w:ascii="方正仿宋_GB2312" w:hAnsi="方正仿宋_GB2312" w:eastAsia="方正仿宋_GB2312" w:cs="方正仿宋_GB2312"/>
          <w:b w:val="0"/>
          <w:bCs/>
          <w:color w:val="auto"/>
          <w:sz w:val="21"/>
          <w:szCs w:val="21"/>
          <w:highlight w:val="none"/>
          <w:lang w:val="en-US" w:eastAsia="zh-CN"/>
        </w:rPr>
        <w:t>）</w:t>
      </w:r>
      <w:r>
        <w:rPr>
          <w:rFonts w:hint="eastAsia" w:ascii="方正仿宋_GB2312" w:hAnsi="方正仿宋_GB2312" w:eastAsia="方正仿宋_GB2312" w:cs="方正仿宋_GB2312"/>
          <w:b w:val="0"/>
          <w:bCs/>
          <w:color w:val="auto"/>
          <w:sz w:val="21"/>
          <w:szCs w:val="21"/>
          <w:highlight w:val="none"/>
        </w:rPr>
        <w:t>价格波动是否调整合同价的约定：材料调差包括钢材、水泥、商品砼、砂、碎石等所有材料市场价格浮动在±5%（含）以外的价格风险及工程量清单漏项、变更、签证和政策性调整、不可抗力、《承包人提供主要材料和设备一览表》约定的材料、设备价格变动风险以外的其他风险。</w:t>
      </w:r>
    </w:p>
    <w:p w14:paraId="343DA16D">
      <w:pPr>
        <w:spacing w:line="360" w:lineRule="auto"/>
        <w:ind w:firstLine="420" w:firstLineChars="200"/>
        <w:rPr>
          <w:rFonts w:hint="eastAsia" w:ascii="方正仿宋_GB2312" w:hAnsi="方正仿宋_GB2312" w:eastAsia="方正仿宋_GB2312" w:cs="方正仿宋_GB2312"/>
          <w:b w:val="0"/>
          <w:bCs/>
          <w:color w:val="auto"/>
          <w:sz w:val="21"/>
          <w:szCs w:val="21"/>
          <w:highlight w:val="none"/>
          <w:lang w:eastAsia="zh-CN"/>
        </w:rPr>
      </w:pPr>
      <w:r>
        <w:rPr>
          <w:rFonts w:hint="eastAsia" w:ascii="方正仿宋_GB2312" w:hAnsi="方正仿宋_GB2312" w:eastAsia="方正仿宋_GB2312" w:cs="方正仿宋_GB2312"/>
          <w:b w:val="0"/>
          <w:bCs/>
          <w:color w:val="auto"/>
          <w:sz w:val="21"/>
          <w:szCs w:val="21"/>
          <w:highlight w:val="none"/>
        </w:rPr>
        <w:t>因市场价格波动调整合同价格，采用造价信息进行价格调整</w:t>
      </w:r>
      <w:r>
        <w:rPr>
          <w:rFonts w:hint="eastAsia" w:ascii="方正仿宋_GB2312" w:hAnsi="方正仿宋_GB2312" w:eastAsia="方正仿宋_GB2312" w:cs="方正仿宋_GB2312"/>
          <w:b w:val="0"/>
          <w:bCs/>
          <w:color w:val="auto"/>
          <w:sz w:val="21"/>
          <w:szCs w:val="21"/>
          <w:highlight w:val="none"/>
          <w:lang w:eastAsia="zh-CN"/>
        </w:rPr>
        <w:t>：</w:t>
      </w:r>
    </w:p>
    <w:p w14:paraId="6244162E">
      <w:pPr>
        <w:spacing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（1）允许调整的主要材料和设备、基期价格、风险系数、投标报价；</w:t>
      </w:r>
    </w:p>
    <w:p w14:paraId="6690AD0E">
      <w:pPr>
        <w:spacing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（2）主要材料和设备确认价。按施工期间的建设工程造价信息价加权平均计算；</w:t>
      </w:r>
    </w:p>
    <w:p w14:paraId="29683332">
      <w:pPr>
        <w:spacing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3）价差计算法。承包人提供的主要材料和设备一览表中，材料和设备投标价低于（或高于）基准价格的：合同履行期间，材料和设备价格单价涨幅（或跌幅）以基准价格为基础超过约定的风险范围时，其超过部分据实调整。</w:t>
      </w:r>
    </w:p>
    <w:p w14:paraId="72925126">
      <w:pPr>
        <w:tabs>
          <w:tab w:val="left" w:pos="1080"/>
        </w:tabs>
        <w:spacing w:line="360" w:lineRule="auto"/>
        <w:ind w:firstLine="422" w:firstLineChars="200"/>
        <w:rPr>
          <w:rFonts w:hint="default" w:ascii="方正仿宋_GB2312" w:hAnsi="方正仿宋_GB2312" w:eastAsia="方正仿宋_GB2312" w:cs="方正仿宋_GB2312"/>
          <w:b/>
          <w:color w:val="auto"/>
          <w:sz w:val="21"/>
          <w:szCs w:val="21"/>
          <w:highlight w:val="none"/>
          <w:lang w:val="en-US" w:eastAsia="zh-CN"/>
        </w:rPr>
      </w:pPr>
      <w:r>
        <w:rPr>
          <w:rFonts w:hint="eastAsia" w:ascii="方正仿宋_GB2312" w:hAnsi="方正仿宋_GB2312" w:eastAsia="方正仿宋_GB2312" w:cs="方正仿宋_GB2312"/>
          <w:b/>
          <w:color w:val="auto"/>
          <w:sz w:val="21"/>
          <w:szCs w:val="21"/>
          <w:highlight w:val="none"/>
          <w:lang w:val="en-US" w:eastAsia="zh-CN"/>
        </w:rPr>
        <w:t>17.计量与支付</w:t>
      </w:r>
    </w:p>
    <w:p w14:paraId="28DFB680">
      <w:pPr>
        <w:tabs>
          <w:tab w:val="left" w:pos="1080"/>
        </w:tabs>
        <w:spacing w:line="360" w:lineRule="auto"/>
        <w:ind w:firstLine="422" w:firstLineChars="200"/>
        <w:rPr>
          <w:rFonts w:hint="eastAsia" w:ascii="方正仿宋_GB2312" w:hAnsi="方正仿宋_GB2312" w:eastAsia="方正仿宋_GB2312" w:cs="方正仿宋_GB2312"/>
          <w:b/>
          <w:bCs w:val="0"/>
          <w:color w:val="auto"/>
          <w:sz w:val="21"/>
          <w:szCs w:val="21"/>
          <w:highlight w:val="none"/>
        </w:rPr>
      </w:pPr>
      <w:r>
        <w:rPr>
          <w:rFonts w:hint="eastAsia" w:ascii="方正仿宋_GB2312" w:hAnsi="方正仿宋_GB2312" w:eastAsia="方正仿宋_GB2312" w:cs="方正仿宋_GB2312"/>
          <w:b/>
          <w:bCs w:val="0"/>
          <w:color w:val="auto"/>
          <w:sz w:val="21"/>
          <w:szCs w:val="21"/>
          <w:highlight w:val="none"/>
          <w:lang w:val="en-US" w:eastAsia="zh-CN"/>
        </w:rPr>
        <w:t>17.2.1</w:t>
      </w:r>
      <w:r>
        <w:rPr>
          <w:rFonts w:hint="eastAsia" w:ascii="方正仿宋_GB2312" w:hAnsi="方正仿宋_GB2312" w:eastAsia="方正仿宋_GB2312" w:cs="方正仿宋_GB2312"/>
          <w:b/>
          <w:bCs w:val="0"/>
          <w:color w:val="auto"/>
          <w:sz w:val="21"/>
          <w:szCs w:val="21"/>
          <w:highlight w:val="none"/>
        </w:rPr>
        <w:t>预付款</w:t>
      </w:r>
    </w:p>
    <w:p w14:paraId="0DF95071">
      <w:pPr>
        <w:tabs>
          <w:tab w:val="left" w:pos="1080"/>
        </w:tabs>
        <w:spacing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签订合同并进场施工后支付30%预付款（不超合同价），承包人须于60天内完成合同工程量40%。预付款抵扣方式：当工程完成投资达到合同价40%后，对预付款实行一次性扣回。</w:t>
      </w:r>
    </w:p>
    <w:p w14:paraId="321C066F">
      <w:pPr>
        <w:tabs>
          <w:tab w:val="left" w:pos="1080"/>
        </w:tabs>
        <w:spacing w:line="360" w:lineRule="auto"/>
        <w:ind w:firstLine="422" w:firstLineChars="200"/>
        <w:rPr>
          <w:rFonts w:hint="eastAsia" w:ascii="方正仿宋_GB2312" w:hAnsi="方正仿宋_GB2312" w:eastAsia="方正仿宋_GB2312" w:cs="方正仿宋_GB2312"/>
          <w:b/>
          <w:bCs w:val="0"/>
          <w:color w:val="auto"/>
          <w:sz w:val="21"/>
          <w:szCs w:val="21"/>
          <w:highlight w:val="none"/>
        </w:rPr>
      </w:pPr>
      <w:r>
        <w:rPr>
          <w:rFonts w:hint="eastAsia" w:ascii="方正仿宋_GB2312" w:hAnsi="方正仿宋_GB2312" w:eastAsia="方正仿宋_GB2312" w:cs="方正仿宋_GB2312"/>
          <w:b/>
          <w:bCs w:val="0"/>
          <w:color w:val="auto"/>
          <w:sz w:val="21"/>
          <w:szCs w:val="21"/>
          <w:highlight w:val="none"/>
        </w:rPr>
        <w:t>17.3工程进度付款</w:t>
      </w:r>
    </w:p>
    <w:p w14:paraId="2FA5498E">
      <w:pPr>
        <w:tabs>
          <w:tab w:val="left" w:pos="1080"/>
        </w:tabs>
        <w:spacing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根据确定的工程计量结果，工程进度款不低于工程价款的60%，不高于工程价款的90%（不超合同价）。</w:t>
      </w:r>
    </w:p>
    <w:p w14:paraId="55DD8B0A">
      <w:pPr>
        <w:keepNext w:val="0"/>
        <w:keepLines w:val="0"/>
        <w:widowControl/>
        <w:suppressLineNumbers w:val="0"/>
        <w:ind w:firstLine="422" w:firstLineChars="200"/>
        <w:jc w:val="left"/>
        <w:rPr>
          <w:rFonts w:hint="eastAsia" w:ascii="方正仿宋_GB2312" w:hAnsi="方正仿宋_GB2312" w:eastAsia="方正仿宋_GB2312" w:cs="方正仿宋_GB2312"/>
          <w:b/>
          <w:bCs w:val="0"/>
          <w:color w:val="auto"/>
          <w:sz w:val="21"/>
          <w:szCs w:val="21"/>
          <w:highlight w:val="none"/>
          <w:lang w:val="en-US" w:eastAsia="zh-CN"/>
        </w:rPr>
      </w:pPr>
      <w:r>
        <w:rPr>
          <w:rFonts w:hint="eastAsia" w:ascii="方正仿宋_GB2312" w:hAnsi="方正仿宋_GB2312" w:eastAsia="方正仿宋_GB2312" w:cs="方正仿宋_GB2312"/>
          <w:b/>
          <w:bCs w:val="0"/>
          <w:color w:val="auto"/>
          <w:sz w:val="21"/>
          <w:szCs w:val="21"/>
          <w:highlight w:val="none"/>
          <w:lang w:val="en-US" w:eastAsia="zh-CN"/>
        </w:rPr>
        <w:t>17.4质量保证金</w:t>
      </w:r>
    </w:p>
    <w:p w14:paraId="0F5C6606">
      <w:pPr>
        <w:tabs>
          <w:tab w:val="left" w:pos="1080"/>
        </w:tabs>
        <w:spacing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质保金：结算审定总价3%，工程质量保修期满，发包人复验工程无质量问题后，签发工程缺陷责任期终止证书并退还承包方缴存的质保金（无息）。</w:t>
      </w:r>
    </w:p>
    <w:p w14:paraId="605488C6">
      <w:pPr>
        <w:tabs>
          <w:tab w:val="left" w:pos="1080"/>
        </w:tabs>
        <w:spacing w:line="360" w:lineRule="auto"/>
        <w:ind w:firstLine="422" w:firstLineChars="200"/>
        <w:rPr>
          <w:rFonts w:hint="eastAsia" w:ascii="方正仿宋_GB2312" w:hAnsi="方正仿宋_GB2312" w:eastAsia="方正仿宋_GB2312" w:cs="方正仿宋_GB2312"/>
          <w:b/>
          <w:color w:val="auto"/>
          <w:sz w:val="21"/>
          <w:szCs w:val="21"/>
          <w:highlight w:val="none"/>
          <w:lang w:val="en-US" w:eastAsia="zh-CN"/>
        </w:rPr>
      </w:pPr>
      <w:r>
        <w:rPr>
          <w:rFonts w:hint="eastAsia" w:ascii="方正仿宋_GB2312" w:hAnsi="方正仿宋_GB2312" w:eastAsia="方正仿宋_GB2312" w:cs="方正仿宋_GB2312"/>
          <w:b/>
          <w:color w:val="auto"/>
          <w:sz w:val="21"/>
          <w:szCs w:val="21"/>
          <w:highlight w:val="none"/>
          <w:lang w:val="en-US" w:eastAsia="zh-CN"/>
        </w:rPr>
        <w:t>17.5 交工结算</w:t>
      </w:r>
    </w:p>
    <w:p w14:paraId="5CB12767">
      <w:pPr>
        <w:tabs>
          <w:tab w:val="left" w:pos="1080"/>
        </w:tabs>
        <w:spacing w:line="360" w:lineRule="auto"/>
        <w:ind w:firstLine="420" w:firstLineChars="200"/>
        <w:rPr>
          <w:rFonts w:hint="default" w:ascii="方正仿宋_GB2312" w:hAnsi="方正仿宋_GB2312" w:eastAsia="方正仿宋_GB2312" w:cs="方正仿宋_GB2312"/>
          <w:b/>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rPr>
        <w:t>待完成项目结算评审及承包方预存项目结算评审价3%作为工程质量保证金后，承包人将质量保证金存入发包人指定账户（户名：马山县财政局，账号：20-044101040005567，开户行：农行马山县支行营业室），发包人则按审计结算价全额支付工程款，待工程质量保修期满后如数返还给承包人（工程质量保证金不计息）</w:t>
      </w:r>
    </w:p>
    <w:p w14:paraId="2AFE8ED6">
      <w:pPr>
        <w:tabs>
          <w:tab w:val="left" w:pos="1080"/>
        </w:tabs>
        <w:spacing w:line="360" w:lineRule="auto"/>
        <w:ind w:firstLine="422" w:firstLine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18.9 竣工文件</w:t>
      </w:r>
    </w:p>
    <w:p w14:paraId="038D6AE8">
      <w:pPr>
        <w:tabs>
          <w:tab w:val="left" w:pos="1080"/>
        </w:tabs>
        <w:spacing w:line="360" w:lineRule="auto"/>
        <w:ind w:firstLine="422"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
          <w:color w:val="auto"/>
          <w:sz w:val="21"/>
          <w:szCs w:val="21"/>
          <w:highlight w:val="none"/>
        </w:rPr>
        <w:t xml:space="preserve"> （增加）</w:t>
      </w:r>
      <w:r>
        <w:rPr>
          <w:rFonts w:hint="eastAsia" w:ascii="方正仿宋_GB2312" w:hAnsi="方正仿宋_GB2312" w:eastAsia="方正仿宋_GB2312" w:cs="方正仿宋_GB2312"/>
          <w:color w:val="auto"/>
          <w:sz w:val="21"/>
          <w:szCs w:val="21"/>
          <w:highlight w:val="none"/>
        </w:rPr>
        <w:t>工程竣工文件的立卷归档按交通部《关于印发公路建设项目文件材料立卷归档管理办法的通知》（交办发[2010]382号）及《公路工程竣（交）工验收办法实施细则》（交公路发[2010]65号）和广西壮族自治区公路管理局《广西公路网项目公路工程文件材料收集立卷归档及验收实施细则（修订）》（桂路工程发[2014]316号）执行。</w:t>
      </w:r>
    </w:p>
    <w:p w14:paraId="7F64FD13">
      <w:pPr>
        <w:tabs>
          <w:tab w:val="left" w:pos="1080"/>
        </w:tabs>
        <w:spacing w:line="360" w:lineRule="auto"/>
        <w:ind w:firstLine="422" w:firstLine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20.2 人员工伤事故的保险</w:t>
      </w:r>
    </w:p>
    <w:p w14:paraId="35D76A6D">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20.2.1 承包人员工伤事故的保险</w:t>
      </w:r>
    </w:p>
    <w:p w14:paraId="08C329CF">
      <w:pPr>
        <w:tabs>
          <w:tab w:val="left" w:pos="1080"/>
        </w:tabs>
        <w:spacing w:line="360" w:lineRule="auto"/>
        <w:ind w:firstLine="420" w:firstLine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color w:val="auto"/>
          <w:sz w:val="21"/>
          <w:szCs w:val="21"/>
          <w:highlight w:val="none"/>
        </w:rPr>
        <w:t>增加内容：</w:t>
      </w:r>
    </w:p>
    <w:p w14:paraId="77FB334E">
      <w:pPr>
        <w:autoSpaceDE w:val="0"/>
        <w:autoSpaceDN w:val="0"/>
        <w:adjustRightInd w:val="0"/>
        <w:spacing w:line="360" w:lineRule="auto"/>
        <w:ind w:firstLine="420" w:firstLineChars="200"/>
        <w:jc w:val="left"/>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办理保险的一切费用均由承包人承担，并包括在工程量清单的单价及总额价中，发包人不单独支付。</w:t>
      </w:r>
    </w:p>
    <w:p w14:paraId="366D45BB">
      <w:pPr>
        <w:tabs>
          <w:tab w:val="left" w:pos="1080"/>
        </w:tabs>
        <w:spacing w:line="360" w:lineRule="auto"/>
        <w:ind w:firstLine="422" w:firstLine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20.3 人身意外伤害险</w:t>
      </w:r>
    </w:p>
    <w:p w14:paraId="636AC23E">
      <w:pPr>
        <w:tabs>
          <w:tab w:val="left" w:pos="1080"/>
        </w:tabs>
        <w:spacing w:line="360" w:lineRule="auto"/>
        <w:ind w:firstLine="420" w:firstLineChars="200"/>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sz w:val="21"/>
          <w:szCs w:val="21"/>
          <w:highlight w:val="none"/>
        </w:rPr>
        <w:t>20.3.2 承包人应在整个施工期间为其现场机构雇用的全部人员，投保人身意外伤害险，缴纳保险费，并要求其分包人也进行此项保险。</w:t>
      </w:r>
      <w:r>
        <w:rPr>
          <w:rFonts w:hint="eastAsia" w:ascii="方正仿宋_GB2312" w:hAnsi="方正仿宋_GB2312" w:eastAsia="方正仿宋_GB2312" w:cs="方正仿宋_GB2312"/>
          <w:color w:val="auto"/>
          <w:kern w:val="0"/>
          <w:sz w:val="21"/>
          <w:szCs w:val="21"/>
          <w:highlight w:val="none"/>
        </w:rPr>
        <w:t>办理保险的一切费用均由承包人承担，并包括在工程量清单的单价及总额价中，发包人不单独支付。</w:t>
      </w:r>
    </w:p>
    <w:p w14:paraId="79BC5C98">
      <w:pPr>
        <w:autoSpaceDE w:val="0"/>
        <w:autoSpaceDN w:val="0"/>
        <w:adjustRightInd w:val="0"/>
        <w:spacing w:line="360" w:lineRule="auto"/>
        <w:ind w:firstLine="420" w:firstLineChars="200"/>
        <w:jc w:val="left"/>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其中：人身意外伤害险每位被保险人的最低保险金额为</w:t>
      </w:r>
      <w:r>
        <w:rPr>
          <w:rFonts w:hint="eastAsia" w:ascii="方正仿宋_GB2312" w:hAnsi="方正仿宋_GB2312" w:eastAsia="方正仿宋_GB2312" w:cs="方正仿宋_GB2312"/>
          <w:b/>
          <w:color w:val="auto"/>
          <w:kern w:val="0"/>
          <w:sz w:val="21"/>
          <w:szCs w:val="21"/>
          <w:highlight w:val="none"/>
        </w:rPr>
        <w:t>10万元</w:t>
      </w:r>
      <w:r>
        <w:rPr>
          <w:rFonts w:hint="eastAsia" w:ascii="方正仿宋_GB2312" w:hAnsi="方正仿宋_GB2312" w:eastAsia="方正仿宋_GB2312" w:cs="方正仿宋_GB2312"/>
          <w:color w:val="auto"/>
          <w:kern w:val="0"/>
          <w:sz w:val="21"/>
          <w:szCs w:val="21"/>
          <w:highlight w:val="none"/>
        </w:rPr>
        <w:t>人民币，附加意外伤害险医疗险的保险金额为</w:t>
      </w:r>
      <w:r>
        <w:rPr>
          <w:rFonts w:hint="eastAsia" w:ascii="方正仿宋_GB2312" w:hAnsi="方正仿宋_GB2312" w:eastAsia="方正仿宋_GB2312" w:cs="方正仿宋_GB2312"/>
          <w:b/>
          <w:color w:val="auto"/>
          <w:kern w:val="0"/>
          <w:sz w:val="21"/>
          <w:szCs w:val="21"/>
          <w:highlight w:val="none"/>
        </w:rPr>
        <w:t>2万元</w:t>
      </w:r>
      <w:r>
        <w:rPr>
          <w:rFonts w:hint="eastAsia" w:ascii="方正仿宋_GB2312" w:hAnsi="方正仿宋_GB2312" w:eastAsia="方正仿宋_GB2312" w:cs="方正仿宋_GB2312"/>
          <w:color w:val="auto"/>
          <w:kern w:val="0"/>
          <w:sz w:val="21"/>
          <w:szCs w:val="21"/>
          <w:highlight w:val="none"/>
        </w:rPr>
        <w:t>人民币，每标段的人身意外伤害险和附加意外伤害医疗险保险费按合同价（不含该保险费）的</w:t>
      </w:r>
      <w:r>
        <w:rPr>
          <w:rFonts w:hint="eastAsia" w:ascii="方正仿宋_GB2312" w:hAnsi="方正仿宋_GB2312" w:eastAsia="方正仿宋_GB2312" w:cs="方正仿宋_GB2312"/>
          <w:b/>
          <w:color w:val="auto"/>
          <w:kern w:val="0"/>
          <w:sz w:val="21"/>
          <w:szCs w:val="21"/>
          <w:highlight w:val="none"/>
        </w:rPr>
        <w:t>3‰</w:t>
      </w:r>
      <w:r>
        <w:rPr>
          <w:rFonts w:hint="eastAsia" w:ascii="方正仿宋_GB2312" w:hAnsi="方正仿宋_GB2312" w:eastAsia="方正仿宋_GB2312" w:cs="方正仿宋_GB2312"/>
          <w:color w:val="auto"/>
          <w:kern w:val="0"/>
          <w:sz w:val="21"/>
          <w:szCs w:val="21"/>
          <w:highlight w:val="none"/>
        </w:rPr>
        <w:t>计列。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自施工队伍进场之日起至工程通过</w:t>
      </w:r>
      <w:r>
        <w:rPr>
          <w:rFonts w:hint="eastAsia" w:ascii="方正仿宋_GB2312" w:hAnsi="方正仿宋_GB2312" w:eastAsia="方正仿宋_GB2312" w:cs="方正仿宋_GB2312"/>
          <w:color w:val="auto"/>
          <w:kern w:val="0"/>
          <w:sz w:val="21"/>
          <w:szCs w:val="21"/>
          <w:highlight w:val="none"/>
          <w:lang w:eastAsia="zh-CN"/>
        </w:rPr>
        <w:t>交工</w:t>
      </w:r>
      <w:r>
        <w:rPr>
          <w:rFonts w:hint="eastAsia" w:ascii="方正仿宋_GB2312" w:hAnsi="方正仿宋_GB2312" w:eastAsia="方正仿宋_GB2312" w:cs="方正仿宋_GB2312"/>
          <w:color w:val="auto"/>
          <w:kern w:val="0"/>
          <w:sz w:val="21"/>
          <w:szCs w:val="21"/>
          <w:highlight w:val="none"/>
        </w:rPr>
        <w:t>验收时止。</w:t>
      </w:r>
    </w:p>
    <w:p w14:paraId="36A08930">
      <w:pPr>
        <w:tabs>
          <w:tab w:val="left" w:pos="1080"/>
        </w:tabs>
        <w:spacing w:line="360" w:lineRule="auto"/>
        <w:ind w:firstLine="420" w:firstLine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color w:val="auto"/>
          <w:kern w:val="0"/>
          <w:sz w:val="21"/>
          <w:szCs w:val="21"/>
          <w:highlight w:val="none"/>
        </w:rPr>
        <w:t>施工合同签订后工程开工前</w:t>
      </w:r>
      <w:r>
        <w:rPr>
          <w:rFonts w:hint="eastAsia" w:ascii="方正仿宋_GB2312" w:hAnsi="方正仿宋_GB2312" w:eastAsia="方正仿宋_GB2312" w:cs="方正仿宋_GB2312"/>
          <w:b/>
          <w:color w:val="auto"/>
          <w:kern w:val="0"/>
          <w:sz w:val="21"/>
          <w:szCs w:val="21"/>
          <w:highlight w:val="none"/>
        </w:rPr>
        <w:t>15</w:t>
      </w:r>
      <w:r>
        <w:rPr>
          <w:rFonts w:hint="eastAsia" w:ascii="方正仿宋_GB2312" w:hAnsi="方正仿宋_GB2312" w:eastAsia="方正仿宋_GB2312" w:cs="方正仿宋_GB2312"/>
          <w:color w:val="auto"/>
          <w:kern w:val="0"/>
          <w:sz w:val="21"/>
          <w:szCs w:val="21"/>
          <w:highlight w:val="none"/>
        </w:rPr>
        <w:t>日，承包人必须按有关规定与保险公司签订人身意外伤害险和附加意外伤害医疗险以及其他需要投保的保险的保险合同。</w:t>
      </w:r>
    </w:p>
    <w:p w14:paraId="36F43184">
      <w:pPr>
        <w:tabs>
          <w:tab w:val="left" w:pos="1080"/>
        </w:tabs>
        <w:spacing w:line="360" w:lineRule="auto"/>
        <w:ind w:firstLine="422" w:firstLine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20.4  第三者责任险</w:t>
      </w:r>
    </w:p>
    <w:p w14:paraId="75450C2C">
      <w:pPr>
        <w:tabs>
          <w:tab w:val="left" w:pos="1080"/>
        </w:tabs>
        <w:spacing w:line="360" w:lineRule="auto"/>
        <w:ind w:firstLine="422" w:firstLine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rPr>
        <w:t>第三者责任险由承包人以承包人与业主的名义联名投保，最低投保额：100万元，事故次数不限，保险费由投标人在清单中报价，业主根据承包人提供的保险发票在合同清单第三者险报价限额内进行计量支付。</w:t>
      </w:r>
    </w:p>
    <w:p w14:paraId="301833BB">
      <w:pPr>
        <w:tabs>
          <w:tab w:val="left" w:pos="1080"/>
        </w:tabs>
        <w:spacing w:line="360" w:lineRule="auto"/>
        <w:ind w:firstLine="422" w:firstLine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22.1  承包人违约</w:t>
      </w:r>
    </w:p>
    <w:p w14:paraId="4C71200D">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22.1.2  当承包人发生第22.1.1项约定的违约情况时，除按22.1.2对承包人违约进行处理外,发包人还</w:t>
      </w:r>
      <w:r>
        <w:rPr>
          <w:rFonts w:hint="eastAsia" w:ascii="方正仿宋_GB2312" w:hAnsi="方正仿宋_GB2312" w:eastAsia="方正仿宋_GB2312" w:cs="方正仿宋_GB2312"/>
          <w:b/>
          <w:color w:val="auto"/>
          <w:sz w:val="21"/>
          <w:szCs w:val="21"/>
          <w:highlight w:val="none"/>
        </w:rPr>
        <w:t>将承包人的违约行为纳入信用评价，</w:t>
      </w:r>
      <w:r>
        <w:rPr>
          <w:rFonts w:hint="eastAsia" w:ascii="方正仿宋_GB2312" w:hAnsi="方正仿宋_GB2312" w:eastAsia="方正仿宋_GB2312" w:cs="方正仿宋_GB2312"/>
          <w:color w:val="auto"/>
          <w:sz w:val="21"/>
          <w:szCs w:val="21"/>
          <w:highlight w:val="none"/>
        </w:rPr>
        <w:t>并有权向承包人课以违约金，具体约定如下：</w:t>
      </w:r>
    </w:p>
    <w:p w14:paraId="7518A819">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（1）～（3）按原条款。增加以下条款：</w:t>
      </w:r>
    </w:p>
    <w:p w14:paraId="16E2EE21">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除工程主体、关健性工作以外的其他部分和工作允许分包，但承包人未经发包人书面同意,私自将工程中除工程主体、关健性工作以外的其他部分和工作分包给第三人，视为承包人违约。发包人可向承包人发出限期整改通知，承包人应在限期内改正。若承包人未在限期内改正，发包人可书面通知承包人不再承担私自分包项目的施工，由发包人另行组织人员或委托其他承包人施工，并依法办理转让手续。</w:t>
      </w:r>
    </w:p>
    <w:p w14:paraId="20BCFC62">
      <w:pPr>
        <w:tabs>
          <w:tab w:val="left" w:pos="1080"/>
        </w:tabs>
        <w:spacing w:line="360" w:lineRule="auto"/>
        <w:ind w:firstLine="422" w:firstLine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（5）有以下行为的，可对承包人处以以下的违约金。</w:t>
      </w:r>
    </w:p>
    <w:p w14:paraId="46D47857">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a．由于承包人没有履行合同规定的义务与责任，同类事件第一次被监理工程师、业主工作指令整改的处</w:t>
      </w:r>
      <w:r>
        <w:rPr>
          <w:rFonts w:hint="eastAsia" w:ascii="方正仿宋_GB2312" w:hAnsi="方正仿宋_GB2312" w:eastAsia="方正仿宋_GB2312" w:cs="方正仿宋_GB2312"/>
          <w:color w:val="auto"/>
          <w:sz w:val="21"/>
          <w:szCs w:val="21"/>
          <w:highlight w:val="none"/>
          <w:lang w:val="en-US" w:eastAsia="zh-CN"/>
        </w:rPr>
        <w:t>1</w:t>
      </w:r>
      <w:r>
        <w:rPr>
          <w:rFonts w:hint="eastAsia" w:ascii="方正仿宋_GB2312" w:hAnsi="方正仿宋_GB2312" w:eastAsia="方正仿宋_GB2312" w:cs="方正仿宋_GB2312"/>
          <w:color w:val="auto"/>
          <w:sz w:val="21"/>
          <w:szCs w:val="21"/>
          <w:highlight w:val="none"/>
        </w:rPr>
        <w:t>000元/次；第二次出现指令整改的处</w:t>
      </w:r>
      <w:r>
        <w:rPr>
          <w:rFonts w:hint="eastAsia" w:ascii="方正仿宋_GB2312" w:hAnsi="方正仿宋_GB2312" w:eastAsia="方正仿宋_GB2312" w:cs="方正仿宋_GB2312"/>
          <w:color w:val="auto"/>
          <w:sz w:val="21"/>
          <w:szCs w:val="21"/>
          <w:highlight w:val="none"/>
          <w:lang w:val="en-US" w:eastAsia="zh-CN"/>
        </w:rPr>
        <w:t>2</w:t>
      </w:r>
      <w:r>
        <w:rPr>
          <w:rFonts w:hint="eastAsia" w:ascii="方正仿宋_GB2312" w:hAnsi="方正仿宋_GB2312" w:eastAsia="方正仿宋_GB2312" w:cs="方正仿宋_GB2312"/>
          <w:color w:val="auto"/>
          <w:sz w:val="21"/>
          <w:szCs w:val="21"/>
          <w:highlight w:val="none"/>
        </w:rPr>
        <w:t>000元/次；多次重复出现被责令整改的处</w:t>
      </w:r>
      <w:r>
        <w:rPr>
          <w:rFonts w:hint="eastAsia" w:ascii="方正仿宋_GB2312" w:hAnsi="方正仿宋_GB2312" w:eastAsia="方正仿宋_GB2312" w:cs="方正仿宋_GB2312"/>
          <w:color w:val="auto"/>
          <w:sz w:val="21"/>
          <w:szCs w:val="21"/>
          <w:highlight w:val="none"/>
          <w:lang w:val="en-US" w:eastAsia="zh-CN"/>
        </w:rPr>
        <w:t>5</w:t>
      </w:r>
      <w:r>
        <w:rPr>
          <w:rFonts w:hint="eastAsia" w:ascii="方正仿宋_GB2312" w:hAnsi="方正仿宋_GB2312" w:eastAsia="方正仿宋_GB2312" w:cs="方正仿宋_GB2312"/>
          <w:color w:val="auto"/>
          <w:sz w:val="21"/>
          <w:szCs w:val="21"/>
          <w:highlight w:val="none"/>
        </w:rPr>
        <w:t>000元/次。</w:t>
      </w:r>
    </w:p>
    <w:p w14:paraId="421C3144">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b．在指令规定时间内拒不整改的同一事件被第二次及以上责令整改的处</w:t>
      </w:r>
      <w:r>
        <w:rPr>
          <w:rFonts w:hint="eastAsia" w:ascii="方正仿宋_GB2312" w:hAnsi="方正仿宋_GB2312" w:eastAsia="方正仿宋_GB2312" w:cs="方正仿宋_GB2312"/>
          <w:color w:val="auto"/>
          <w:sz w:val="21"/>
          <w:szCs w:val="21"/>
          <w:highlight w:val="none"/>
          <w:lang w:val="en-US" w:eastAsia="zh-CN"/>
        </w:rPr>
        <w:t>5</w:t>
      </w:r>
      <w:r>
        <w:rPr>
          <w:rFonts w:hint="eastAsia" w:ascii="方正仿宋_GB2312" w:hAnsi="方正仿宋_GB2312" w:eastAsia="方正仿宋_GB2312" w:cs="方正仿宋_GB2312"/>
          <w:color w:val="auto"/>
          <w:sz w:val="21"/>
          <w:szCs w:val="21"/>
          <w:highlight w:val="none"/>
        </w:rPr>
        <w:t>000元/次。</w:t>
      </w:r>
    </w:p>
    <w:p w14:paraId="20E5F095">
      <w:pPr>
        <w:tabs>
          <w:tab w:val="left" w:pos="1080"/>
        </w:tabs>
        <w:suppressAutoHyphen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（6）有22.1.1.（1）款行为的，一经按交通主管部门规定或合同规定认定，业主将责令承</w:t>
      </w:r>
    </w:p>
    <w:p w14:paraId="4DCA8EC9">
      <w:pPr>
        <w:suppressAutoHyphen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包人纠正，并由承包人承担由此产生的一切损失责任，并处以履约保证金20%的违约金。</w:t>
      </w:r>
    </w:p>
    <w:p w14:paraId="1CA95E7C">
      <w:pPr>
        <w:tabs>
          <w:tab w:val="left" w:pos="1080"/>
        </w:tabs>
        <w:suppressAutoHyphen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（7）有</w:t>
      </w:r>
      <w:r>
        <w:rPr>
          <w:rFonts w:hint="eastAsia" w:ascii="方正仿宋_GB2312" w:hAnsi="方正仿宋_GB2312" w:eastAsia="方正仿宋_GB2312" w:cs="方正仿宋_GB2312"/>
          <w:b/>
          <w:color w:val="auto"/>
          <w:sz w:val="21"/>
          <w:szCs w:val="21"/>
          <w:highlight w:val="none"/>
        </w:rPr>
        <w:t>22.1.1.（3）</w:t>
      </w:r>
      <w:r>
        <w:rPr>
          <w:rFonts w:hint="eastAsia" w:ascii="方正仿宋_GB2312" w:hAnsi="方正仿宋_GB2312" w:eastAsia="方正仿宋_GB2312" w:cs="方正仿宋_GB2312"/>
          <w:color w:val="auto"/>
          <w:sz w:val="21"/>
          <w:szCs w:val="21"/>
          <w:highlight w:val="none"/>
        </w:rPr>
        <w:t>款行为的，由监理工程师发出整改工作指令，按本条（4）对承包人处以违约金。</w:t>
      </w:r>
    </w:p>
    <w:p w14:paraId="3D949CDC">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（8）有</w:t>
      </w:r>
      <w:r>
        <w:rPr>
          <w:rFonts w:hint="eastAsia" w:ascii="方正仿宋_GB2312" w:hAnsi="方正仿宋_GB2312" w:eastAsia="方正仿宋_GB2312" w:cs="方正仿宋_GB2312"/>
          <w:b/>
          <w:color w:val="auto"/>
          <w:sz w:val="21"/>
          <w:szCs w:val="21"/>
          <w:highlight w:val="none"/>
        </w:rPr>
        <w:t>22.1.1.（5）</w:t>
      </w:r>
      <w:r>
        <w:rPr>
          <w:rFonts w:hint="eastAsia" w:ascii="方正仿宋_GB2312" w:hAnsi="方正仿宋_GB2312" w:eastAsia="方正仿宋_GB2312" w:cs="方正仿宋_GB2312"/>
          <w:color w:val="auto"/>
          <w:sz w:val="21"/>
          <w:szCs w:val="21"/>
          <w:highlight w:val="none"/>
        </w:rPr>
        <w:t>款行为的，除按合同相关条款处理外，由监理工程师发出整改工作指令，按本款（4）对承包人处以违约金。</w:t>
      </w:r>
    </w:p>
    <w:p w14:paraId="393378BC">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（9）有</w:t>
      </w:r>
      <w:r>
        <w:rPr>
          <w:rFonts w:hint="eastAsia" w:ascii="方正仿宋_GB2312" w:hAnsi="方正仿宋_GB2312" w:eastAsia="方正仿宋_GB2312" w:cs="方正仿宋_GB2312"/>
          <w:b/>
          <w:color w:val="auto"/>
          <w:sz w:val="21"/>
          <w:szCs w:val="21"/>
          <w:highlight w:val="none"/>
        </w:rPr>
        <w:t>22.1.1.（7）</w:t>
      </w:r>
      <w:r>
        <w:rPr>
          <w:rFonts w:hint="eastAsia" w:ascii="方正仿宋_GB2312" w:hAnsi="方正仿宋_GB2312" w:eastAsia="方正仿宋_GB2312" w:cs="方正仿宋_GB2312"/>
          <w:color w:val="auto"/>
          <w:sz w:val="21"/>
          <w:szCs w:val="21"/>
          <w:highlight w:val="none"/>
        </w:rPr>
        <w:t>款行为的，可对承包人处以以下的违约金。</w:t>
      </w:r>
    </w:p>
    <w:p w14:paraId="41AB0ADD">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a．未按规定开工的，可处以</w:t>
      </w:r>
      <w:r>
        <w:rPr>
          <w:rFonts w:hint="eastAsia" w:ascii="方正仿宋_GB2312" w:hAnsi="方正仿宋_GB2312" w:eastAsia="方正仿宋_GB2312" w:cs="方正仿宋_GB2312"/>
          <w:color w:val="auto"/>
          <w:sz w:val="21"/>
          <w:szCs w:val="21"/>
          <w:highlight w:val="none"/>
          <w:lang w:val="en-US" w:eastAsia="zh-CN"/>
        </w:rPr>
        <w:t>1</w:t>
      </w:r>
      <w:r>
        <w:rPr>
          <w:rFonts w:hint="eastAsia" w:ascii="方正仿宋_GB2312" w:hAnsi="方正仿宋_GB2312" w:eastAsia="方正仿宋_GB2312" w:cs="方正仿宋_GB2312"/>
          <w:color w:val="auto"/>
          <w:sz w:val="21"/>
          <w:szCs w:val="21"/>
          <w:highlight w:val="none"/>
        </w:rPr>
        <w:t>000元/天的业主延期损失偿金。</w:t>
      </w:r>
    </w:p>
    <w:p w14:paraId="2DAB32D5">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b．未按指令采取措施加快进行本工程或其关键部分的施工，可处以1000元/天的业主延期损失偿金。</w:t>
      </w:r>
    </w:p>
    <w:p w14:paraId="5E6F4D04">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c．路面碎石材料采备没有达到计划进度，按月检查处</w:t>
      </w:r>
      <w:r>
        <w:rPr>
          <w:rFonts w:hint="eastAsia" w:ascii="方正仿宋_GB2312" w:hAnsi="方正仿宋_GB2312" w:eastAsia="方正仿宋_GB2312" w:cs="方正仿宋_GB2312"/>
          <w:color w:val="auto"/>
          <w:sz w:val="21"/>
          <w:szCs w:val="21"/>
          <w:highlight w:val="none"/>
          <w:lang w:val="en-US" w:eastAsia="zh-CN"/>
        </w:rPr>
        <w:t>20</w:t>
      </w:r>
      <w:r>
        <w:rPr>
          <w:rFonts w:hint="eastAsia" w:ascii="方正仿宋_GB2312" w:hAnsi="方正仿宋_GB2312" w:eastAsia="方正仿宋_GB2312" w:cs="方正仿宋_GB2312"/>
          <w:color w:val="auto"/>
          <w:sz w:val="21"/>
          <w:szCs w:val="21"/>
          <w:highlight w:val="none"/>
        </w:rPr>
        <w:t>00元/月。</w:t>
      </w:r>
    </w:p>
    <w:p w14:paraId="3167CADC">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d．未按均衡组织施工要求组织施工的，处每项</w:t>
      </w:r>
      <w:r>
        <w:rPr>
          <w:rFonts w:hint="eastAsia" w:ascii="方正仿宋_GB2312" w:hAnsi="方正仿宋_GB2312" w:eastAsia="方正仿宋_GB2312" w:cs="方正仿宋_GB2312"/>
          <w:color w:val="auto"/>
          <w:sz w:val="21"/>
          <w:szCs w:val="21"/>
          <w:highlight w:val="none"/>
          <w:lang w:val="en-US" w:eastAsia="zh-CN"/>
        </w:rPr>
        <w:t>30</w:t>
      </w:r>
      <w:r>
        <w:rPr>
          <w:rFonts w:hint="eastAsia" w:ascii="方正仿宋_GB2312" w:hAnsi="方正仿宋_GB2312" w:eastAsia="方正仿宋_GB2312" w:cs="方正仿宋_GB2312"/>
          <w:color w:val="auto"/>
          <w:sz w:val="21"/>
          <w:szCs w:val="21"/>
          <w:highlight w:val="none"/>
        </w:rPr>
        <w:t>00元/月次。</w:t>
      </w:r>
    </w:p>
    <w:p w14:paraId="2BD99BF7">
      <w:pPr>
        <w:tabs>
          <w:tab w:val="left" w:pos="1080"/>
        </w:tabs>
        <w:spacing w:line="360" w:lineRule="auto"/>
        <w:ind w:firstLine="422" w:firstLine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（10）有22.1.1.（8）款行为或以下行为的，视为承包人违约，可对承包人处以下的违约金。</w:t>
      </w:r>
    </w:p>
    <w:p w14:paraId="3B28900C">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a. 承包人更换主要人员的，项目经理处</w:t>
      </w:r>
      <w:r>
        <w:rPr>
          <w:rFonts w:hint="eastAsia" w:ascii="方正仿宋_GB2312" w:hAnsi="方正仿宋_GB2312" w:eastAsia="方正仿宋_GB2312" w:cs="方正仿宋_GB2312"/>
          <w:color w:val="auto"/>
          <w:sz w:val="21"/>
          <w:szCs w:val="21"/>
          <w:highlight w:val="none"/>
          <w:lang w:val="en-US" w:eastAsia="zh-CN"/>
        </w:rPr>
        <w:t>3000</w:t>
      </w:r>
      <w:r>
        <w:rPr>
          <w:rFonts w:hint="eastAsia" w:ascii="方正仿宋_GB2312" w:hAnsi="方正仿宋_GB2312" w:eastAsia="方正仿宋_GB2312" w:cs="方正仿宋_GB2312"/>
          <w:color w:val="auto"/>
          <w:sz w:val="21"/>
          <w:szCs w:val="21"/>
          <w:highlight w:val="none"/>
        </w:rPr>
        <w:t>元/人次，总工（或技术负责人）处</w:t>
      </w:r>
      <w:r>
        <w:rPr>
          <w:rFonts w:hint="eastAsia" w:ascii="方正仿宋_GB2312" w:hAnsi="方正仿宋_GB2312" w:eastAsia="方正仿宋_GB2312" w:cs="方正仿宋_GB2312"/>
          <w:color w:val="auto"/>
          <w:sz w:val="21"/>
          <w:szCs w:val="21"/>
          <w:highlight w:val="none"/>
          <w:lang w:val="en-US" w:eastAsia="zh-CN"/>
        </w:rPr>
        <w:t>1500</w:t>
      </w:r>
      <w:r>
        <w:rPr>
          <w:rFonts w:hint="eastAsia" w:ascii="方正仿宋_GB2312" w:hAnsi="方正仿宋_GB2312" w:eastAsia="方正仿宋_GB2312" w:cs="方正仿宋_GB2312"/>
          <w:color w:val="auto"/>
          <w:sz w:val="21"/>
          <w:szCs w:val="21"/>
          <w:highlight w:val="none"/>
        </w:rPr>
        <w:t>万元/人次，其他主要人员（指测量工程师、计量工程师和试验工程师）处</w:t>
      </w:r>
      <w:r>
        <w:rPr>
          <w:rFonts w:hint="eastAsia" w:ascii="方正仿宋_GB2312" w:hAnsi="方正仿宋_GB2312" w:eastAsia="方正仿宋_GB2312" w:cs="方正仿宋_GB2312"/>
          <w:color w:val="auto"/>
          <w:sz w:val="21"/>
          <w:szCs w:val="21"/>
          <w:highlight w:val="none"/>
          <w:lang w:val="en-US" w:eastAsia="zh-CN"/>
        </w:rPr>
        <w:t>800</w:t>
      </w:r>
      <w:r>
        <w:rPr>
          <w:rFonts w:hint="eastAsia" w:ascii="方正仿宋_GB2312" w:hAnsi="方正仿宋_GB2312" w:eastAsia="方正仿宋_GB2312" w:cs="方正仿宋_GB2312"/>
          <w:color w:val="auto"/>
          <w:sz w:val="21"/>
          <w:szCs w:val="21"/>
          <w:highlight w:val="none"/>
        </w:rPr>
        <w:t>元/人次”。但如果其更换取得业主同意的，可以不进行违约金处罚。</w:t>
      </w:r>
    </w:p>
    <w:p w14:paraId="741F49B2">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b.项目经理、总工驻工地每年不满300天，处</w:t>
      </w:r>
      <w:r>
        <w:rPr>
          <w:rFonts w:hint="eastAsia" w:ascii="方正仿宋_GB2312" w:hAnsi="方正仿宋_GB2312" w:eastAsia="方正仿宋_GB2312" w:cs="方正仿宋_GB2312"/>
          <w:color w:val="auto"/>
          <w:sz w:val="21"/>
          <w:szCs w:val="21"/>
          <w:highlight w:val="none"/>
          <w:lang w:val="en-US" w:eastAsia="zh-CN"/>
        </w:rPr>
        <w:t>5000</w:t>
      </w:r>
      <w:r>
        <w:rPr>
          <w:rFonts w:hint="eastAsia" w:ascii="方正仿宋_GB2312" w:hAnsi="方正仿宋_GB2312" w:eastAsia="方正仿宋_GB2312" w:cs="方正仿宋_GB2312"/>
          <w:color w:val="auto"/>
          <w:sz w:val="21"/>
          <w:szCs w:val="21"/>
          <w:highlight w:val="none"/>
        </w:rPr>
        <w:t>元/人年，其他主要人员处</w:t>
      </w:r>
      <w:r>
        <w:rPr>
          <w:rFonts w:hint="eastAsia" w:ascii="方正仿宋_GB2312" w:hAnsi="方正仿宋_GB2312" w:eastAsia="方正仿宋_GB2312" w:cs="方正仿宋_GB2312"/>
          <w:color w:val="auto"/>
          <w:sz w:val="21"/>
          <w:szCs w:val="21"/>
          <w:highlight w:val="none"/>
          <w:lang w:val="en-US" w:eastAsia="zh-CN"/>
        </w:rPr>
        <w:t>2</w:t>
      </w:r>
      <w:r>
        <w:rPr>
          <w:rFonts w:hint="eastAsia" w:ascii="方正仿宋_GB2312" w:hAnsi="方正仿宋_GB2312" w:eastAsia="方正仿宋_GB2312" w:cs="方正仿宋_GB2312"/>
          <w:color w:val="auto"/>
          <w:sz w:val="21"/>
          <w:szCs w:val="21"/>
          <w:highlight w:val="none"/>
        </w:rPr>
        <w:t>000元/人年。</w:t>
      </w:r>
    </w:p>
    <w:p w14:paraId="0251548F">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c.未经请假准允离开工地，经理、总工处</w:t>
      </w:r>
      <w:r>
        <w:rPr>
          <w:rFonts w:hint="eastAsia" w:ascii="方正仿宋_GB2312" w:hAnsi="方正仿宋_GB2312" w:eastAsia="方正仿宋_GB2312" w:cs="方正仿宋_GB2312"/>
          <w:color w:val="auto"/>
          <w:sz w:val="21"/>
          <w:szCs w:val="21"/>
          <w:highlight w:val="none"/>
          <w:lang w:val="en-US" w:eastAsia="zh-CN"/>
        </w:rPr>
        <w:t>500</w:t>
      </w:r>
      <w:r>
        <w:rPr>
          <w:rFonts w:hint="eastAsia" w:ascii="方正仿宋_GB2312" w:hAnsi="方正仿宋_GB2312" w:eastAsia="方正仿宋_GB2312" w:cs="方正仿宋_GB2312"/>
          <w:color w:val="auto"/>
          <w:sz w:val="21"/>
          <w:szCs w:val="21"/>
          <w:highlight w:val="none"/>
        </w:rPr>
        <w:t>元/人日，其他主要人员处</w:t>
      </w:r>
      <w:r>
        <w:rPr>
          <w:rFonts w:hint="eastAsia" w:ascii="方正仿宋_GB2312" w:hAnsi="方正仿宋_GB2312" w:eastAsia="方正仿宋_GB2312" w:cs="方正仿宋_GB2312"/>
          <w:color w:val="auto"/>
          <w:sz w:val="21"/>
          <w:szCs w:val="21"/>
          <w:highlight w:val="none"/>
          <w:lang w:val="en-US" w:eastAsia="zh-CN"/>
        </w:rPr>
        <w:t>2</w:t>
      </w:r>
      <w:r>
        <w:rPr>
          <w:rFonts w:hint="eastAsia" w:ascii="方正仿宋_GB2312" w:hAnsi="方正仿宋_GB2312" w:eastAsia="方正仿宋_GB2312" w:cs="方正仿宋_GB2312"/>
          <w:color w:val="auto"/>
          <w:sz w:val="21"/>
          <w:szCs w:val="21"/>
          <w:highlight w:val="none"/>
        </w:rPr>
        <w:t>00元/人日。</w:t>
      </w:r>
    </w:p>
    <w:p w14:paraId="5B4415A8">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d．主要设备没有按承诺进场的处</w:t>
      </w:r>
      <w:r>
        <w:rPr>
          <w:rFonts w:hint="eastAsia" w:ascii="方正仿宋_GB2312" w:hAnsi="方正仿宋_GB2312" w:eastAsia="方正仿宋_GB2312" w:cs="方正仿宋_GB2312"/>
          <w:color w:val="auto"/>
          <w:sz w:val="21"/>
          <w:szCs w:val="21"/>
          <w:highlight w:val="none"/>
          <w:lang w:val="en-US" w:eastAsia="zh-CN"/>
        </w:rPr>
        <w:t>2</w:t>
      </w:r>
      <w:r>
        <w:rPr>
          <w:rFonts w:hint="eastAsia" w:ascii="方正仿宋_GB2312" w:hAnsi="方正仿宋_GB2312" w:eastAsia="方正仿宋_GB2312" w:cs="方正仿宋_GB2312"/>
          <w:color w:val="auto"/>
          <w:sz w:val="21"/>
          <w:szCs w:val="21"/>
          <w:highlight w:val="none"/>
        </w:rPr>
        <w:t>00元台/日。</w:t>
      </w:r>
    </w:p>
    <w:p w14:paraId="50F0F1AC">
      <w:pPr>
        <w:tabs>
          <w:tab w:val="left" w:pos="1080"/>
        </w:tabs>
        <w:spacing w:line="360" w:lineRule="auto"/>
        <w:ind w:firstLine="422" w:firstLine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（11）有以下情形的，可对承包人处以违约金。</w:t>
      </w:r>
    </w:p>
    <w:p w14:paraId="46E142D8">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a.质量管理</w:t>
      </w:r>
    </w:p>
    <w:p w14:paraId="401DCBE6">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(a)出现下列行为之一可处200元/（人）次。</w:t>
      </w:r>
    </w:p>
    <w:p w14:paraId="304F8BD2">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Ⅰ 分项工程施工现场无合格的施工责任牌；或</w:t>
      </w:r>
    </w:p>
    <w:p w14:paraId="6C2D5206">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Ⅱ 分项工程施工现场无其相关责任人；或</w:t>
      </w:r>
    </w:p>
    <w:p w14:paraId="1AF06810">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Ⅲ 施工现场无基本的检测检验工具；或</w:t>
      </w:r>
    </w:p>
    <w:p w14:paraId="259EE89C">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Ⅳ 施工现场相关责任人无检查检验记录表；或</w:t>
      </w:r>
    </w:p>
    <w:p w14:paraId="47E665D9">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Ⅴ 现场已完成工作无检查记录。</w:t>
      </w:r>
    </w:p>
    <w:p w14:paraId="25E4954C">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（b）出现以下行为之一，可处</w:t>
      </w:r>
      <w:r>
        <w:rPr>
          <w:rFonts w:hint="eastAsia" w:ascii="方正仿宋_GB2312" w:hAnsi="方正仿宋_GB2312" w:eastAsia="方正仿宋_GB2312" w:cs="方正仿宋_GB2312"/>
          <w:color w:val="auto"/>
          <w:sz w:val="21"/>
          <w:szCs w:val="21"/>
          <w:highlight w:val="none"/>
          <w:lang w:val="en-US" w:eastAsia="zh-CN"/>
        </w:rPr>
        <w:t>5</w:t>
      </w:r>
      <w:r>
        <w:rPr>
          <w:rFonts w:hint="eastAsia" w:ascii="方正仿宋_GB2312" w:hAnsi="方正仿宋_GB2312" w:eastAsia="方正仿宋_GB2312" w:cs="方正仿宋_GB2312"/>
          <w:color w:val="auto"/>
          <w:sz w:val="21"/>
          <w:szCs w:val="21"/>
          <w:highlight w:val="none"/>
        </w:rPr>
        <w:t>00元/次。</w:t>
      </w:r>
    </w:p>
    <w:p w14:paraId="26DD4B95">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Ⅰ　未按工序申请检验进入下一道工序的；或</w:t>
      </w:r>
    </w:p>
    <w:p w14:paraId="5795ED9D">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Ⅱ　隐蔽工程记录文件不全；或</w:t>
      </w:r>
    </w:p>
    <w:p w14:paraId="49B4424A">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Ⅲ　施工试验检验频率不符合施工规范规定；或</w:t>
      </w:r>
    </w:p>
    <w:p w14:paraId="0DFC172E">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Ⅳ　分项工程质量自检验收检验频率不符合质量评定标准规定的。</w:t>
      </w:r>
    </w:p>
    <w:p w14:paraId="78EFB037">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（c）出现以下行为之一，可处</w:t>
      </w:r>
      <w:r>
        <w:rPr>
          <w:rFonts w:hint="eastAsia" w:ascii="方正仿宋_GB2312" w:hAnsi="方正仿宋_GB2312" w:eastAsia="方正仿宋_GB2312" w:cs="方正仿宋_GB2312"/>
          <w:color w:val="auto"/>
          <w:sz w:val="21"/>
          <w:szCs w:val="21"/>
          <w:highlight w:val="none"/>
          <w:lang w:val="en-US" w:eastAsia="zh-CN"/>
        </w:rPr>
        <w:t>10</w:t>
      </w:r>
      <w:r>
        <w:rPr>
          <w:rFonts w:hint="eastAsia" w:ascii="方正仿宋_GB2312" w:hAnsi="方正仿宋_GB2312" w:eastAsia="方正仿宋_GB2312" w:cs="方正仿宋_GB2312"/>
          <w:color w:val="auto"/>
          <w:sz w:val="21"/>
          <w:szCs w:val="21"/>
          <w:highlight w:val="none"/>
        </w:rPr>
        <w:t>00元/次。</w:t>
      </w:r>
    </w:p>
    <w:p w14:paraId="2A7165F7">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Ⅰ　出现质量问题，且承包人负有直接责任的，或不能证明其履行其职责的。或</w:t>
      </w:r>
    </w:p>
    <w:p w14:paraId="6AA674B2">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Ⅱ　发生质量事故，未按有关规定和时间向有关部门报告的；</w:t>
      </w:r>
    </w:p>
    <w:p w14:paraId="203443A6">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Ⅲ　已经施工完成的工程没有按竣工文件收集归档管理办法要求依分项工程、工序将施工作业记录、测量记录、试验检测记录及工序报验审批记录等收集归档。</w:t>
      </w:r>
    </w:p>
    <w:p w14:paraId="27757C39">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（d ）出现以下行为之一，可处</w:t>
      </w:r>
      <w:r>
        <w:rPr>
          <w:rFonts w:hint="eastAsia" w:ascii="方正仿宋_GB2312" w:hAnsi="方正仿宋_GB2312" w:eastAsia="方正仿宋_GB2312" w:cs="方正仿宋_GB2312"/>
          <w:color w:val="auto"/>
          <w:sz w:val="21"/>
          <w:szCs w:val="21"/>
          <w:highlight w:val="none"/>
          <w:lang w:val="en-US" w:eastAsia="zh-CN"/>
        </w:rPr>
        <w:t>30</w:t>
      </w:r>
      <w:r>
        <w:rPr>
          <w:rFonts w:hint="eastAsia" w:ascii="方正仿宋_GB2312" w:hAnsi="方正仿宋_GB2312" w:eastAsia="方正仿宋_GB2312" w:cs="方正仿宋_GB2312"/>
          <w:color w:val="auto"/>
          <w:sz w:val="21"/>
          <w:szCs w:val="21"/>
          <w:highlight w:val="none"/>
        </w:rPr>
        <w:t>00元/次。</w:t>
      </w:r>
    </w:p>
    <w:p w14:paraId="6239FB05">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Ⅰ　施工单位不接受质监机构监督；或</w:t>
      </w:r>
    </w:p>
    <w:p w14:paraId="01562332">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Ⅱ　出现二、三级一般质量事故，且承包人负有直接责任，或不能证明其履行其职责的；或</w:t>
      </w:r>
    </w:p>
    <w:p w14:paraId="526E683C">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Ⅲ　未按规定建立合格的工地试验室的；或</w:t>
      </w:r>
    </w:p>
    <w:p w14:paraId="533BD06E">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Ⅳ　路基土石方，路面各结构层一次单项单点实体抽查合格率为50%—70%的；或</w:t>
      </w:r>
    </w:p>
    <w:p w14:paraId="75D5F412">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Ⅴ　砌筑、排水、小桥、涵洞等构造物，中小型预制构件等一次单点实体抽查合格率为50%—75%的；或</w:t>
      </w:r>
    </w:p>
    <w:p w14:paraId="54763C22">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Ⅵ　特大桥、大桥、中桥、隧道、船闸、枢纽厂房、大坝等主要构造物，大型预制构件等一次单点实体抽查合格率为60%—75%的；或</w:t>
      </w:r>
    </w:p>
    <w:p w14:paraId="41C7ED1E">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Ⅶ　使用主要材料（钢筋、水泥、沥青、碎石、砂、砂砾等）不合格的。或</w:t>
      </w:r>
    </w:p>
    <w:p w14:paraId="4BC18525">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Ⅷ　已经施工完成的工程无法提供按竣工文件收集归档管理办法要求应收集的分项工程、工序的施工作业记录、测量记录、试验检测记录及工序报验审批记录等质量管理文件的。</w:t>
      </w:r>
    </w:p>
    <w:p w14:paraId="61BA0A84">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（e）出现以下行为之一，可处</w:t>
      </w:r>
      <w:r>
        <w:rPr>
          <w:rFonts w:hint="eastAsia" w:ascii="方正仿宋_GB2312" w:hAnsi="方正仿宋_GB2312" w:eastAsia="方正仿宋_GB2312" w:cs="方正仿宋_GB2312"/>
          <w:color w:val="auto"/>
          <w:sz w:val="21"/>
          <w:szCs w:val="21"/>
          <w:highlight w:val="none"/>
          <w:lang w:val="en-US" w:eastAsia="zh-CN"/>
        </w:rPr>
        <w:t>5</w:t>
      </w:r>
      <w:r>
        <w:rPr>
          <w:rFonts w:hint="eastAsia" w:ascii="方正仿宋_GB2312" w:hAnsi="方正仿宋_GB2312" w:eastAsia="方正仿宋_GB2312" w:cs="方正仿宋_GB2312"/>
          <w:color w:val="auto"/>
          <w:sz w:val="21"/>
          <w:szCs w:val="21"/>
          <w:highlight w:val="none"/>
        </w:rPr>
        <w:t>000元/次。</w:t>
      </w:r>
    </w:p>
    <w:p w14:paraId="470CAB19">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Ⅰ　发生一级一般质量事故或重大质量事故，且承包人负有直接责任，或不能证明其履行其职责的； </w:t>
      </w:r>
    </w:p>
    <w:p w14:paraId="06C57168">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Ⅱ　路基土石方，路面各结构一次单项单点实体抽查合格率在50%以下的（单点合格率计算以设计值为准，达不到设计值的点为不合格点，下同）；或</w:t>
      </w:r>
    </w:p>
    <w:p w14:paraId="432FB5EE">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Ⅲ　砌筑、排水、小桥、涵洞等构造物，中小型预制构件，房建工程等一次单点实体抽查合格率小于50%的；或</w:t>
      </w:r>
    </w:p>
    <w:p w14:paraId="1D4CBE77">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Ⅳ　特大桥、大桥、中桥、隧道、船闸、枢纽厂房、大坝等主要构造物，大型预制构件等一次单点实体抽查合格率小于60%的；或</w:t>
      </w:r>
    </w:p>
    <w:p w14:paraId="7DEEEA8F">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Ⅴ　未按要求进行自检，弄虚作假、捏造数据、伪造试验报告的。</w:t>
      </w:r>
    </w:p>
    <w:p w14:paraId="081D3AF6">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（f）因质量问题被地市级及以上交通主管部门、质量监督单位、公路管理机构通报（批评）的，可对承包人处以</w:t>
      </w:r>
      <w:r>
        <w:rPr>
          <w:rFonts w:hint="eastAsia" w:ascii="方正仿宋_GB2312" w:hAnsi="方正仿宋_GB2312" w:eastAsia="方正仿宋_GB2312" w:cs="方正仿宋_GB2312"/>
          <w:color w:val="auto"/>
          <w:sz w:val="21"/>
          <w:szCs w:val="21"/>
          <w:highlight w:val="none"/>
          <w:lang w:val="en-US" w:eastAsia="zh-CN"/>
        </w:rPr>
        <w:t>5</w:t>
      </w:r>
      <w:r>
        <w:rPr>
          <w:rFonts w:hint="eastAsia" w:ascii="方正仿宋_GB2312" w:hAnsi="方正仿宋_GB2312" w:eastAsia="方正仿宋_GB2312" w:cs="方正仿宋_GB2312"/>
          <w:color w:val="auto"/>
          <w:sz w:val="21"/>
          <w:szCs w:val="21"/>
          <w:highlight w:val="none"/>
        </w:rPr>
        <w:t>000元违约金，红牌警告</w:t>
      </w:r>
      <w:r>
        <w:rPr>
          <w:rFonts w:hint="eastAsia" w:ascii="方正仿宋_GB2312" w:hAnsi="方正仿宋_GB2312" w:eastAsia="方正仿宋_GB2312" w:cs="方正仿宋_GB2312"/>
          <w:color w:val="auto"/>
          <w:sz w:val="21"/>
          <w:szCs w:val="21"/>
          <w:highlight w:val="none"/>
          <w:lang w:val="en-US" w:eastAsia="zh-CN"/>
        </w:rPr>
        <w:t>3</w:t>
      </w:r>
      <w:r>
        <w:rPr>
          <w:rFonts w:hint="eastAsia" w:ascii="方正仿宋_GB2312" w:hAnsi="方正仿宋_GB2312" w:eastAsia="方正仿宋_GB2312" w:cs="方正仿宋_GB2312"/>
          <w:color w:val="auto"/>
          <w:sz w:val="21"/>
          <w:szCs w:val="21"/>
          <w:highlight w:val="none"/>
        </w:rPr>
        <w:t>000元，黄牌警告</w:t>
      </w:r>
      <w:r>
        <w:rPr>
          <w:rFonts w:hint="eastAsia" w:ascii="方正仿宋_GB2312" w:hAnsi="方正仿宋_GB2312" w:eastAsia="方正仿宋_GB2312" w:cs="方正仿宋_GB2312"/>
          <w:color w:val="auto"/>
          <w:sz w:val="21"/>
          <w:szCs w:val="21"/>
          <w:highlight w:val="none"/>
          <w:lang w:val="en-US" w:eastAsia="zh-CN"/>
        </w:rPr>
        <w:t>2</w:t>
      </w:r>
      <w:r>
        <w:rPr>
          <w:rFonts w:hint="eastAsia" w:ascii="方正仿宋_GB2312" w:hAnsi="方正仿宋_GB2312" w:eastAsia="方正仿宋_GB2312" w:cs="方正仿宋_GB2312"/>
          <w:color w:val="auto"/>
          <w:sz w:val="21"/>
          <w:szCs w:val="21"/>
          <w:highlight w:val="none"/>
        </w:rPr>
        <w:t>000元。</w:t>
      </w:r>
    </w:p>
    <w:p w14:paraId="2D201D06">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b．安全生产管理</w:t>
      </w:r>
    </w:p>
    <w:p w14:paraId="067ECF2A">
      <w:pPr>
        <w:numPr>
          <w:ilvl w:val="0"/>
          <w:numId w:val="3"/>
        </w:num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出现下列行为之一的，责令限期改正，并处</w:t>
      </w:r>
      <w:r>
        <w:rPr>
          <w:rFonts w:hint="eastAsia" w:ascii="方正仿宋_GB2312" w:hAnsi="方正仿宋_GB2312" w:eastAsia="方正仿宋_GB2312" w:cs="方正仿宋_GB2312"/>
          <w:color w:val="auto"/>
          <w:sz w:val="21"/>
          <w:szCs w:val="21"/>
          <w:highlight w:val="none"/>
          <w:lang w:val="en-US" w:eastAsia="zh-CN"/>
        </w:rPr>
        <w:t>5</w:t>
      </w:r>
      <w:r>
        <w:rPr>
          <w:rFonts w:hint="eastAsia" w:ascii="方正仿宋_GB2312" w:hAnsi="方正仿宋_GB2312" w:eastAsia="方正仿宋_GB2312" w:cs="方正仿宋_GB2312"/>
          <w:color w:val="auto"/>
          <w:sz w:val="21"/>
          <w:szCs w:val="21"/>
          <w:highlight w:val="none"/>
        </w:rPr>
        <w:t>000元的罚款：</w:t>
      </w:r>
    </w:p>
    <w:p w14:paraId="21927B99">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 1 \* ROMAN \* MERGEFORMAT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z w:val="21"/>
          <w:szCs w:val="21"/>
          <w:highlight w:val="none"/>
        </w:rPr>
        <w:t>I</w:t>
      </w:r>
      <w:r>
        <w:rPr>
          <w:rFonts w:hint="eastAsia" w:ascii="方正仿宋_GB2312" w:hAnsi="方正仿宋_GB2312" w:eastAsia="方正仿宋_GB2312" w:cs="方正仿宋_GB2312"/>
          <w:color w:val="auto"/>
          <w:sz w:val="21"/>
          <w:szCs w:val="21"/>
          <w:highlight w:val="none"/>
        </w:rPr>
        <w:fldChar w:fldCharType="end"/>
      </w:r>
      <w:r>
        <w:rPr>
          <w:rFonts w:hint="eastAsia" w:ascii="方正仿宋_GB2312" w:hAnsi="方正仿宋_GB2312" w:eastAsia="方正仿宋_GB2312" w:cs="方正仿宋_GB2312"/>
          <w:color w:val="auto"/>
          <w:sz w:val="21"/>
          <w:szCs w:val="21"/>
          <w:highlight w:val="none"/>
        </w:rPr>
        <w:t xml:space="preserve">  未按照规定设置安全生产管理机构或者配备安全管理人员的；</w:t>
      </w:r>
    </w:p>
    <w:p w14:paraId="174024F7">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 2 \* ROMAN \* MERGEFORMAT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z w:val="21"/>
          <w:szCs w:val="21"/>
          <w:highlight w:val="none"/>
        </w:rPr>
        <w:t>II</w:t>
      </w:r>
      <w:r>
        <w:rPr>
          <w:rFonts w:hint="eastAsia" w:ascii="方正仿宋_GB2312" w:hAnsi="方正仿宋_GB2312" w:eastAsia="方正仿宋_GB2312" w:cs="方正仿宋_GB2312"/>
          <w:color w:val="auto"/>
          <w:sz w:val="21"/>
          <w:szCs w:val="21"/>
          <w:highlight w:val="none"/>
        </w:rPr>
        <w:fldChar w:fldCharType="end"/>
      </w:r>
      <w:r>
        <w:rPr>
          <w:rFonts w:hint="eastAsia" w:ascii="方正仿宋_GB2312" w:hAnsi="方正仿宋_GB2312" w:eastAsia="方正仿宋_GB2312" w:cs="方正仿宋_GB2312"/>
          <w:color w:val="auto"/>
          <w:sz w:val="21"/>
          <w:szCs w:val="21"/>
          <w:highlight w:val="none"/>
        </w:rPr>
        <w:t xml:space="preserve">  未按规定对从业人员、被派遣劳动者、实习学生进行安全生产教育和培训，或者未按照规定如实告知有关的安全生产事项的；</w:t>
      </w:r>
    </w:p>
    <w:p w14:paraId="58CA7A65">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 3 \* ROMAN \* MERGEFORMAT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z w:val="21"/>
          <w:szCs w:val="21"/>
          <w:highlight w:val="none"/>
        </w:rPr>
        <w:t>III</w:t>
      </w:r>
      <w:r>
        <w:rPr>
          <w:rFonts w:hint="eastAsia" w:ascii="方正仿宋_GB2312" w:hAnsi="方正仿宋_GB2312" w:eastAsia="方正仿宋_GB2312" w:cs="方正仿宋_GB2312"/>
          <w:color w:val="auto"/>
          <w:sz w:val="21"/>
          <w:szCs w:val="21"/>
          <w:highlight w:val="none"/>
        </w:rPr>
        <w:fldChar w:fldCharType="end"/>
      </w:r>
      <w:r>
        <w:rPr>
          <w:rFonts w:hint="eastAsia" w:ascii="方正仿宋_GB2312" w:hAnsi="方正仿宋_GB2312" w:eastAsia="方正仿宋_GB2312" w:cs="方正仿宋_GB2312"/>
          <w:color w:val="auto"/>
          <w:sz w:val="21"/>
          <w:szCs w:val="21"/>
          <w:highlight w:val="none"/>
        </w:rPr>
        <w:t xml:space="preserve">  未如实记录安全生产教育和培训情况的；</w:t>
      </w:r>
    </w:p>
    <w:p w14:paraId="5631FE3D">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 4 \* ROMAN \* MERGEFORMAT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z w:val="21"/>
          <w:szCs w:val="21"/>
          <w:highlight w:val="none"/>
        </w:rPr>
        <w:t>IV</w:t>
      </w:r>
      <w:r>
        <w:rPr>
          <w:rFonts w:hint="eastAsia" w:ascii="方正仿宋_GB2312" w:hAnsi="方正仿宋_GB2312" w:eastAsia="方正仿宋_GB2312" w:cs="方正仿宋_GB2312"/>
          <w:color w:val="auto"/>
          <w:sz w:val="21"/>
          <w:szCs w:val="21"/>
          <w:highlight w:val="none"/>
        </w:rPr>
        <w:fldChar w:fldCharType="end"/>
      </w:r>
      <w:r>
        <w:rPr>
          <w:rFonts w:hint="eastAsia" w:ascii="方正仿宋_GB2312" w:hAnsi="方正仿宋_GB2312" w:eastAsia="方正仿宋_GB2312" w:cs="方正仿宋_GB2312"/>
          <w:color w:val="auto"/>
          <w:sz w:val="21"/>
          <w:szCs w:val="21"/>
          <w:highlight w:val="none"/>
        </w:rPr>
        <w:t xml:space="preserve">  未将事故隐患排查治理情况如实记录或者未向从业人员通报的；</w:t>
      </w:r>
    </w:p>
    <w:p w14:paraId="02CF1FCA">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 5 \* ROMAN \* MERGEFORMAT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z w:val="21"/>
          <w:szCs w:val="21"/>
          <w:highlight w:val="none"/>
        </w:rPr>
        <w:t>V</w:t>
      </w:r>
      <w:r>
        <w:rPr>
          <w:rFonts w:hint="eastAsia" w:ascii="方正仿宋_GB2312" w:hAnsi="方正仿宋_GB2312" w:eastAsia="方正仿宋_GB2312" w:cs="方正仿宋_GB2312"/>
          <w:color w:val="auto"/>
          <w:sz w:val="21"/>
          <w:szCs w:val="21"/>
          <w:highlight w:val="none"/>
        </w:rPr>
        <w:fldChar w:fldCharType="end"/>
      </w:r>
      <w:r>
        <w:rPr>
          <w:rFonts w:hint="eastAsia" w:ascii="方正仿宋_GB2312" w:hAnsi="方正仿宋_GB2312" w:eastAsia="方正仿宋_GB2312" w:cs="方正仿宋_GB2312"/>
          <w:color w:val="auto"/>
          <w:sz w:val="21"/>
          <w:szCs w:val="21"/>
          <w:highlight w:val="none"/>
        </w:rPr>
        <w:t xml:space="preserve">  未按照规定制定生产安全事故应急救援预案或者从业人员定期组织演练的；</w:t>
      </w:r>
    </w:p>
    <w:p w14:paraId="0A17A4E6">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 6 \* ROMAN \* MERGEFORMAT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z w:val="21"/>
          <w:szCs w:val="21"/>
          <w:highlight w:val="none"/>
        </w:rPr>
        <w:t>VI</w:t>
      </w:r>
      <w:r>
        <w:rPr>
          <w:rFonts w:hint="eastAsia" w:ascii="方正仿宋_GB2312" w:hAnsi="方正仿宋_GB2312" w:eastAsia="方正仿宋_GB2312" w:cs="方正仿宋_GB2312"/>
          <w:color w:val="auto"/>
          <w:sz w:val="21"/>
          <w:szCs w:val="21"/>
          <w:highlight w:val="none"/>
        </w:rPr>
        <w:fldChar w:fldCharType="end"/>
      </w:r>
      <w:r>
        <w:rPr>
          <w:rFonts w:hint="eastAsia" w:ascii="方正仿宋_GB2312" w:hAnsi="方正仿宋_GB2312" w:eastAsia="方正仿宋_GB2312" w:cs="方正仿宋_GB2312"/>
          <w:color w:val="auto"/>
          <w:sz w:val="21"/>
          <w:szCs w:val="21"/>
          <w:highlight w:val="none"/>
        </w:rPr>
        <w:t xml:space="preserve">  特种作业人员未按照规定经专门的安全作业培训并取得相应资格，上岗作业的；</w:t>
      </w:r>
    </w:p>
    <w:p w14:paraId="2668537F">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 7 \* ROMAN \* MERGEFORMAT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z w:val="21"/>
          <w:szCs w:val="21"/>
          <w:highlight w:val="none"/>
        </w:rPr>
        <w:t>VII</w:t>
      </w:r>
      <w:r>
        <w:rPr>
          <w:rFonts w:hint="eastAsia" w:ascii="方正仿宋_GB2312" w:hAnsi="方正仿宋_GB2312" w:eastAsia="方正仿宋_GB2312" w:cs="方正仿宋_GB2312"/>
          <w:color w:val="auto"/>
          <w:sz w:val="21"/>
          <w:szCs w:val="21"/>
          <w:highlight w:val="none"/>
        </w:rPr>
        <w:fldChar w:fldCharType="end"/>
      </w:r>
      <w:r>
        <w:rPr>
          <w:rFonts w:hint="eastAsia" w:ascii="方正仿宋_GB2312" w:hAnsi="方正仿宋_GB2312" w:eastAsia="方正仿宋_GB2312" w:cs="方正仿宋_GB2312"/>
          <w:color w:val="auto"/>
          <w:sz w:val="21"/>
          <w:szCs w:val="21"/>
          <w:highlight w:val="none"/>
        </w:rPr>
        <w:t xml:space="preserve">  未在有较大危险因素的施工场所和有关设施、设备上设置明显的安全警示标志的；</w:t>
      </w:r>
    </w:p>
    <w:p w14:paraId="38EEC3A4">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 8 \* ROMAN \* MERGEFORMAT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z w:val="21"/>
          <w:szCs w:val="21"/>
          <w:highlight w:val="none"/>
        </w:rPr>
        <w:t>VIII</w:t>
      </w:r>
      <w:r>
        <w:rPr>
          <w:rFonts w:hint="eastAsia" w:ascii="方正仿宋_GB2312" w:hAnsi="方正仿宋_GB2312" w:eastAsia="方正仿宋_GB2312" w:cs="方正仿宋_GB2312"/>
          <w:color w:val="auto"/>
          <w:sz w:val="21"/>
          <w:szCs w:val="21"/>
          <w:highlight w:val="none"/>
        </w:rPr>
        <w:fldChar w:fldCharType="end"/>
      </w:r>
      <w:r>
        <w:rPr>
          <w:rFonts w:hint="eastAsia" w:ascii="方正仿宋_GB2312" w:hAnsi="方正仿宋_GB2312" w:eastAsia="方正仿宋_GB2312" w:cs="方正仿宋_GB2312"/>
          <w:color w:val="auto"/>
          <w:sz w:val="21"/>
          <w:szCs w:val="21"/>
          <w:highlight w:val="none"/>
        </w:rPr>
        <w:t xml:space="preserve">  安全设备的安装、使用、检测、改造不符合国家标准或者行业标准的；</w:t>
      </w:r>
    </w:p>
    <w:p w14:paraId="07BF7143">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 9 \* ROMAN \* MERGEFORMAT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z w:val="21"/>
          <w:szCs w:val="21"/>
          <w:highlight w:val="none"/>
        </w:rPr>
        <w:t>IX</w:t>
      </w:r>
      <w:r>
        <w:rPr>
          <w:rFonts w:hint="eastAsia" w:ascii="方正仿宋_GB2312" w:hAnsi="方正仿宋_GB2312" w:eastAsia="方正仿宋_GB2312" w:cs="方正仿宋_GB2312"/>
          <w:color w:val="auto"/>
          <w:sz w:val="21"/>
          <w:szCs w:val="21"/>
          <w:highlight w:val="none"/>
        </w:rPr>
        <w:fldChar w:fldCharType="end"/>
      </w:r>
      <w:r>
        <w:rPr>
          <w:rFonts w:hint="eastAsia" w:ascii="方正仿宋_GB2312" w:hAnsi="方正仿宋_GB2312" w:eastAsia="方正仿宋_GB2312" w:cs="方正仿宋_GB2312"/>
          <w:color w:val="auto"/>
          <w:sz w:val="21"/>
          <w:szCs w:val="21"/>
          <w:highlight w:val="none"/>
        </w:rPr>
        <w:t xml:space="preserve">   未对安全设备进行经常性维护、保养和定期检测的；</w:t>
      </w:r>
    </w:p>
    <w:p w14:paraId="2F5AF2EA">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 10 \* ROMAN \* MERGEFORMAT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z w:val="21"/>
          <w:szCs w:val="21"/>
          <w:highlight w:val="none"/>
        </w:rPr>
        <w:t>X</w:t>
      </w:r>
      <w:r>
        <w:rPr>
          <w:rFonts w:hint="eastAsia" w:ascii="方正仿宋_GB2312" w:hAnsi="方正仿宋_GB2312" w:eastAsia="方正仿宋_GB2312" w:cs="方正仿宋_GB2312"/>
          <w:color w:val="auto"/>
          <w:sz w:val="21"/>
          <w:szCs w:val="21"/>
          <w:highlight w:val="none"/>
        </w:rPr>
        <w:fldChar w:fldCharType="end"/>
      </w:r>
      <w:r>
        <w:rPr>
          <w:rFonts w:hint="eastAsia" w:ascii="方正仿宋_GB2312" w:hAnsi="方正仿宋_GB2312" w:eastAsia="方正仿宋_GB2312" w:cs="方正仿宋_GB2312"/>
          <w:color w:val="auto"/>
          <w:sz w:val="21"/>
          <w:szCs w:val="21"/>
          <w:highlight w:val="none"/>
        </w:rPr>
        <w:t xml:space="preserve">   未为从业人员提供符合国家标准或者行业标准的劳动防护用品的。</w:t>
      </w:r>
    </w:p>
    <w:p w14:paraId="1B33DF96">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（b)出现下列行为之一的，责令限期改正，并处</w:t>
      </w:r>
      <w:r>
        <w:rPr>
          <w:rFonts w:hint="eastAsia" w:ascii="方正仿宋_GB2312" w:hAnsi="方正仿宋_GB2312" w:eastAsia="方正仿宋_GB2312" w:cs="方正仿宋_GB2312"/>
          <w:color w:val="auto"/>
          <w:sz w:val="21"/>
          <w:szCs w:val="21"/>
          <w:highlight w:val="none"/>
          <w:lang w:val="en-US" w:eastAsia="zh-CN"/>
        </w:rPr>
        <w:t>10</w:t>
      </w:r>
      <w:r>
        <w:rPr>
          <w:rFonts w:hint="eastAsia" w:ascii="方正仿宋_GB2312" w:hAnsi="方正仿宋_GB2312" w:eastAsia="方正仿宋_GB2312" w:cs="方正仿宋_GB2312"/>
          <w:color w:val="auto"/>
          <w:sz w:val="21"/>
          <w:szCs w:val="21"/>
          <w:highlight w:val="none"/>
        </w:rPr>
        <w:t>000元的罚款：</w:t>
      </w:r>
    </w:p>
    <w:p w14:paraId="76BD18E3">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 1 \* ROMAN \* MERGEFORMAT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z w:val="21"/>
          <w:szCs w:val="21"/>
          <w:highlight w:val="none"/>
        </w:rPr>
        <w:t>I</w:t>
      </w:r>
      <w:r>
        <w:rPr>
          <w:rFonts w:hint="eastAsia" w:ascii="方正仿宋_GB2312" w:hAnsi="方正仿宋_GB2312" w:eastAsia="方正仿宋_GB2312" w:cs="方正仿宋_GB2312"/>
          <w:color w:val="auto"/>
          <w:sz w:val="21"/>
          <w:szCs w:val="21"/>
          <w:highlight w:val="none"/>
        </w:rPr>
        <w:fldChar w:fldCharType="end"/>
      </w:r>
      <w:r>
        <w:rPr>
          <w:rFonts w:hint="eastAsia" w:ascii="方正仿宋_GB2312" w:hAnsi="方正仿宋_GB2312" w:eastAsia="方正仿宋_GB2312" w:cs="方正仿宋_GB2312"/>
          <w:color w:val="auto"/>
          <w:sz w:val="21"/>
          <w:szCs w:val="21"/>
          <w:highlight w:val="none"/>
        </w:rPr>
        <w:t xml:space="preserve">  运输、储存、使用危险物品或者处置废弃危险物品，未建立专门安全管理制度、未采取可靠的安全措施的；</w:t>
      </w:r>
    </w:p>
    <w:p w14:paraId="0F69385A">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 2 \* ROMAN \* MERGEFORMAT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z w:val="21"/>
          <w:szCs w:val="21"/>
          <w:highlight w:val="none"/>
        </w:rPr>
        <w:t>II</w:t>
      </w:r>
      <w:r>
        <w:rPr>
          <w:rFonts w:hint="eastAsia" w:ascii="方正仿宋_GB2312" w:hAnsi="方正仿宋_GB2312" w:eastAsia="方正仿宋_GB2312" w:cs="方正仿宋_GB2312"/>
          <w:color w:val="auto"/>
          <w:sz w:val="21"/>
          <w:szCs w:val="21"/>
          <w:highlight w:val="none"/>
        </w:rPr>
        <w:fldChar w:fldCharType="end"/>
      </w:r>
      <w:r>
        <w:rPr>
          <w:rFonts w:hint="eastAsia" w:ascii="方正仿宋_GB2312" w:hAnsi="方正仿宋_GB2312" w:eastAsia="方正仿宋_GB2312" w:cs="方正仿宋_GB2312"/>
          <w:color w:val="auto"/>
          <w:sz w:val="21"/>
          <w:szCs w:val="21"/>
          <w:highlight w:val="none"/>
        </w:rPr>
        <w:t xml:space="preserve">  对重大危险源未登记建档，或者未进行评估、监控，或者未制定应急预案的；</w:t>
      </w:r>
    </w:p>
    <w:p w14:paraId="6A2C1026">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 3 \* ROMAN \* MERGEFORMAT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z w:val="21"/>
          <w:szCs w:val="21"/>
          <w:highlight w:val="none"/>
        </w:rPr>
        <w:t>III</w:t>
      </w:r>
      <w:r>
        <w:rPr>
          <w:rFonts w:hint="eastAsia" w:ascii="方正仿宋_GB2312" w:hAnsi="方正仿宋_GB2312" w:eastAsia="方正仿宋_GB2312" w:cs="方正仿宋_GB2312"/>
          <w:color w:val="auto"/>
          <w:sz w:val="21"/>
          <w:szCs w:val="21"/>
          <w:highlight w:val="none"/>
        </w:rPr>
        <w:fldChar w:fldCharType="end"/>
      </w:r>
      <w:r>
        <w:rPr>
          <w:rFonts w:hint="eastAsia" w:ascii="方正仿宋_GB2312" w:hAnsi="方正仿宋_GB2312" w:eastAsia="方正仿宋_GB2312" w:cs="方正仿宋_GB2312"/>
          <w:color w:val="auto"/>
          <w:sz w:val="21"/>
          <w:szCs w:val="21"/>
          <w:highlight w:val="none"/>
        </w:rPr>
        <w:t xml:space="preserve">  进行爆破、吊装以及国务院安全生产监督管理部门会同国务院有关部门规定的其他危险作业，未安排专门人员进行现场安全管理的；</w:t>
      </w:r>
    </w:p>
    <w:p w14:paraId="690429AC">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 4 \* ROMAN \* MERGEFORMAT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z w:val="21"/>
          <w:szCs w:val="21"/>
          <w:highlight w:val="none"/>
        </w:rPr>
        <w:t>IV</w:t>
      </w:r>
      <w:r>
        <w:rPr>
          <w:rFonts w:hint="eastAsia" w:ascii="方正仿宋_GB2312" w:hAnsi="方正仿宋_GB2312" w:eastAsia="方正仿宋_GB2312" w:cs="方正仿宋_GB2312"/>
          <w:color w:val="auto"/>
          <w:sz w:val="21"/>
          <w:szCs w:val="21"/>
          <w:highlight w:val="none"/>
        </w:rPr>
        <w:fldChar w:fldCharType="end"/>
      </w:r>
      <w:r>
        <w:rPr>
          <w:rFonts w:hint="eastAsia" w:ascii="方正仿宋_GB2312" w:hAnsi="方正仿宋_GB2312" w:eastAsia="方正仿宋_GB2312" w:cs="方正仿宋_GB2312"/>
          <w:color w:val="auto"/>
          <w:sz w:val="21"/>
          <w:szCs w:val="21"/>
          <w:highlight w:val="none"/>
        </w:rPr>
        <w:t xml:space="preserve">  未建立事故隐患排查治理制度的。</w:t>
      </w:r>
    </w:p>
    <w:p w14:paraId="1704C194">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（c）出现下列行为之一可处</w:t>
      </w:r>
      <w:r>
        <w:rPr>
          <w:rFonts w:hint="eastAsia" w:ascii="方正仿宋_GB2312" w:hAnsi="方正仿宋_GB2312" w:eastAsia="方正仿宋_GB2312" w:cs="方正仿宋_GB2312"/>
          <w:color w:val="auto"/>
          <w:sz w:val="21"/>
          <w:szCs w:val="21"/>
          <w:highlight w:val="none"/>
          <w:lang w:val="en-US" w:eastAsia="zh-CN"/>
        </w:rPr>
        <w:t>10</w:t>
      </w:r>
      <w:r>
        <w:rPr>
          <w:rFonts w:hint="eastAsia" w:ascii="方正仿宋_GB2312" w:hAnsi="方正仿宋_GB2312" w:eastAsia="方正仿宋_GB2312" w:cs="方正仿宋_GB2312"/>
          <w:color w:val="auto"/>
          <w:sz w:val="21"/>
          <w:szCs w:val="21"/>
          <w:highlight w:val="none"/>
        </w:rPr>
        <w:t>00元/（人）次。</w:t>
      </w:r>
    </w:p>
    <w:p w14:paraId="239F6A40">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Ⅰ  </w:t>
      </w:r>
      <w:r>
        <w:rPr>
          <w:rFonts w:hint="eastAsia" w:ascii="方正仿宋_GB2312" w:hAnsi="方正仿宋_GB2312" w:eastAsia="方正仿宋_GB2312" w:cs="方正仿宋_GB2312"/>
          <w:color w:val="auto"/>
          <w:sz w:val="21"/>
          <w:szCs w:val="21"/>
          <w:highlight w:val="none"/>
        </w:rPr>
        <w:t>需配戴安全防护用具作业但未按规定配戴的；或</w:t>
      </w:r>
    </w:p>
    <w:p w14:paraId="4225314D">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Ⅱ  无安全生产检查日志；或</w:t>
      </w:r>
    </w:p>
    <w:p w14:paraId="3A03F7A4">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Ⅲ　需设安全防护设施的未按规定设置；或</w:t>
      </w:r>
    </w:p>
    <w:p w14:paraId="590C3008">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Ⅳ  发生重大安全事故不按规定报告的。</w:t>
      </w:r>
    </w:p>
    <w:p w14:paraId="71EEBB12">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(d)出现下列行为之一可处</w:t>
      </w:r>
      <w:r>
        <w:rPr>
          <w:rFonts w:hint="eastAsia" w:ascii="方正仿宋_GB2312" w:hAnsi="方正仿宋_GB2312" w:eastAsia="方正仿宋_GB2312" w:cs="方正仿宋_GB2312"/>
          <w:color w:val="auto"/>
          <w:sz w:val="21"/>
          <w:szCs w:val="21"/>
          <w:highlight w:val="none"/>
          <w:lang w:val="en-US" w:eastAsia="zh-CN"/>
        </w:rPr>
        <w:t>2</w:t>
      </w:r>
      <w:r>
        <w:rPr>
          <w:rFonts w:hint="eastAsia" w:ascii="方正仿宋_GB2312" w:hAnsi="方正仿宋_GB2312" w:eastAsia="方正仿宋_GB2312" w:cs="方正仿宋_GB2312"/>
          <w:color w:val="auto"/>
          <w:sz w:val="21"/>
          <w:szCs w:val="21"/>
          <w:highlight w:val="none"/>
        </w:rPr>
        <w:t>000元/处次。</w:t>
      </w:r>
    </w:p>
    <w:p w14:paraId="0B66F262">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出现一般安全生事故负有责任的.</w:t>
      </w:r>
    </w:p>
    <w:p w14:paraId="5DDFF7A4">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（e）出现下列行为之一可处</w:t>
      </w:r>
      <w:r>
        <w:rPr>
          <w:rFonts w:hint="eastAsia" w:ascii="方正仿宋_GB2312" w:hAnsi="方正仿宋_GB2312" w:eastAsia="方正仿宋_GB2312" w:cs="方正仿宋_GB2312"/>
          <w:color w:val="auto"/>
          <w:sz w:val="21"/>
          <w:szCs w:val="21"/>
          <w:highlight w:val="none"/>
          <w:lang w:val="en-US" w:eastAsia="zh-CN"/>
        </w:rPr>
        <w:t>5</w:t>
      </w:r>
      <w:r>
        <w:rPr>
          <w:rFonts w:hint="eastAsia" w:ascii="方正仿宋_GB2312" w:hAnsi="方正仿宋_GB2312" w:eastAsia="方正仿宋_GB2312" w:cs="方正仿宋_GB2312"/>
          <w:color w:val="auto"/>
          <w:sz w:val="21"/>
          <w:szCs w:val="21"/>
          <w:highlight w:val="none"/>
        </w:rPr>
        <w:t>000元/处次。</w:t>
      </w:r>
    </w:p>
    <w:p w14:paraId="065DE627">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出现重大安全生产事故负有责任的。</w:t>
      </w:r>
    </w:p>
    <w:p w14:paraId="19681E40">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c．文明施工与环境保护，交通通畅</w:t>
      </w:r>
    </w:p>
    <w:p w14:paraId="78102A65">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（a）路基路面施工扬尘影响交通安全的处500元/处天；</w:t>
      </w:r>
    </w:p>
    <w:p w14:paraId="1ED16652">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（b）由于施工原因造成污染、破坏被群众向政府、主管单位投诉或被环保、水利部门责令整改的，处1000元/次。</w:t>
      </w:r>
    </w:p>
    <w:p w14:paraId="0FDA83AF">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（c）由于承包人原因包括不及时处理堵车造成交通堵塞，堵车30分钟至一小时的处</w:t>
      </w:r>
      <w:r>
        <w:rPr>
          <w:rFonts w:hint="eastAsia" w:ascii="方正仿宋_GB2312" w:hAnsi="方正仿宋_GB2312" w:eastAsia="方正仿宋_GB2312" w:cs="方正仿宋_GB2312"/>
          <w:color w:val="auto"/>
          <w:sz w:val="21"/>
          <w:szCs w:val="21"/>
          <w:highlight w:val="none"/>
          <w:lang w:val="en-US" w:eastAsia="zh-CN"/>
        </w:rPr>
        <w:t>1</w:t>
      </w:r>
      <w:r>
        <w:rPr>
          <w:rFonts w:hint="eastAsia" w:ascii="方正仿宋_GB2312" w:hAnsi="方正仿宋_GB2312" w:eastAsia="方正仿宋_GB2312" w:cs="方正仿宋_GB2312"/>
          <w:color w:val="auto"/>
          <w:sz w:val="21"/>
          <w:szCs w:val="21"/>
          <w:highlight w:val="none"/>
        </w:rPr>
        <w:t>000元/次，堵车一小时至二小时的处</w:t>
      </w:r>
      <w:r>
        <w:rPr>
          <w:rFonts w:hint="eastAsia" w:ascii="方正仿宋_GB2312" w:hAnsi="方正仿宋_GB2312" w:eastAsia="方正仿宋_GB2312" w:cs="方正仿宋_GB2312"/>
          <w:color w:val="auto"/>
          <w:sz w:val="21"/>
          <w:szCs w:val="21"/>
          <w:highlight w:val="none"/>
          <w:lang w:val="en-US" w:eastAsia="zh-CN"/>
        </w:rPr>
        <w:t>2000</w:t>
      </w:r>
      <w:r>
        <w:rPr>
          <w:rFonts w:hint="eastAsia" w:ascii="方正仿宋_GB2312" w:hAnsi="方正仿宋_GB2312" w:eastAsia="方正仿宋_GB2312" w:cs="方正仿宋_GB2312"/>
          <w:color w:val="auto"/>
          <w:sz w:val="21"/>
          <w:szCs w:val="21"/>
          <w:highlight w:val="none"/>
        </w:rPr>
        <w:t>元/次，堵车二小时以上的处每小时（不满1小时按1小时计）</w:t>
      </w:r>
      <w:r>
        <w:rPr>
          <w:rFonts w:hint="eastAsia" w:ascii="方正仿宋_GB2312" w:hAnsi="方正仿宋_GB2312" w:eastAsia="方正仿宋_GB2312" w:cs="方正仿宋_GB2312"/>
          <w:color w:val="auto"/>
          <w:sz w:val="21"/>
          <w:szCs w:val="21"/>
          <w:highlight w:val="none"/>
          <w:lang w:val="en-US" w:eastAsia="zh-CN"/>
        </w:rPr>
        <w:t>3000</w:t>
      </w:r>
      <w:r>
        <w:rPr>
          <w:rFonts w:hint="eastAsia" w:ascii="方正仿宋_GB2312" w:hAnsi="方正仿宋_GB2312" w:eastAsia="方正仿宋_GB2312" w:cs="方正仿宋_GB2312"/>
          <w:color w:val="auto"/>
          <w:sz w:val="21"/>
          <w:szCs w:val="21"/>
          <w:highlight w:val="none"/>
        </w:rPr>
        <w:t>元，并建议上级主管单位进行通报。</w:t>
      </w:r>
    </w:p>
    <w:p w14:paraId="516DE878">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d．其他重要规定违约处理</w:t>
      </w:r>
    </w:p>
    <w:p w14:paraId="1B6CC9FF">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有下列行为之一的处500元/人次违约金并责令承包人进行整改。</w:t>
      </w:r>
    </w:p>
    <w:p w14:paraId="7715A276">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(a)  劳务人员未按规定签订聘用合同并向业主、监理工程师报备；或</w:t>
      </w:r>
    </w:p>
    <w:p w14:paraId="409D1BB6">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(b)　签订的劳务合同不符合劳动法等法规要求；或</w:t>
      </w:r>
    </w:p>
    <w:p w14:paraId="45C73237">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(c)　劳务人员未编入承包人施工班组，并持项目经理签发的劳务上岗证上岗。</w:t>
      </w:r>
    </w:p>
    <w:p w14:paraId="146BFBAE">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（12）</w:t>
      </w:r>
      <w:r>
        <w:rPr>
          <w:rFonts w:hint="eastAsia" w:ascii="方正仿宋_GB2312" w:hAnsi="方正仿宋_GB2312" w:eastAsia="方正仿宋_GB2312" w:cs="方正仿宋_GB2312"/>
          <w:color w:val="auto"/>
          <w:kern w:val="0"/>
          <w:sz w:val="21"/>
          <w:szCs w:val="21"/>
          <w:highlight w:val="none"/>
        </w:rPr>
        <w:t>施工单位对于监理检查或建设办检查所发现的不符合安全要求事项被责令整改，整改不能在规定时间内完成，每延期一天按500元追索违约金。同一违规事项连续在2次月度检查中出现时，每发生一次按500元追索违约金。</w:t>
      </w:r>
    </w:p>
    <w:p w14:paraId="6751461D">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（13）上述被处的违约金承包人须以现金方式汇入业主指定的专用帐户，拒不执行者业主可在计量支付时无条件扣除并汇入指定的专用帐户。</w:t>
      </w:r>
    </w:p>
    <w:p w14:paraId="7F30F961">
      <w:pPr>
        <w:tabs>
          <w:tab w:val="left" w:pos="1080"/>
        </w:tabs>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（14）业主（招标人）按合同进行违约处理后，并不解除承包人按照国家法规与合同应承担的责任与义务。</w:t>
      </w:r>
    </w:p>
    <w:p w14:paraId="4212E1ED">
      <w:pPr>
        <w:tabs>
          <w:tab w:val="left" w:pos="1080"/>
        </w:tabs>
        <w:spacing w:line="360" w:lineRule="auto"/>
        <w:ind w:firstLine="560" w:firstLineChars="200"/>
        <w:rPr>
          <w:rFonts w:hint="eastAsia" w:ascii="方正仿宋_GB2312" w:hAnsi="方正仿宋_GB2312" w:eastAsia="方正仿宋_GB2312" w:cs="方正仿宋_GB2312"/>
          <w:color w:val="auto"/>
          <w:sz w:val="28"/>
          <w:szCs w:val="28"/>
          <w:highlight w:val="none"/>
        </w:rPr>
      </w:pPr>
    </w:p>
    <w:p w14:paraId="4FC9A186">
      <w:pPr>
        <w:tabs>
          <w:tab w:val="left" w:pos="1080"/>
        </w:tabs>
        <w:spacing w:line="320" w:lineRule="exact"/>
        <w:rPr>
          <w:rFonts w:hint="eastAsia" w:ascii="方正仿宋_GB2312" w:hAnsi="方正仿宋_GB2312" w:eastAsia="方正仿宋_GB2312" w:cs="方正仿宋_GB2312"/>
          <w:b/>
          <w:color w:val="auto"/>
          <w:kern w:val="1"/>
          <w:sz w:val="28"/>
          <w:highlight w:val="none"/>
        </w:rPr>
        <w:sectPr>
          <w:headerReference r:id="rId17" w:type="default"/>
          <w:footerReference r:id="rId18" w:type="default"/>
          <w:pgSz w:w="11910" w:h="16840"/>
          <w:pgMar w:top="1440" w:right="1080" w:bottom="1440" w:left="1080" w:header="720" w:footer="720" w:gutter="0"/>
          <w:pgNumType w:fmt="decimal"/>
          <w:cols w:space="720" w:num="1"/>
        </w:sectPr>
      </w:pPr>
    </w:p>
    <w:p w14:paraId="13645E89">
      <w:pPr>
        <w:tabs>
          <w:tab w:val="left" w:pos="1080"/>
        </w:tabs>
        <w:spacing w:line="320" w:lineRule="exact"/>
        <w:rPr>
          <w:rFonts w:hint="eastAsia" w:ascii="方正仿宋_GB2312" w:hAnsi="方正仿宋_GB2312" w:eastAsia="方正仿宋_GB2312" w:cs="方正仿宋_GB2312"/>
          <w:b/>
          <w:color w:val="auto"/>
          <w:kern w:val="1"/>
          <w:sz w:val="28"/>
          <w:highlight w:val="none"/>
        </w:rPr>
      </w:pPr>
      <w:r>
        <w:rPr>
          <w:rFonts w:hint="eastAsia" w:ascii="方正仿宋_GB2312" w:hAnsi="方正仿宋_GB2312" w:eastAsia="方正仿宋_GB2312" w:cs="方正仿宋_GB2312"/>
          <w:b/>
          <w:color w:val="auto"/>
          <w:kern w:val="1"/>
          <w:sz w:val="28"/>
          <w:highlight w:val="none"/>
        </w:rPr>
        <w:t>附：</w:t>
      </w:r>
    </w:p>
    <w:p w14:paraId="09BD40C0">
      <w:pPr>
        <w:tabs>
          <w:tab w:val="left" w:pos="1080"/>
        </w:tabs>
        <w:spacing w:line="320" w:lineRule="exact"/>
        <w:jc w:val="center"/>
        <w:rPr>
          <w:rFonts w:hint="eastAsia" w:ascii="方正仿宋_GB2312" w:hAnsi="方正仿宋_GB2312" w:eastAsia="方正仿宋_GB2312" w:cs="方正仿宋_GB2312"/>
          <w:b/>
          <w:color w:val="auto"/>
          <w:kern w:val="1"/>
          <w:sz w:val="28"/>
          <w:highlight w:val="none"/>
        </w:rPr>
      </w:pPr>
    </w:p>
    <w:p w14:paraId="0A70F3CA">
      <w:pPr>
        <w:tabs>
          <w:tab w:val="left" w:pos="1080"/>
        </w:tabs>
        <w:spacing w:line="320" w:lineRule="exact"/>
        <w:jc w:val="center"/>
        <w:rPr>
          <w:rFonts w:hint="eastAsia" w:ascii="方正仿宋_GB2312" w:hAnsi="方正仿宋_GB2312" w:eastAsia="方正仿宋_GB2312" w:cs="方正仿宋_GB2312"/>
          <w:b/>
          <w:color w:val="auto"/>
          <w:kern w:val="1"/>
          <w:sz w:val="28"/>
          <w:highlight w:val="none"/>
        </w:rPr>
      </w:pPr>
      <w:r>
        <w:rPr>
          <w:rFonts w:hint="eastAsia" w:ascii="方正仿宋_GB2312" w:hAnsi="方正仿宋_GB2312" w:eastAsia="方正仿宋_GB2312" w:cs="方正仿宋_GB2312"/>
          <w:b/>
          <w:color w:val="auto"/>
          <w:kern w:val="1"/>
          <w:sz w:val="28"/>
          <w:highlight w:val="none"/>
        </w:rPr>
        <w:t>广西公路管理局公路工程建设农民工工资管理实施细则(修订)</w:t>
      </w:r>
    </w:p>
    <w:p w14:paraId="4C6A8C6A">
      <w:pPr>
        <w:tabs>
          <w:tab w:val="left" w:pos="1080"/>
        </w:tabs>
        <w:spacing w:line="320" w:lineRule="exact"/>
        <w:ind w:left="420" w:firstLine="422"/>
        <w:rPr>
          <w:rFonts w:hint="eastAsia" w:ascii="方正仿宋_GB2312" w:hAnsi="方正仿宋_GB2312" w:eastAsia="方正仿宋_GB2312" w:cs="方正仿宋_GB2312"/>
          <w:b/>
          <w:color w:val="auto"/>
          <w:kern w:val="1"/>
          <w:sz w:val="28"/>
          <w:highlight w:val="none"/>
        </w:rPr>
      </w:pPr>
    </w:p>
    <w:p w14:paraId="60A5CFDD">
      <w:pPr>
        <w:tabs>
          <w:tab w:val="left" w:pos="1080"/>
        </w:tabs>
        <w:spacing w:line="360" w:lineRule="auto"/>
        <w:ind w:firstLine="420" w:firstLineChars="200"/>
        <w:jc w:val="left"/>
        <w:rPr>
          <w:rFonts w:hint="eastAsia" w:ascii="方正仿宋_GB2312" w:hAnsi="方正仿宋_GB2312" w:eastAsia="方正仿宋_GB2312" w:cs="方正仿宋_GB2312"/>
          <w:color w:val="auto"/>
          <w:kern w:val="1"/>
          <w:sz w:val="21"/>
          <w:szCs w:val="21"/>
          <w:highlight w:val="none"/>
        </w:rPr>
      </w:pPr>
      <w:r>
        <w:rPr>
          <w:rFonts w:hint="eastAsia" w:ascii="方正仿宋_GB2312" w:hAnsi="方正仿宋_GB2312" w:eastAsia="方正仿宋_GB2312" w:cs="方正仿宋_GB2312"/>
          <w:color w:val="auto"/>
          <w:kern w:val="1"/>
          <w:sz w:val="21"/>
          <w:szCs w:val="21"/>
          <w:highlight w:val="none"/>
        </w:rPr>
        <w:t>广西壮族自治区公路管理局《关于印发广西壮族自治区公路管理局公路工程建设农民工管理实施细则（修订）的通知》(桂路工程发[2014]300号)印发</w:t>
      </w:r>
    </w:p>
    <w:p w14:paraId="67FB509C">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第一条  为贯彻落实党中央、国务院和自治区党委、人民政府及有关部门解决农民工问题的指示精神，认真解决公路工程建设领域农民工问题，保护农民工合法权益，维护社会稳定。根据《国务院关于解决农民工问题的若干意见》、《交通运输部关于进一步做好公路水运建设领域农民工工资支付与管理有关工作的意见的通知》、《广西壮族自治区人民政府办公厅对关于切实解决建设领域拖欠工程款和农民工工资问题的通知》、《广西壮族自治区劳动和社会保障厅自治区交通厅关于建立交通行业农民工工资保证金制度的通知》等有关规定，制定公路工程建设农民工工资管理实施细则。</w:t>
      </w:r>
    </w:p>
    <w:p w14:paraId="2126B43D">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第二条  本实施细则适用于由自治区公路管理局管理的公路路网工程建设、农村公路工程建设、公路养护工程等。承担有由自治区交通运输厅委托我局进行建设行业管理的项目管理任务的相应业主参照本细则执行。</w:t>
      </w:r>
    </w:p>
    <w:p w14:paraId="0C341ACA">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第三条  工程建设农民工工资管理实行分级负责，按责任加强对公路建设工程、公路养护工程等拖欠工程款和农民工工资问题的领导。</w:t>
      </w:r>
    </w:p>
    <w:p w14:paraId="0782E6DD">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自治区公路管理局负责全区工程建设农民工工资管理工作的指导与监督，对群众投诉及上访及时进行处理。</w:t>
      </w:r>
    </w:p>
    <w:p w14:paraId="014DE08B">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各市级公路局成立农民工工资管理领导小组，由工程、养护、监察、财务等部门组成。对各自辖区内的路网、农村公路、养护等工程的农民工工资管理工作进行监督检查指导，对项目建设办落实农民工工资管理工作进行检查，对群众投诉及上访及时进行处理。</w:t>
      </w:r>
    </w:p>
    <w:p w14:paraId="47E91ABE">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各路网、农村公路、养护工程项目现场管理机构（建设办）成立农民工工资管理领导小组，由项目现场管理机构负责人担任组长、现场管理机构财务处负责人、总监担任副组长，现场管理机构其他部门负责人等主要人员组成，领导小组办公室一般设在财务处，负责管理本工程农民工工资管理。</w:t>
      </w:r>
    </w:p>
    <w:p w14:paraId="01F872FE">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各项目中标单位法人（项目部）要按劳动法及国家有关管理规定使用农民工，签订劳动合同并向建设办报备，在合同中明确农民工工资支付方式；合同执行其间严格按劳动合同约定执行，无约定的必须做到月清月结，确保劳务队伍中农民工工资按时足额发放到农民工本人。</w:t>
      </w:r>
    </w:p>
    <w:p w14:paraId="1E13F851">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第四条  建立健全管理制度，建立长效预防管理机制。</w:t>
      </w:r>
    </w:p>
    <w:p w14:paraId="2C8655B8">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（一）建立农民工实名管理制度。</w:t>
      </w:r>
    </w:p>
    <w:p w14:paraId="57FBF2D3">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中标单位要建立农民工名册、进退场记录、考勤记录、工资发放台账，并需将以上信息汇总后上报项目现场管理机构（建设办）备案。</w:t>
      </w:r>
    </w:p>
    <w:p w14:paraId="41A38AFF">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（二）建立农民工工资保证金制度。</w:t>
      </w:r>
    </w:p>
    <w:p w14:paraId="63910F78">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在招标文件中约定农民工工资保证金制度，保证金额度按中标价（A）金额计算：小于5000万元（含5000万元）的，按A×2%存入； 5000万元以上的，按5000×2%+（A-5000）×1.5%存入。</w:t>
      </w:r>
    </w:p>
    <w:p w14:paraId="16AD4F33">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农民工工资保证金设立专户进行管理，专款专用，任何单位和个人不得挪用。中标单位的农民工工资保证金应存入项目现场管理机构（建设办）指定的农民工工资保证金专用帐户，一旦其出现拖欠工程款导致中标单位无法按时足额支付农民工工资时，可由项目现场管理机构（建设办）根据相关规定从其农民工工资保证金中先予支取。</w:t>
      </w:r>
    </w:p>
    <w:p w14:paraId="79C1FAE0">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投标单位中标后，其投标保证金转为农民工工资保证金，若投标保证金不足农民工工资保证金的，须足额补交。工程交工后，经向社会公示3个月，无拖欠投诉后，将农民工工资保证金返还中标单位。</w:t>
      </w:r>
    </w:p>
    <w:p w14:paraId="05258CF8">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（三）建立完善的支付制度。</w:t>
      </w:r>
    </w:p>
    <w:p w14:paraId="16D88C9B">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中标单位要将计量资料上报监理单位后进行公示7天，计量资料审查完成后要将计量结果公示3天，公示时间到期且无争议后才可支付。</w:t>
      </w:r>
    </w:p>
    <w:p w14:paraId="30ED448A">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每期计量须分次支付给中标单位，第一次支付款项必须用于劳务合作队伍、农民工工资发放；经现场管理机构（建设办）农民工工资管理领导小组核实确认无拖欠农民工工资后，才能进行第二次计量工程款支付。</w:t>
      </w:r>
    </w:p>
    <w:p w14:paraId="35497B67">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农民工工资应采用银行直付方式，由中标单位委托银行每月按时将农民工工资汇入农民工个人账户，项目现场管理机构（建设办）进行督办。</w:t>
      </w:r>
    </w:p>
    <w:p w14:paraId="5676F313">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（四）建立农民工劳动合同管理制度。</w:t>
      </w:r>
    </w:p>
    <w:p w14:paraId="4832E6F7">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中标单位与劳务合作队伍、农民工三方必须依法订立并履行劳动合同，建立权责明确的劳动关系，必须明确劳动工资支付方式。劳动合同必须在工程开工当月或劳务合作队伍、农民工新进场当月签订。中标单位要当月将劳动合同报送给现场管理机构（建设办）农民工工资管理领导小组办公室备案，并纳入月度考核。</w:t>
      </w:r>
    </w:p>
    <w:p w14:paraId="5F7869E0">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现场管理机构（建设办）农民工工资管理领导小组要对标段承包单位的农民工劳动合同进行管理，加强对标段承包单位订立和履行劳动合同的指导和监督。任何单位都不得违反劳动合同约定，损害农民工权益。</w:t>
      </w:r>
    </w:p>
    <w:p w14:paraId="3AC2EC40">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（五）建立监督举报制度。</w:t>
      </w:r>
    </w:p>
    <w:p w14:paraId="3783BDCB">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在中标单位（项目部）驻地显目的位置公布自治区公路管理局、市级公路管理局、现场管理机构（建设办）的举报电话和举报信箱，若出现农民工工资被拖欠的情况，可逐级进行举报。</w:t>
      </w:r>
    </w:p>
    <w:p w14:paraId="29CE84F1">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第五条  依法规范农民工劳动合同管理，保障农民工职业安全卫生权益。</w:t>
      </w:r>
    </w:p>
    <w:p w14:paraId="6F6684F1">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（一）中标单位必须按规定配备安全生产和职业病防护设施。</w:t>
      </w:r>
    </w:p>
    <w:p w14:paraId="47CF6BDD">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（二）强化各中标单位职业安全卫生的主体责任，要向新招用的农民工告知劳动安全、职业危害事项，发放必要的劳动防护用品，对从事可能产生职业危害作业的人员定期进行健康检查并造册登记。</w:t>
      </w:r>
    </w:p>
    <w:p w14:paraId="241C9FF1">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（三）加强农民工职业安全、劳动保护教育，增强农民工自我保护能力。</w:t>
      </w:r>
    </w:p>
    <w:p w14:paraId="20E7F646">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（四）从事高危作业和特种作业的农民工要经专门培训、持证上岗。现场管理机构（建设办）农民工工资管理领导小组要切实履行职业安全和劳动保护监管职责。</w:t>
      </w:r>
    </w:p>
    <w:p w14:paraId="2BC1A0EE">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（五）切实保护女工和未成年人权益，严格禁止使用童工。</w:t>
      </w:r>
    </w:p>
    <w:p w14:paraId="5DEBD6C9">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第六条  加强制度落实管理，预防问题的出现。</w:t>
      </w:r>
    </w:p>
    <w:p w14:paraId="017BCA01">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（一）现场管理机构（建设办）农民工工资管理领导小组要重点监控农民工工资发放情况。</w:t>
      </w:r>
    </w:p>
    <w:p w14:paraId="57CE934A">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除加强支付管理处，对农民工投诉、举报要及时查处，预防群发性问题的出现。若出现农民工工资拖欠问题一经核实，现场管理机构（建设办）可优先使用农民工工资保证金以予解决，并在下次计量支付时补足保证金。</w:t>
      </w:r>
    </w:p>
    <w:p w14:paraId="570A45E8">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（二）对出现或发生过拖欠农民工工资的承包单位，现场管理机构（建设办）农民工工资管理领导小组要对其实施重点监控，并及时将拖欠工资情况上级农民工工资管理领导小组。</w:t>
      </w:r>
    </w:p>
    <w:p w14:paraId="0CD24E4A">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现场管理机构（建设办）在重大节假日、重大活动前要加强检查，预防群体性突发事件发生，特别是在每年11月至次年2月要增加检查次数，彻底解决春节前农民工因工资拖欠而集中上访的问题。</w:t>
      </w:r>
    </w:p>
    <w:p w14:paraId="3BAAD84C">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三）各市级公路局农民工工资管理领导小组每季度要对辖区现场管理机构（建设办）农民工工资管理情况进行考核、指导；每年6月20日、12月20日前将本辖区农民工用工情况总结上报区公路管理局农民工工资管理领导小组。</w:t>
      </w:r>
    </w:p>
    <w:p w14:paraId="6267D510">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第七条  责任追究。</w:t>
      </w:r>
    </w:p>
    <w:p w14:paraId="35FFDC28">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（一）中标单位与进场的劳务合作队伍、农民工三方没有依法订立劳动合同而参与工程施工作业的，现场管理机构（建设办）进行履约检查考核时不得将其履约评价等级评定为一般以上等次。</w:t>
      </w:r>
    </w:p>
    <w:p w14:paraId="604B8027">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二）自治区公路管理局对恶意拖欠农民工工资，并出现因拖欠工资造成农民工上访的中标单位包括因其合作的劳务合作队伍产生的将对其进行通报，列入黑名单档案，在路网工程、农村公路工程、公路养护工程新项目招标时，1-3年内不得通过资格审查。</w:t>
      </w:r>
    </w:p>
    <w:p w14:paraId="4CC6A0A1">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（三）因拖欠工资造成农民工到自治区政府或交通主管部门上访并造成恶劣社会影响的，管理项目的市级公路管理局取消当年年终考核前三名的评选资格。</w:t>
      </w:r>
    </w:p>
    <w:p w14:paraId="63599456">
      <w:pPr>
        <w:tabs>
          <w:tab w:val="left" w:pos="3193"/>
        </w:tabs>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第八条 本细则自下发之日起实施，原《广西公路管理局公路工程建设农民工管理实施细则（路工程〔2006〕61号）》同时废止。</w:t>
      </w:r>
    </w:p>
    <w:p w14:paraId="58A2BA9A">
      <w:pPr>
        <w:tabs>
          <w:tab w:val="left" w:pos="1080"/>
        </w:tabs>
        <w:spacing w:line="400" w:lineRule="exact"/>
        <w:ind w:firstLine="643" w:firstLineChars="200"/>
        <w:jc w:val="center"/>
        <w:rPr>
          <w:rFonts w:hint="eastAsia" w:ascii="方正仿宋_GB2312" w:hAnsi="方正仿宋_GB2312" w:eastAsia="方正仿宋_GB2312" w:cs="方正仿宋_GB2312"/>
          <w:b/>
          <w:color w:val="auto"/>
          <w:sz w:val="32"/>
          <w:szCs w:val="32"/>
          <w:highlight w:val="none"/>
        </w:rPr>
      </w:pPr>
    </w:p>
    <w:bookmarkEnd w:id="156"/>
    <w:p w14:paraId="278B6BAD">
      <w:pPr>
        <w:rPr>
          <w:rFonts w:hint="eastAsia" w:ascii="方正仿宋_GB2312" w:hAnsi="方正仿宋_GB2312" w:eastAsia="方正仿宋_GB2312" w:cs="方正仿宋_GB2312"/>
          <w:color w:val="auto"/>
          <w:highlight w:val="none"/>
        </w:rPr>
      </w:pPr>
    </w:p>
    <w:p w14:paraId="0870B3B5">
      <w:pPr>
        <w:spacing w:line="360" w:lineRule="auto"/>
        <w:rPr>
          <w:rFonts w:hint="eastAsia" w:ascii="方正仿宋_GB2312" w:hAnsi="方正仿宋_GB2312" w:eastAsia="方正仿宋_GB2312" w:cs="方正仿宋_GB2312"/>
          <w:color w:val="auto"/>
          <w:highlight w:val="none"/>
        </w:rPr>
      </w:pPr>
    </w:p>
    <w:p w14:paraId="26B933B2">
      <w:pPr>
        <w:rPr>
          <w:rFonts w:ascii="Times New Roman" w:hAnsi="Times New Roman" w:cs="Times New Roman"/>
          <w:color w:val="auto"/>
          <w:highlight w:val="none"/>
        </w:rPr>
      </w:pPr>
    </w:p>
    <w:p w14:paraId="0C25DE1A">
      <w:pPr>
        <w:pStyle w:val="2"/>
        <w:spacing w:before="0" w:after="0" w:line="240" w:lineRule="auto"/>
        <w:jc w:val="center"/>
        <w:rPr>
          <w:rFonts w:hint="eastAsia" w:ascii="方正仿宋_GB2312" w:hAnsi="方正仿宋_GB2312" w:eastAsia="方正仿宋_GB2312" w:cs="方正仿宋_GB2312"/>
          <w:bCs w:val="0"/>
          <w:color w:val="auto"/>
          <w:highlight w:val="none"/>
        </w:rPr>
      </w:pPr>
      <w:bookmarkStart w:id="160" w:name="_Toc19519"/>
      <w:bookmarkStart w:id="161" w:name="_Toc25038"/>
      <w:bookmarkStart w:id="162" w:name="_Toc30881"/>
      <w:r>
        <w:rPr>
          <w:rFonts w:hint="eastAsia" w:ascii="方正仿宋_GB2312" w:hAnsi="方正仿宋_GB2312" w:eastAsia="方正仿宋_GB2312" w:cs="方正仿宋_GB2312"/>
          <w:bCs w:val="0"/>
          <w:color w:val="auto"/>
          <w:highlight w:val="none"/>
        </w:rPr>
        <w:t>第七章 质疑、投诉材料格式</w:t>
      </w:r>
      <w:bookmarkEnd w:id="160"/>
      <w:bookmarkEnd w:id="161"/>
      <w:bookmarkEnd w:id="162"/>
    </w:p>
    <w:p w14:paraId="3D74F19A">
      <w:pPr>
        <w:spacing w:line="360" w:lineRule="auto"/>
        <w:jc w:val="center"/>
        <w:rPr>
          <w:rFonts w:hint="eastAsia" w:ascii="方正仿宋_GB2312" w:hAnsi="方正仿宋_GB2312" w:eastAsia="方正仿宋_GB2312" w:cs="方正仿宋_GB2312"/>
          <w:b/>
          <w:bCs/>
          <w:color w:val="auto"/>
          <w:sz w:val="32"/>
          <w:szCs w:val="32"/>
          <w:highlight w:val="none"/>
        </w:rPr>
      </w:pPr>
    </w:p>
    <w:p w14:paraId="5E983680">
      <w:pPr>
        <w:spacing w:line="360" w:lineRule="auto"/>
        <w:jc w:val="center"/>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质疑函（格式）</w:t>
      </w:r>
    </w:p>
    <w:p w14:paraId="1327F80B">
      <w:pPr>
        <w:pStyle w:val="17"/>
        <w:spacing w:line="360" w:lineRule="auto"/>
        <w:ind w:firstLine="482" w:firstLineChars="200"/>
        <w:contextualSpacing/>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一、质疑供应商基本信息：</w:t>
      </w:r>
    </w:p>
    <w:p w14:paraId="1E786D98">
      <w:pPr>
        <w:pStyle w:val="17"/>
        <w:spacing w:line="360" w:lineRule="auto"/>
        <w:ind w:firstLine="480" w:firstLineChars="200"/>
        <w:contextualSpacing/>
        <w:rPr>
          <w:rFonts w:hint="eastAsia" w:ascii="方正仿宋_GB2312" w:hAnsi="方正仿宋_GB2312" w:eastAsia="方正仿宋_GB2312" w:cs="方正仿宋_GB2312"/>
          <w:bCs/>
          <w:color w:val="auto"/>
          <w:sz w:val="24"/>
          <w:szCs w:val="24"/>
          <w:highlight w:val="none"/>
          <w:u w:val="single"/>
        </w:rPr>
      </w:pPr>
      <w:r>
        <w:rPr>
          <w:rFonts w:hint="eastAsia" w:ascii="方正仿宋_GB2312" w:hAnsi="方正仿宋_GB2312" w:eastAsia="方正仿宋_GB2312" w:cs="方正仿宋_GB2312"/>
          <w:bCs/>
          <w:color w:val="auto"/>
          <w:sz w:val="24"/>
          <w:szCs w:val="24"/>
          <w:highlight w:val="none"/>
        </w:rPr>
        <w:t>质疑供应商：</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 xml:space="preserve">                 </w:t>
      </w:r>
    </w:p>
    <w:p w14:paraId="76716AF1">
      <w:pPr>
        <w:pStyle w:val="17"/>
        <w:spacing w:line="360" w:lineRule="auto"/>
        <w:ind w:firstLine="480" w:firstLineChars="200"/>
        <w:contextualSpacing/>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地址：</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邮编：</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 xml:space="preserve">                 </w:t>
      </w:r>
    </w:p>
    <w:p w14:paraId="573E307A">
      <w:pPr>
        <w:pStyle w:val="17"/>
        <w:spacing w:line="360" w:lineRule="auto"/>
        <w:ind w:firstLine="480" w:firstLineChars="200"/>
        <w:contextualSpacing/>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联系人：</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联系电话：</w:t>
      </w:r>
      <w:r>
        <w:rPr>
          <w:rFonts w:hint="eastAsia" w:ascii="方正仿宋_GB2312" w:hAnsi="方正仿宋_GB2312" w:eastAsia="方正仿宋_GB2312" w:cs="方正仿宋_GB2312"/>
          <w:bCs/>
          <w:color w:val="auto"/>
          <w:sz w:val="24"/>
          <w:szCs w:val="24"/>
          <w:highlight w:val="none"/>
          <w:u w:val="single"/>
        </w:rPr>
        <w:t xml:space="preserve">                 </w:t>
      </w:r>
    </w:p>
    <w:p w14:paraId="4C8D3599">
      <w:pPr>
        <w:pStyle w:val="17"/>
        <w:spacing w:line="360" w:lineRule="auto"/>
        <w:ind w:firstLine="480" w:firstLineChars="200"/>
        <w:contextualSpacing/>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授权代表：</w:t>
      </w:r>
      <w:r>
        <w:rPr>
          <w:rFonts w:hint="eastAsia" w:ascii="方正仿宋_GB2312" w:hAnsi="方正仿宋_GB2312" w:eastAsia="方正仿宋_GB2312" w:cs="方正仿宋_GB2312"/>
          <w:bCs/>
          <w:color w:val="auto"/>
          <w:sz w:val="24"/>
          <w:szCs w:val="24"/>
          <w:highlight w:val="none"/>
          <w:u w:val="single"/>
        </w:rPr>
        <w:t xml:space="preserve">                      </w:t>
      </w:r>
    </w:p>
    <w:p w14:paraId="5DDEEB96">
      <w:pPr>
        <w:pStyle w:val="17"/>
        <w:spacing w:line="360" w:lineRule="auto"/>
        <w:ind w:firstLine="480" w:firstLineChars="200"/>
        <w:contextualSpacing/>
        <w:rPr>
          <w:rFonts w:hint="eastAsia" w:ascii="方正仿宋_GB2312" w:hAnsi="方正仿宋_GB2312" w:eastAsia="方正仿宋_GB2312" w:cs="方正仿宋_GB2312"/>
          <w:bCs/>
          <w:color w:val="auto"/>
          <w:sz w:val="24"/>
          <w:szCs w:val="24"/>
          <w:highlight w:val="none"/>
          <w:u w:val="single"/>
        </w:rPr>
      </w:pPr>
      <w:r>
        <w:rPr>
          <w:rFonts w:hint="eastAsia" w:ascii="方正仿宋_GB2312" w:hAnsi="方正仿宋_GB2312" w:eastAsia="方正仿宋_GB2312" w:cs="方正仿宋_GB2312"/>
          <w:bCs/>
          <w:color w:val="auto"/>
          <w:sz w:val="24"/>
          <w:szCs w:val="24"/>
          <w:highlight w:val="none"/>
        </w:rPr>
        <w:t>联系电话：</w:t>
      </w:r>
      <w:r>
        <w:rPr>
          <w:rFonts w:hint="eastAsia" w:ascii="方正仿宋_GB2312" w:hAnsi="方正仿宋_GB2312" w:eastAsia="方正仿宋_GB2312" w:cs="方正仿宋_GB2312"/>
          <w:bCs/>
          <w:color w:val="auto"/>
          <w:sz w:val="24"/>
          <w:szCs w:val="24"/>
          <w:highlight w:val="none"/>
          <w:u w:val="single"/>
        </w:rPr>
        <w:t xml:space="preserve">                      </w:t>
      </w:r>
    </w:p>
    <w:p w14:paraId="6546C6C9">
      <w:pPr>
        <w:pStyle w:val="17"/>
        <w:spacing w:line="360" w:lineRule="auto"/>
        <w:ind w:firstLine="480" w:firstLineChars="200"/>
        <w:contextualSpacing/>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地址：</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邮编：</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 xml:space="preserve">     </w:t>
      </w:r>
    </w:p>
    <w:p w14:paraId="1114B670">
      <w:pPr>
        <w:pStyle w:val="17"/>
        <w:spacing w:line="360" w:lineRule="auto"/>
        <w:ind w:firstLine="482" w:firstLineChars="200"/>
        <w:contextualSpacing/>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二、质疑项目基本情况：</w:t>
      </w:r>
    </w:p>
    <w:p w14:paraId="3C0EDE15">
      <w:pPr>
        <w:pStyle w:val="17"/>
        <w:spacing w:line="360" w:lineRule="auto"/>
        <w:ind w:left="25" w:leftChars="12" w:firstLine="472" w:firstLineChars="197"/>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Cs/>
          <w:color w:val="auto"/>
          <w:sz w:val="24"/>
          <w:szCs w:val="24"/>
          <w:highlight w:val="none"/>
        </w:rPr>
        <w:t>质疑</w:t>
      </w:r>
      <w:r>
        <w:rPr>
          <w:rFonts w:hint="eastAsia" w:ascii="方正仿宋_GB2312" w:hAnsi="方正仿宋_GB2312" w:eastAsia="方正仿宋_GB2312" w:cs="方正仿宋_GB2312"/>
          <w:color w:val="auto"/>
          <w:sz w:val="24"/>
          <w:szCs w:val="24"/>
          <w:highlight w:val="none"/>
        </w:rPr>
        <w:t>项目的名称：</w:t>
      </w:r>
      <w:r>
        <w:rPr>
          <w:rFonts w:hint="eastAsia" w:ascii="方正仿宋_GB2312" w:hAnsi="方正仿宋_GB2312" w:eastAsia="方正仿宋_GB2312" w:cs="方正仿宋_GB2312"/>
          <w:bCs/>
          <w:color w:val="auto"/>
          <w:sz w:val="24"/>
          <w:szCs w:val="24"/>
          <w:highlight w:val="none"/>
          <w:u w:val="single"/>
        </w:rPr>
        <w:t xml:space="preserve">                                               </w:t>
      </w:r>
    </w:p>
    <w:p w14:paraId="10E389EC">
      <w:pPr>
        <w:pStyle w:val="17"/>
        <w:spacing w:line="360" w:lineRule="auto"/>
        <w:ind w:left="25" w:leftChars="12" w:firstLine="472" w:firstLineChars="197"/>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Cs/>
          <w:color w:val="auto"/>
          <w:sz w:val="24"/>
          <w:szCs w:val="24"/>
          <w:highlight w:val="none"/>
        </w:rPr>
        <w:t>质疑</w:t>
      </w:r>
      <w:r>
        <w:rPr>
          <w:rFonts w:hint="eastAsia" w:ascii="方正仿宋_GB2312" w:hAnsi="方正仿宋_GB2312" w:eastAsia="方正仿宋_GB2312" w:cs="方正仿宋_GB2312"/>
          <w:color w:val="auto"/>
          <w:sz w:val="24"/>
          <w:szCs w:val="24"/>
          <w:highlight w:val="none"/>
        </w:rPr>
        <w:t>项目的编号：</w:t>
      </w:r>
      <w:r>
        <w:rPr>
          <w:rFonts w:hint="eastAsia" w:ascii="方正仿宋_GB2312" w:hAnsi="方正仿宋_GB2312" w:eastAsia="方正仿宋_GB2312" w:cs="方正仿宋_GB2312"/>
          <w:bCs/>
          <w:color w:val="auto"/>
          <w:sz w:val="24"/>
          <w:szCs w:val="24"/>
          <w:highlight w:val="none"/>
          <w:u w:val="single"/>
        </w:rPr>
        <w:t xml:space="preserve">                </w:t>
      </w:r>
    </w:p>
    <w:p w14:paraId="284675A2">
      <w:pPr>
        <w:pStyle w:val="17"/>
        <w:spacing w:line="360" w:lineRule="auto"/>
        <w:ind w:left="25" w:leftChars="12" w:firstLine="472" w:firstLineChars="197"/>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采购人名称：</w:t>
      </w:r>
      <w:r>
        <w:rPr>
          <w:rFonts w:hint="eastAsia" w:ascii="方正仿宋_GB2312" w:hAnsi="方正仿宋_GB2312" w:eastAsia="方正仿宋_GB2312" w:cs="方正仿宋_GB2312"/>
          <w:bCs/>
          <w:color w:val="auto"/>
          <w:sz w:val="24"/>
          <w:szCs w:val="24"/>
          <w:highlight w:val="none"/>
          <w:u w:val="single"/>
        </w:rPr>
        <w:t xml:space="preserve">                </w:t>
      </w:r>
    </w:p>
    <w:p w14:paraId="6C948F6E">
      <w:pPr>
        <w:pStyle w:val="17"/>
        <w:tabs>
          <w:tab w:val="left" w:pos="6090"/>
        </w:tabs>
        <w:spacing w:line="360" w:lineRule="auto"/>
        <w:ind w:left="25" w:leftChars="12" w:firstLine="472" w:firstLineChars="197"/>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质疑事项：</w:t>
      </w:r>
    </w:p>
    <w:p w14:paraId="797477EC">
      <w:pPr>
        <w:pStyle w:val="17"/>
        <w:spacing w:line="360" w:lineRule="auto"/>
        <w:ind w:left="25" w:leftChars="12" w:firstLine="352" w:firstLineChars="147"/>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□采购文件   采购文件获取日期：</w:t>
      </w:r>
      <w:r>
        <w:rPr>
          <w:rFonts w:hint="eastAsia" w:ascii="方正仿宋_GB2312" w:hAnsi="方正仿宋_GB2312" w:eastAsia="方正仿宋_GB2312" w:cs="方正仿宋_GB2312"/>
          <w:bCs/>
          <w:color w:val="auto"/>
          <w:sz w:val="24"/>
          <w:szCs w:val="24"/>
          <w:highlight w:val="none"/>
          <w:u w:val="single"/>
        </w:rPr>
        <w:t xml:space="preserve">                                   </w:t>
      </w:r>
    </w:p>
    <w:p w14:paraId="56AF5D0D">
      <w:pPr>
        <w:pStyle w:val="17"/>
        <w:spacing w:line="360" w:lineRule="auto"/>
        <w:ind w:left="25" w:leftChars="12" w:firstLine="352" w:firstLineChars="147"/>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□采购过程   </w:t>
      </w:r>
    </w:p>
    <w:p w14:paraId="3BBDCFA8">
      <w:pPr>
        <w:pStyle w:val="17"/>
        <w:spacing w:line="360" w:lineRule="auto"/>
        <w:ind w:left="25" w:leftChars="12" w:firstLine="352" w:firstLineChars="147"/>
        <w:contextualSpacing/>
        <w:rPr>
          <w:rFonts w:hint="eastAsia" w:ascii="方正仿宋_GB2312" w:hAnsi="方正仿宋_GB2312" w:eastAsia="方正仿宋_GB2312" w:cs="方正仿宋_GB2312"/>
          <w:bCs/>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rPr>
        <w:t xml:space="preserve">□成交结果   </w:t>
      </w:r>
    </w:p>
    <w:p w14:paraId="6457FB3F">
      <w:pPr>
        <w:pStyle w:val="17"/>
        <w:spacing w:line="360" w:lineRule="auto"/>
        <w:ind w:left="25" w:leftChars="12" w:firstLine="472" w:firstLineChars="196"/>
        <w:contextualSpacing/>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三、质疑事项具体内容</w:t>
      </w:r>
    </w:p>
    <w:p w14:paraId="00E778F2">
      <w:pPr>
        <w:pStyle w:val="17"/>
        <w:spacing w:line="360" w:lineRule="auto"/>
        <w:ind w:left="25" w:leftChars="12" w:firstLine="472" w:firstLineChars="197"/>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质疑事项1：</w:t>
      </w:r>
      <w:r>
        <w:rPr>
          <w:rFonts w:hint="eastAsia" w:ascii="方正仿宋_GB2312" w:hAnsi="方正仿宋_GB2312" w:eastAsia="方正仿宋_GB2312" w:cs="方正仿宋_GB2312"/>
          <w:bCs/>
          <w:color w:val="auto"/>
          <w:sz w:val="24"/>
          <w:szCs w:val="24"/>
          <w:highlight w:val="none"/>
          <w:u w:val="single"/>
        </w:rPr>
        <w:t xml:space="preserve">                                                                    </w:t>
      </w:r>
    </w:p>
    <w:p w14:paraId="34DD9225">
      <w:pPr>
        <w:pStyle w:val="17"/>
        <w:spacing w:line="360" w:lineRule="auto"/>
        <w:ind w:left="25" w:leftChars="12" w:firstLine="472" w:firstLineChars="197"/>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事实依据：</w:t>
      </w:r>
      <w:r>
        <w:rPr>
          <w:rFonts w:hint="eastAsia" w:ascii="方正仿宋_GB2312" w:hAnsi="方正仿宋_GB2312" w:eastAsia="方正仿宋_GB2312" w:cs="方正仿宋_GB2312"/>
          <w:bCs/>
          <w:color w:val="auto"/>
          <w:sz w:val="24"/>
          <w:szCs w:val="24"/>
          <w:highlight w:val="none"/>
          <w:u w:val="single"/>
        </w:rPr>
        <w:t xml:space="preserve">                                                                      </w:t>
      </w:r>
    </w:p>
    <w:p w14:paraId="281BE958">
      <w:pPr>
        <w:pStyle w:val="17"/>
        <w:spacing w:line="360" w:lineRule="auto"/>
        <w:ind w:left="25" w:leftChars="12" w:firstLine="472" w:firstLineChars="197"/>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法律依据：</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u w:val="single"/>
        </w:rPr>
        <w:t xml:space="preserve">               </w:t>
      </w:r>
    </w:p>
    <w:p w14:paraId="0845569D">
      <w:pPr>
        <w:pStyle w:val="17"/>
        <w:spacing w:line="360" w:lineRule="auto"/>
        <w:ind w:left="25" w:leftChars="12" w:firstLine="472" w:firstLineChars="197"/>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质疑事项2</w:t>
      </w:r>
    </w:p>
    <w:p w14:paraId="5D2D5DAD">
      <w:pPr>
        <w:pStyle w:val="17"/>
        <w:spacing w:line="360" w:lineRule="auto"/>
        <w:ind w:left="25" w:leftChars="12" w:firstLine="472" w:firstLineChars="197"/>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p>
    <w:p w14:paraId="72119FF0">
      <w:pPr>
        <w:pStyle w:val="17"/>
        <w:spacing w:line="360" w:lineRule="auto"/>
        <w:ind w:left="25" w:leftChars="12" w:firstLine="472" w:firstLineChars="197"/>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四、与质疑事项相关的质疑请求：</w:t>
      </w:r>
    </w:p>
    <w:p w14:paraId="729FD7FB">
      <w:pPr>
        <w:pStyle w:val="17"/>
        <w:spacing w:line="360" w:lineRule="auto"/>
        <w:ind w:left="25" w:leftChars="12" w:firstLine="472" w:firstLineChars="197"/>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请求：</w:t>
      </w:r>
      <w:r>
        <w:rPr>
          <w:rFonts w:hint="eastAsia" w:ascii="方正仿宋_GB2312" w:hAnsi="方正仿宋_GB2312" w:eastAsia="方正仿宋_GB2312" w:cs="方正仿宋_GB2312"/>
          <w:bCs/>
          <w:color w:val="auto"/>
          <w:sz w:val="24"/>
          <w:szCs w:val="24"/>
          <w:highlight w:val="none"/>
          <w:u w:val="single"/>
        </w:rPr>
        <w:t xml:space="preserve">                                                                </w:t>
      </w:r>
    </w:p>
    <w:p w14:paraId="6614FBAE">
      <w:pPr>
        <w:pStyle w:val="17"/>
        <w:spacing w:line="360" w:lineRule="auto"/>
        <w:ind w:left="25" w:leftChars="12" w:firstLine="472" w:firstLineChars="197"/>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签字（签章）：                                       公章：</w:t>
      </w:r>
    </w:p>
    <w:p w14:paraId="6B17DF14">
      <w:pPr>
        <w:pStyle w:val="17"/>
        <w:spacing w:line="360" w:lineRule="auto"/>
        <w:ind w:left="25" w:leftChars="12" w:firstLine="472" w:firstLineChars="197"/>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日期：</w:t>
      </w:r>
    </w:p>
    <w:p w14:paraId="042EBEB6">
      <w:pPr>
        <w:pStyle w:val="17"/>
        <w:spacing w:line="360" w:lineRule="auto"/>
        <w:contextualSpacing/>
        <w:rPr>
          <w:rFonts w:hint="eastAsia" w:ascii="方正仿宋_GB2312" w:hAnsi="方正仿宋_GB2312" w:eastAsia="方正仿宋_GB2312" w:cs="方正仿宋_GB2312"/>
          <w:b/>
          <w:color w:val="auto"/>
          <w:sz w:val="24"/>
          <w:szCs w:val="24"/>
          <w:highlight w:val="none"/>
        </w:rPr>
      </w:pPr>
    </w:p>
    <w:p w14:paraId="2D8DB607">
      <w:pPr>
        <w:pStyle w:val="17"/>
        <w:spacing w:line="360" w:lineRule="auto"/>
        <w:contextualSpacing/>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说明：</w:t>
      </w:r>
    </w:p>
    <w:p w14:paraId="7D30456D">
      <w:pPr>
        <w:pStyle w:val="17"/>
        <w:spacing w:line="360" w:lineRule="auto"/>
        <w:ind w:left="25" w:leftChars="12" w:firstLine="354" w:firstLineChars="147"/>
        <w:contextualSpacing/>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color w:val="auto"/>
          <w:sz w:val="24"/>
          <w:szCs w:val="24"/>
          <w:highlight w:val="none"/>
        </w:rPr>
        <w:t>1.供应商提出质疑时，应提交质疑函和必要的证明材料</w:t>
      </w:r>
      <w:r>
        <w:rPr>
          <w:rFonts w:hint="eastAsia" w:ascii="方正仿宋_GB2312" w:hAnsi="方正仿宋_GB2312" w:eastAsia="方正仿宋_GB2312" w:cs="方正仿宋_GB2312"/>
          <w:b/>
          <w:bCs/>
          <w:color w:val="auto"/>
          <w:sz w:val="24"/>
          <w:szCs w:val="24"/>
          <w:highlight w:val="none"/>
        </w:rPr>
        <w:t>。</w:t>
      </w:r>
    </w:p>
    <w:p w14:paraId="526E45B2">
      <w:pPr>
        <w:pStyle w:val="17"/>
        <w:spacing w:line="360" w:lineRule="auto"/>
        <w:ind w:left="25" w:leftChars="12" w:firstLine="354" w:firstLineChars="147"/>
        <w:contextualSpacing/>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1CE72D0">
      <w:pPr>
        <w:pStyle w:val="17"/>
        <w:spacing w:line="360" w:lineRule="auto"/>
        <w:ind w:left="25" w:leftChars="12" w:firstLine="354" w:firstLineChars="147"/>
        <w:contextualSpacing/>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3.质疑函的质疑事项应具体、明确，并有必要的事实依据和法律依据。</w:t>
      </w:r>
    </w:p>
    <w:p w14:paraId="054648BD">
      <w:pPr>
        <w:pStyle w:val="17"/>
        <w:spacing w:line="360" w:lineRule="auto"/>
        <w:ind w:left="25" w:leftChars="12" w:firstLine="354" w:firstLineChars="147"/>
        <w:contextualSpacing/>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4.质疑函的质疑请求应与质疑事项相关。</w:t>
      </w:r>
    </w:p>
    <w:p w14:paraId="1ADD916D">
      <w:pPr>
        <w:pStyle w:val="17"/>
        <w:spacing w:line="360" w:lineRule="auto"/>
        <w:ind w:left="25" w:leftChars="12" w:firstLine="354" w:firstLineChars="147"/>
        <w:contextualSpacing/>
        <w:rPr>
          <w:rFonts w:hint="eastAsia" w:ascii="方正仿宋_GB2312" w:hAnsi="方正仿宋_GB2312" w:eastAsia="方正仿宋_GB2312" w:cs="方正仿宋_GB2312"/>
          <w:b/>
          <w:color w:val="auto"/>
          <w:highlight w:val="none"/>
        </w:rPr>
      </w:pPr>
      <w:r>
        <w:rPr>
          <w:rFonts w:hint="eastAsia" w:ascii="方正仿宋_GB2312" w:hAnsi="方正仿宋_GB2312" w:eastAsia="方正仿宋_GB2312" w:cs="方正仿宋_GB2312"/>
          <w:b/>
          <w:color w:val="auto"/>
          <w:sz w:val="24"/>
          <w:szCs w:val="24"/>
          <w:highlight w:val="none"/>
        </w:rPr>
        <w:t>5.质疑供应商为法人或者其他组织的，质疑函应由法定代表人、主要负责人，或者其授权代表签字或者盖章，并加盖公章。</w:t>
      </w:r>
    </w:p>
    <w:p w14:paraId="16A74BBF">
      <w:pPr>
        <w:pStyle w:val="17"/>
        <w:snapToGrid w:val="0"/>
        <w:rPr>
          <w:rFonts w:hint="eastAsia" w:ascii="方正仿宋_GB2312" w:hAnsi="方正仿宋_GB2312" w:eastAsia="方正仿宋_GB2312" w:cs="方正仿宋_GB2312"/>
          <w:b/>
          <w:color w:val="auto"/>
          <w:sz w:val="24"/>
          <w:szCs w:val="24"/>
          <w:highlight w:val="none"/>
        </w:rPr>
      </w:pPr>
    </w:p>
    <w:p w14:paraId="41A7CCF6">
      <w:pPr>
        <w:spacing w:line="460" w:lineRule="exact"/>
        <w:jc w:val="center"/>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color w:val="auto"/>
          <w:sz w:val="44"/>
          <w:highlight w:val="none"/>
        </w:rPr>
        <w:br w:type="page"/>
      </w:r>
      <w:r>
        <w:rPr>
          <w:rFonts w:hint="eastAsia" w:ascii="方正仿宋_GB2312" w:hAnsi="方正仿宋_GB2312" w:eastAsia="方正仿宋_GB2312" w:cs="方正仿宋_GB2312"/>
          <w:b/>
          <w:bCs/>
          <w:color w:val="auto"/>
          <w:sz w:val="32"/>
          <w:szCs w:val="32"/>
          <w:highlight w:val="none"/>
        </w:rPr>
        <w:t>投诉书（格式）</w:t>
      </w:r>
    </w:p>
    <w:p w14:paraId="0BB91E80">
      <w:pPr>
        <w:pStyle w:val="17"/>
        <w:snapToGrid w:val="0"/>
        <w:spacing w:line="360" w:lineRule="auto"/>
        <w:ind w:firstLine="482" w:firstLineChars="200"/>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一、投诉相关主体基本情况：</w:t>
      </w:r>
    </w:p>
    <w:p w14:paraId="6206F398">
      <w:pPr>
        <w:pStyle w:val="17"/>
        <w:snapToGrid w:val="0"/>
        <w:spacing w:line="360" w:lineRule="auto"/>
        <w:ind w:firstLine="480" w:firstLineChars="200"/>
        <w:rPr>
          <w:rFonts w:hint="eastAsia" w:ascii="方正仿宋_GB2312" w:hAnsi="方正仿宋_GB2312" w:eastAsia="方正仿宋_GB2312" w:cs="方正仿宋_GB2312"/>
          <w:bCs/>
          <w:color w:val="auto"/>
          <w:sz w:val="24"/>
          <w:szCs w:val="24"/>
          <w:highlight w:val="none"/>
          <w:u w:val="single"/>
        </w:rPr>
      </w:pPr>
      <w:r>
        <w:rPr>
          <w:rFonts w:hint="eastAsia" w:ascii="方正仿宋_GB2312" w:hAnsi="方正仿宋_GB2312" w:eastAsia="方正仿宋_GB2312" w:cs="方正仿宋_GB2312"/>
          <w:bCs/>
          <w:color w:val="auto"/>
          <w:sz w:val="24"/>
          <w:szCs w:val="24"/>
          <w:highlight w:val="none"/>
        </w:rPr>
        <w:t>供应商：</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 xml:space="preserve">                 </w:t>
      </w:r>
    </w:p>
    <w:p w14:paraId="757A47A2">
      <w:pPr>
        <w:pStyle w:val="17"/>
        <w:snapToGrid w:val="0"/>
        <w:spacing w:line="360" w:lineRule="auto"/>
        <w:ind w:firstLine="480" w:firstLineChars="200"/>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地址：</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邮编：</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 xml:space="preserve">                 </w:t>
      </w:r>
    </w:p>
    <w:p w14:paraId="796FCDB3">
      <w:pPr>
        <w:pStyle w:val="17"/>
        <w:snapToGrid w:val="0"/>
        <w:spacing w:line="360" w:lineRule="auto"/>
        <w:ind w:firstLine="480" w:firstLineChars="200"/>
        <w:rPr>
          <w:rFonts w:hint="eastAsia" w:ascii="方正仿宋_GB2312" w:hAnsi="方正仿宋_GB2312" w:eastAsia="方正仿宋_GB2312" w:cs="方正仿宋_GB2312"/>
          <w:bCs/>
          <w:color w:val="auto"/>
          <w:sz w:val="24"/>
          <w:szCs w:val="24"/>
          <w:highlight w:val="none"/>
          <w:u w:val="single"/>
        </w:rPr>
      </w:pPr>
      <w:r>
        <w:rPr>
          <w:rFonts w:hint="eastAsia" w:ascii="方正仿宋_GB2312" w:hAnsi="方正仿宋_GB2312" w:eastAsia="方正仿宋_GB2312" w:cs="方正仿宋_GB2312"/>
          <w:bCs/>
          <w:color w:val="auto"/>
          <w:sz w:val="24"/>
          <w:szCs w:val="24"/>
          <w:highlight w:val="none"/>
        </w:rPr>
        <w:t>法定代表人/主要负责人：</w:t>
      </w:r>
      <w:r>
        <w:rPr>
          <w:rFonts w:hint="eastAsia" w:ascii="方正仿宋_GB2312" w:hAnsi="方正仿宋_GB2312" w:eastAsia="方正仿宋_GB2312" w:cs="方正仿宋_GB2312"/>
          <w:bCs/>
          <w:color w:val="auto"/>
          <w:sz w:val="24"/>
          <w:szCs w:val="24"/>
          <w:highlight w:val="none"/>
          <w:u w:val="single"/>
        </w:rPr>
        <w:t xml:space="preserve">                                                         </w:t>
      </w:r>
    </w:p>
    <w:p w14:paraId="1B3DAEE9">
      <w:pPr>
        <w:pStyle w:val="17"/>
        <w:snapToGrid w:val="0"/>
        <w:spacing w:line="360" w:lineRule="auto"/>
        <w:ind w:firstLine="480" w:firstLineChars="200"/>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联系电话：</w:t>
      </w:r>
      <w:r>
        <w:rPr>
          <w:rFonts w:hint="eastAsia" w:ascii="方正仿宋_GB2312" w:hAnsi="方正仿宋_GB2312" w:eastAsia="方正仿宋_GB2312" w:cs="方正仿宋_GB2312"/>
          <w:bCs/>
          <w:color w:val="auto"/>
          <w:sz w:val="24"/>
          <w:szCs w:val="24"/>
          <w:highlight w:val="none"/>
          <w:u w:val="single"/>
        </w:rPr>
        <w:t xml:space="preserve">                                         </w:t>
      </w:r>
    </w:p>
    <w:p w14:paraId="0017E758">
      <w:pPr>
        <w:pStyle w:val="17"/>
        <w:snapToGrid w:val="0"/>
        <w:spacing w:line="360" w:lineRule="auto"/>
        <w:ind w:firstLine="480" w:firstLineChars="200"/>
        <w:rPr>
          <w:rFonts w:hint="eastAsia" w:ascii="方正仿宋_GB2312" w:hAnsi="方正仿宋_GB2312" w:eastAsia="方正仿宋_GB2312" w:cs="方正仿宋_GB2312"/>
          <w:bCs/>
          <w:color w:val="auto"/>
          <w:sz w:val="24"/>
          <w:szCs w:val="24"/>
          <w:highlight w:val="none"/>
          <w:u w:val="single"/>
        </w:rPr>
      </w:pPr>
      <w:r>
        <w:rPr>
          <w:rFonts w:hint="eastAsia" w:ascii="方正仿宋_GB2312" w:hAnsi="方正仿宋_GB2312" w:eastAsia="方正仿宋_GB2312" w:cs="方正仿宋_GB2312"/>
          <w:bCs/>
          <w:color w:val="auto"/>
          <w:sz w:val="24"/>
          <w:szCs w:val="24"/>
          <w:highlight w:val="none"/>
        </w:rPr>
        <w:t>授权代表：</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联系电话：</w:t>
      </w:r>
      <w:r>
        <w:rPr>
          <w:rFonts w:hint="eastAsia" w:ascii="方正仿宋_GB2312" w:hAnsi="方正仿宋_GB2312" w:eastAsia="方正仿宋_GB2312" w:cs="方正仿宋_GB2312"/>
          <w:bCs/>
          <w:color w:val="auto"/>
          <w:sz w:val="24"/>
          <w:szCs w:val="24"/>
          <w:highlight w:val="none"/>
          <w:u w:val="single"/>
        </w:rPr>
        <w:t xml:space="preserve">                   </w:t>
      </w:r>
    </w:p>
    <w:p w14:paraId="34227229">
      <w:pPr>
        <w:pStyle w:val="17"/>
        <w:snapToGrid w:val="0"/>
        <w:spacing w:line="360" w:lineRule="auto"/>
        <w:ind w:firstLine="480" w:firstLineChars="200"/>
        <w:rPr>
          <w:rFonts w:hint="eastAsia" w:ascii="方正仿宋_GB2312" w:hAnsi="方正仿宋_GB2312" w:eastAsia="方正仿宋_GB2312" w:cs="方正仿宋_GB2312"/>
          <w:bCs/>
          <w:color w:val="auto"/>
          <w:sz w:val="24"/>
          <w:szCs w:val="24"/>
          <w:highlight w:val="none"/>
          <w:u w:val="single"/>
        </w:rPr>
      </w:pPr>
      <w:r>
        <w:rPr>
          <w:rFonts w:hint="eastAsia" w:ascii="方正仿宋_GB2312" w:hAnsi="方正仿宋_GB2312" w:eastAsia="方正仿宋_GB2312" w:cs="方正仿宋_GB2312"/>
          <w:bCs/>
          <w:color w:val="auto"/>
          <w:sz w:val="24"/>
          <w:szCs w:val="24"/>
          <w:highlight w:val="none"/>
        </w:rPr>
        <w:t>地址：</w:t>
      </w:r>
      <w:r>
        <w:rPr>
          <w:rFonts w:hint="eastAsia" w:ascii="方正仿宋_GB2312" w:hAnsi="方正仿宋_GB2312" w:eastAsia="方正仿宋_GB2312" w:cs="方正仿宋_GB2312"/>
          <w:bCs/>
          <w:color w:val="auto"/>
          <w:sz w:val="24"/>
          <w:szCs w:val="24"/>
          <w:highlight w:val="none"/>
          <w:u w:val="single"/>
        </w:rPr>
        <w:t xml:space="preserve">                                                            </w:t>
      </w:r>
    </w:p>
    <w:p w14:paraId="2140477C">
      <w:pPr>
        <w:pStyle w:val="17"/>
        <w:snapToGrid w:val="0"/>
        <w:spacing w:line="360" w:lineRule="auto"/>
        <w:ind w:firstLine="480" w:firstLineChars="200"/>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邮编：</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 xml:space="preserve">   </w:t>
      </w:r>
    </w:p>
    <w:p w14:paraId="7B09CAD4">
      <w:pPr>
        <w:pStyle w:val="17"/>
        <w:snapToGrid w:val="0"/>
        <w:spacing w:line="360" w:lineRule="auto"/>
        <w:ind w:firstLine="480" w:firstLineChars="200"/>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被投诉人1：</w:t>
      </w:r>
    </w:p>
    <w:p w14:paraId="203F7D88">
      <w:pPr>
        <w:pStyle w:val="17"/>
        <w:snapToGrid w:val="0"/>
        <w:spacing w:line="360" w:lineRule="auto"/>
        <w:ind w:firstLine="480" w:firstLineChars="200"/>
        <w:rPr>
          <w:rFonts w:hint="eastAsia" w:ascii="方正仿宋_GB2312" w:hAnsi="方正仿宋_GB2312" w:eastAsia="方正仿宋_GB2312" w:cs="方正仿宋_GB2312"/>
          <w:bCs/>
          <w:color w:val="auto"/>
          <w:sz w:val="24"/>
          <w:szCs w:val="24"/>
          <w:highlight w:val="none"/>
          <w:u w:val="single"/>
        </w:rPr>
      </w:pPr>
      <w:r>
        <w:rPr>
          <w:rFonts w:hint="eastAsia" w:ascii="方正仿宋_GB2312" w:hAnsi="方正仿宋_GB2312" w:eastAsia="方正仿宋_GB2312" w:cs="方正仿宋_GB2312"/>
          <w:bCs/>
          <w:color w:val="auto"/>
          <w:sz w:val="24"/>
          <w:szCs w:val="24"/>
          <w:highlight w:val="none"/>
        </w:rPr>
        <w:t>地址：</w:t>
      </w:r>
      <w:r>
        <w:rPr>
          <w:rFonts w:hint="eastAsia" w:ascii="方正仿宋_GB2312" w:hAnsi="方正仿宋_GB2312" w:eastAsia="方正仿宋_GB2312" w:cs="方正仿宋_GB2312"/>
          <w:bCs/>
          <w:color w:val="auto"/>
          <w:sz w:val="24"/>
          <w:szCs w:val="24"/>
          <w:highlight w:val="none"/>
          <w:u w:val="single"/>
        </w:rPr>
        <w:t xml:space="preserve">                                                            </w:t>
      </w:r>
    </w:p>
    <w:p w14:paraId="10203B4C">
      <w:pPr>
        <w:pStyle w:val="17"/>
        <w:snapToGrid w:val="0"/>
        <w:spacing w:line="360" w:lineRule="auto"/>
        <w:ind w:firstLine="480" w:firstLineChars="200"/>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邮编：</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 xml:space="preserve">  </w:t>
      </w:r>
    </w:p>
    <w:p w14:paraId="0661648E">
      <w:pPr>
        <w:pStyle w:val="17"/>
        <w:snapToGrid w:val="0"/>
        <w:spacing w:line="360" w:lineRule="auto"/>
        <w:ind w:firstLine="480" w:firstLineChars="200"/>
        <w:rPr>
          <w:rFonts w:hint="eastAsia" w:ascii="方正仿宋_GB2312" w:hAnsi="方正仿宋_GB2312" w:eastAsia="方正仿宋_GB2312" w:cs="方正仿宋_GB2312"/>
          <w:bCs/>
          <w:color w:val="auto"/>
          <w:sz w:val="24"/>
          <w:szCs w:val="24"/>
          <w:highlight w:val="none"/>
          <w:u w:val="single"/>
        </w:rPr>
      </w:pPr>
      <w:r>
        <w:rPr>
          <w:rFonts w:hint="eastAsia" w:ascii="方正仿宋_GB2312" w:hAnsi="方正仿宋_GB2312" w:eastAsia="方正仿宋_GB2312" w:cs="方正仿宋_GB2312"/>
          <w:bCs/>
          <w:color w:val="auto"/>
          <w:sz w:val="24"/>
          <w:szCs w:val="24"/>
          <w:highlight w:val="none"/>
        </w:rPr>
        <w:t>联系人：</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联系电话：</w:t>
      </w:r>
      <w:r>
        <w:rPr>
          <w:rFonts w:hint="eastAsia" w:ascii="方正仿宋_GB2312" w:hAnsi="方正仿宋_GB2312" w:eastAsia="方正仿宋_GB2312" w:cs="方正仿宋_GB2312"/>
          <w:bCs/>
          <w:color w:val="auto"/>
          <w:sz w:val="24"/>
          <w:szCs w:val="24"/>
          <w:highlight w:val="none"/>
          <w:u w:val="single"/>
        </w:rPr>
        <w:t xml:space="preserve">                </w:t>
      </w:r>
    </w:p>
    <w:p w14:paraId="0E4C46F5">
      <w:pPr>
        <w:pStyle w:val="17"/>
        <w:snapToGrid w:val="0"/>
        <w:spacing w:line="360" w:lineRule="auto"/>
        <w:ind w:firstLine="480" w:firstLineChars="200"/>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被投诉人2：</w:t>
      </w:r>
    </w:p>
    <w:p w14:paraId="5E95B9AF">
      <w:pPr>
        <w:pStyle w:val="17"/>
        <w:snapToGrid w:val="0"/>
        <w:spacing w:line="360" w:lineRule="auto"/>
        <w:ind w:firstLine="480" w:firstLineChars="200"/>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w:t>
      </w:r>
    </w:p>
    <w:p w14:paraId="4E011BBA">
      <w:pPr>
        <w:pStyle w:val="17"/>
        <w:snapToGrid w:val="0"/>
        <w:spacing w:line="360" w:lineRule="auto"/>
        <w:ind w:firstLine="480" w:firstLineChars="200"/>
        <w:rPr>
          <w:rFonts w:hint="eastAsia" w:ascii="方正仿宋_GB2312" w:hAnsi="方正仿宋_GB2312" w:eastAsia="方正仿宋_GB2312" w:cs="方正仿宋_GB2312"/>
          <w:bCs/>
          <w:color w:val="auto"/>
          <w:sz w:val="24"/>
          <w:szCs w:val="24"/>
          <w:highlight w:val="none"/>
          <w:u w:val="single"/>
        </w:rPr>
      </w:pPr>
      <w:r>
        <w:rPr>
          <w:rFonts w:hint="eastAsia" w:ascii="方正仿宋_GB2312" w:hAnsi="方正仿宋_GB2312" w:eastAsia="方正仿宋_GB2312" w:cs="方正仿宋_GB2312"/>
          <w:bCs/>
          <w:color w:val="auto"/>
          <w:sz w:val="24"/>
          <w:szCs w:val="24"/>
          <w:highlight w:val="none"/>
        </w:rPr>
        <w:t>相关供应商：</w:t>
      </w:r>
      <w:r>
        <w:rPr>
          <w:rFonts w:hint="eastAsia" w:ascii="方正仿宋_GB2312" w:hAnsi="方正仿宋_GB2312" w:eastAsia="方正仿宋_GB2312" w:cs="方正仿宋_GB2312"/>
          <w:bCs/>
          <w:color w:val="auto"/>
          <w:sz w:val="24"/>
          <w:szCs w:val="24"/>
          <w:highlight w:val="none"/>
          <w:u w:val="single"/>
        </w:rPr>
        <w:t xml:space="preserve">                                                                       </w:t>
      </w:r>
    </w:p>
    <w:p w14:paraId="24433ABB">
      <w:pPr>
        <w:pStyle w:val="17"/>
        <w:snapToGrid w:val="0"/>
        <w:spacing w:line="360" w:lineRule="auto"/>
        <w:ind w:firstLine="480" w:firstLineChars="200"/>
        <w:rPr>
          <w:rFonts w:hint="eastAsia" w:ascii="方正仿宋_GB2312" w:hAnsi="方正仿宋_GB2312" w:eastAsia="方正仿宋_GB2312" w:cs="方正仿宋_GB2312"/>
          <w:bCs/>
          <w:color w:val="auto"/>
          <w:sz w:val="24"/>
          <w:szCs w:val="24"/>
          <w:highlight w:val="none"/>
          <w:u w:val="single"/>
        </w:rPr>
      </w:pPr>
      <w:r>
        <w:rPr>
          <w:rFonts w:hint="eastAsia" w:ascii="方正仿宋_GB2312" w:hAnsi="方正仿宋_GB2312" w:eastAsia="方正仿宋_GB2312" w:cs="方正仿宋_GB2312"/>
          <w:bCs/>
          <w:color w:val="auto"/>
          <w:sz w:val="24"/>
          <w:szCs w:val="24"/>
          <w:highlight w:val="none"/>
        </w:rPr>
        <w:t>地址：</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邮编：</w:t>
      </w:r>
      <w:r>
        <w:rPr>
          <w:rFonts w:hint="eastAsia" w:ascii="方正仿宋_GB2312" w:hAnsi="方正仿宋_GB2312" w:eastAsia="方正仿宋_GB2312" w:cs="方正仿宋_GB2312"/>
          <w:bCs/>
          <w:color w:val="auto"/>
          <w:sz w:val="24"/>
          <w:szCs w:val="24"/>
          <w:highlight w:val="none"/>
          <w:u w:val="single"/>
        </w:rPr>
        <w:t xml:space="preserve">                         </w:t>
      </w:r>
    </w:p>
    <w:p w14:paraId="4E8C16AE">
      <w:pPr>
        <w:pStyle w:val="17"/>
        <w:snapToGrid w:val="0"/>
        <w:spacing w:line="360" w:lineRule="auto"/>
        <w:ind w:firstLine="480" w:firstLineChars="200"/>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联系人：</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联系电话：</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 xml:space="preserve">                </w:t>
      </w:r>
    </w:p>
    <w:p w14:paraId="7F8F3A6D">
      <w:pPr>
        <w:pStyle w:val="17"/>
        <w:snapToGrid w:val="0"/>
        <w:spacing w:line="360" w:lineRule="auto"/>
        <w:ind w:firstLine="482" w:firstLineChars="200"/>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二、投诉项目基本情况：</w:t>
      </w:r>
    </w:p>
    <w:p w14:paraId="63EAA635">
      <w:pPr>
        <w:pStyle w:val="17"/>
        <w:spacing w:line="360" w:lineRule="auto"/>
        <w:ind w:left="25" w:leftChars="12" w:firstLine="472" w:firstLineChars="197"/>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Cs/>
          <w:color w:val="auto"/>
          <w:sz w:val="24"/>
          <w:szCs w:val="24"/>
          <w:highlight w:val="none"/>
        </w:rPr>
        <w:t>采购</w:t>
      </w:r>
      <w:r>
        <w:rPr>
          <w:rFonts w:hint="eastAsia" w:ascii="方正仿宋_GB2312" w:hAnsi="方正仿宋_GB2312" w:eastAsia="方正仿宋_GB2312" w:cs="方正仿宋_GB2312"/>
          <w:color w:val="auto"/>
          <w:sz w:val="24"/>
          <w:szCs w:val="24"/>
          <w:highlight w:val="none"/>
        </w:rPr>
        <w:t>项目的名称：</w:t>
      </w:r>
      <w:r>
        <w:rPr>
          <w:rFonts w:hint="eastAsia" w:ascii="方正仿宋_GB2312" w:hAnsi="方正仿宋_GB2312" w:eastAsia="方正仿宋_GB2312" w:cs="方正仿宋_GB2312"/>
          <w:bCs/>
          <w:color w:val="auto"/>
          <w:sz w:val="24"/>
          <w:szCs w:val="24"/>
          <w:highlight w:val="none"/>
          <w:u w:val="single"/>
        </w:rPr>
        <w:t xml:space="preserve">                                        </w:t>
      </w:r>
    </w:p>
    <w:p w14:paraId="777EEB3F">
      <w:pPr>
        <w:pStyle w:val="17"/>
        <w:spacing w:line="360" w:lineRule="auto"/>
        <w:ind w:left="25" w:leftChars="12" w:firstLine="472" w:firstLineChars="197"/>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Cs/>
          <w:color w:val="auto"/>
          <w:sz w:val="24"/>
          <w:szCs w:val="24"/>
          <w:highlight w:val="none"/>
        </w:rPr>
        <w:t>采购</w:t>
      </w:r>
      <w:r>
        <w:rPr>
          <w:rFonts w:hint="eastAsia" w:ascii="方正仿宋_GB2312" w:hAnsi="方正仿宋_GB2312" w:eastAsia="方正仿宋_GB2312" w:cs="方正仿宋_GB2312"/>
          <w:color w:val="auto"/>
          <w:sz w:val="24"/>
          <w:szCs w:val="24"/>
          <w:highlight w:val="none"/>
        </w:rPr>
        <w:t>项目的编号：</w:t>
      </w:r>
      <w:r>
        <w:rPr>
          <w:rFonts w:hint="eastAsia" w:ascii="方正仿宋_GB2312" w:hAnsi="方正仿宋_GB2312" w:eastAsia="方正仿宋_GB2312" w:cs="方正仿宋_GB2312"/>
          <w:bCs/>
          <w:color w:val="auto"/>
          <w:sz w:val="24"/>
          <w:szCs w:val="24"/>
          <w:highlight w:val="none"/>
          <w:u w:val="single"/>
        </w:rPr>
        <w:t xml:space="preserve">                                        </w:t>
      </w:r>
    </w:p>
    <w:p w14:paraId="2753B2E2">
      <w:pPr>
        <w:pStyle w:val="17"/>
        <w:spacing w:line="360" w:lineRule="auto"/>
        <w:ind w:left="25" w:leftChars="12" w:firstLine="472" w:firstLineChars="197"/>
        <w:rPr>
          <w:rFonts w:hint="eastAsia" w:ascii="方正仿宋_GB2312" w:hAnsi="方正仿宋_GB2312" w:eastAsia="方正仿宋_GB2312" w:cs="方正仿宋_GB2312"/>
          <w:bCs/>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rPr>
        <w:t>采购人名称：</w:t>
      </w:r>
      <w:r>
        <w:rPr>
          <w:rFonts w:hint="eastAsia" w:ascii="方正仿宋_GB2312" w:hAnsi="方正仿宋_GB2312" w:eastAsia="方正仿宋_GB2312" w:cs="方正仿宋_GB2312"/>
          <w:bCs/>
          <w:color w:val="auto"/>
          <w:sz w:val="24"/>
          <w:szCs w:val="24"/>
          <w:highlight w:val="none"/>
          <w:u w:val="single"/>
        </w:rPr>
        <w:t xml:space="preserve">                                            </w:t>
      </w:r>
    </w:p>
    <w:p w14:paraId="5BD4E0D3">
      <w:pPr>
        <w:pStyle w:val="17"/>
        <w:spacing w:line="360" w:lineRule="auto"/>
        <w:ind w:left="25" w:leftChars="12" w:firstLine="472" w:firstLineChars="197"/>
        <w:rPr>
          <w:rFonts w:hint="eastAsia" w:ascii="方正仿宋_GB2312" w:hAnsi="方正仿宋_GB2312" w:eastAsia="方正仿宋_GB2312" w:cs="方正仿宋_GB2312"/>
          <w:bCs/>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rPr>
        <w:t>代理机构名称：</w:t>
      </w:r>
      <w:r>
        <w:rPr>
          <w:rFonts w:hint="eastAsia" w:ascii="方正仿宋_GB2312" w:hAnsi="方正仿宋_GB2312" w:eastAsia="方正仿宋_GB2312" w:cs="方正仿宋_GB2312"/>
          <w:bCs/>
          <w:color w:val="auto"/>
          <w:sz w:val="24"/>
          <w:szCs w:val="24"/>
          <w:highlight w:val="none"/>
          <w:u w:val="single"/>
        </w:rPr>
        <w:t xml:space="preserve">                                          </w:t>
      </w:r>
    </w:p>
    <w:p w14:paraId="1BE7949C">
      <w:pPr>
        <w:pStyle w:val="17"/>
        <w:spacing w:line="360" w:lineRule="auto"/>
        <w:ind w:left="25" w:leftChars="12" w:firstLine="472" w:firstLineChars="197"/>
        <w:rPr>
          <w:rFonts w:hint="eastAsia" w:ascii="方正仿宋_GB2312" w:hAnsi="方正仿宋_GB2312" w:eastAsia="方正仿宋_GB2312" w:cs="方正仿宋_GB2312"/>
          <w:bCs/>
          <w:color w:val="auto"/>
          <w:sz w:val="24"/>
          <w:szCs w:val="24"/>
          <w:highlight w:val="none"/>
          <w:u w:val="single"/>
        </w:rPr>
      </w:pPr>
      <w:r>
        <w:rPr>
          <w:rFonts w:hint="eastAsia" w:ascii="方正仿宋_GB2312" w:hAnsi="方正仿宋_GB2312" w:eastAsia="方正仿宋_GB2312" w:cs="方正仿宋_GB2312"/>
          <w:bCs/>
          <w:color w:val="auto"/>
          <w:sz w:val="24"/>
          <w:szCs w:val="24"/>
          <w:highlight w:val="none"/>
        </w:rPr>
        <w:t>招标文件公告：</w:t>
      </w:r>
      <w:r>
        <w:rPr>
          <w:rFonts w:hint="eastAsia" w:ascii="方正仿宋_GB2312" w:hAnsi="方正仿宋_GB2312" w:eastAsia="方正仿宋_GB2312" w:cs="方正仿宋_GB2312"/>
          <w:bCs/>
          <w:color w:val="auto"/>
          <w:sz w:val="24"/>
          <w:szCs w:val="24"/>
          <w:highlight w:val="none"/>
          <w:u w:val="single"/>
        </w:rPr>
        <w:t>是/否</w:t>
      </w:r>
      <w:r>
        <w:rPr>
          <w:rFonts w:hint="eastAsia" w:ascii="方正仿宋_GB2312" w:hAnsi="方正仿宋_GB2312" w:eastAsia="方正仿宋_GB2312" w:cs="方正仿宋_GB2312"/>
          <w:bCs/>
          <w:color w:val="auto"/>
          <w:sz w:val="24"/>
          <w:szCs w:val="24"/>
          <w:highlight w:val="none"/>
        </w:rPr>
        <w:t>公告期限：</w:t>
      </w:r>
      <w:r>
        <w:rPr>
          <w:rFonts w:hint="eastAsia" w:ascii="方正仿宋_GB2312" w:hAnsi="方正仿宋_GB2312" w:eastAsia="方正仿宋_GB2312" w:cs="方正仿宋_GB2312"/>
          <w:bCs/>
          <w:color w:val="auto"/>
          <w:sz w:val="24"/>
          <w:szCs w:val="24"/>
          <w:highlight w:val="none"/>
          <w:u w:val="single"/>
        </w:rPr>
        <w:t xml:space="preserve">                                                       </w:t>
      </w:r>
    </w:p>
    <w:p w14:paraId="0A7A3830">
      <w:pPr>
        <w:pStyle w:val="17"/>
        <w:spacing w:line="360" w:lineRule="auto"/>
        <w:ind w:left="25" w:leftChars="12" w:firstLine="472" w:firstLineChars="197"/>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Cs/>
          <w:color w:val="auto"/>
          <w:sz w:val="24"/>
          <w:szCs w:val="24"/>
          <w:highlight w:val="none"/>
        </w:rPr>
        <w:t>采购结果公告：</w:t>
      </w:r>
      <w:r>
        <w:rPr>
          <w:rFonts w:hint="eastAsia" w:ascii="方正仿宋_GB2312" w:hAnsi="方正仿宋_GB2312" w:eastAsia="方正仿宋_GB2312" w:cs="方正仿宋_GB2312"/>
          <w:bCs/>
          <w:color w:val="auto"/>
          <w:sz w:val="24"/>
          <w:szCs w:val="24"/>
          <w:highlight w:val="none"/>
          <w:u w:val="single"/>
        </w:rPr>
        <w:t>是/否</w:t>
      </w:r>
      <w:r>
        <w:rPr>
          <w:rFonts w:hint="eastAsia" w:ascii="方正仿宋_GB2312" w:hAnsi="方正仿宋_GB2312" w:eastAsia="方正仿宋_GB2312" w:cs="方正仿宋_GB2312"/>
          <w:bCs/>
          <w:color w:val="auto"/>
          <w:sz w:val="24"/>
          <w:szCs w:val="24"/>
          <w:highlight w:val="none"/>
        </w:rPr>
        <w:t>公告期限：</w:t>
      </w:r>
      <w:r>
        <w:rPr>
          <w:rFonts w:hint="eastAsia" w:ascii="方正仿宋_GB2312" w:hAnsi="方正仿宋_GB2312" w:eastAsia="方正仿宋_GB2312" w:cs="方正仿宋_GB2312"/>
          <w:bCs/>
          <w:color w:val="auto"/>
          <w:sz w:val="24"/>
          <w:szCs w:val="24"/>
          <w:highlight w:val="none"/>
          <w:u w:val="single"/>
        </w:rPr>
        <w:t xml:space="preserve">                                                       </w:t>
      </w:r>
    </w:p>
    <w:p w14:paraId="6091AA38">
      <w:pPr>
        <w:pStyle w:val="17"/>
        <w:spacing w:line="360" w:lineRule="auto"/>
        <w:ind w:left="25" w:leftChars="12" w:firstLine="472" w:firstLineChars="196"/>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三、质疑基本情况</w:t>
      </w:r>
    </w:p>
    <w:p w14:paraId="15C0034A">
      <w:pPr>
        <w:pStyle w:val="17"/>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投诉人于</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日，向</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提出质疑，质疑事项为：</w:t>
      </w:r>
    </w:p>
    <w:p w14:paraId="3AFC32C5">
      <w:pPr>
        <w:pStyle w:val="17"/>
        <w:spacing w:line="360" w:lineRule="auto"/>
        <w:ind w:firstLine="241"/>
        <w:rPr>
          <w:rFonts w:hint="eastAsia" w:ascii="方正仿宋_GB2312" w:hAnsi="方正仿宋_GB2312" w:eastAsia="方正仿宋_GB2312" w:cs="方正仿宋_GB2312"/>
          <w:bCs/>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bCs/>
          <w:color w:val="auto"/>
          <w:sz w:val="24"/>
          <w:szCs w:val="24"/>
          <w:highlight w:val="none"/>
          <w:u w:val="single"/>
        </w:rPr>
        <w:t xml:space="preserve">                                                                                      </w:t>
      </w:r>
    </w:p>
    <w:p w14:paraId="3036B4B4">
      <w:pPr>
        <w:pStyle w:val="17"/>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Cs/>
          <w:color w:val="auto"/>
          <w:sz w:val="24"/>
          <w:szCs w:val="24"/>
          <w:highlight w:val="none"/>
          <w:u w:val="single"/>
        </w:rPr>
        <w:t>采购人/代理机构</w:t>
      </w:r>
      <w:r>
        <w:rPr>
          <w:rFonts w:hint="eastAsia" w:ascii="方正仿宋_GB2312" w:hAnsi="方正仿宋_GB2312" w:eastAsia="方正仿宋_GB2312" w:cs="方正仿宋_GB2312"/>
          <w:bCs/>
          <w:color w:val="auto"/>
          <w:sz w:val="24"/>
          <w:szCs w:val="24"/>
          <w:highlight w:val="none"/>
        </w:rPr>
        <w:t>于</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日，</w:t>
      </w:r>
      <w:r>
        <w:rPr>
          <w:rFonts w:hint="eastAsia" w:ascii="方正仿宋_GB2312" w:hAnsi="方正仿宋_GB2312" w:eastAsia="方正仿宋_GB2312" w:cs="方正仿宋_GB2312"/>
          <w:bCs/>
          <w:color w:val="auto"/>
          <w:sz w:val="24"/>
          <w:szCs w:val="24"/>
          <w:highlight w:val="none"/>
        </w:rPr>
        <w:t xml:space="preserve">就质疑事项作出了答复/没有在法定期限内作出答复。                                                                                             </w:t>
      </w:r>
    </w:p>
    <w:p w14:paraId="723DAEBD">
      <w:pPr>
        <w:pStyle w:val="17"/>
        <w:spacing w:line="360" w:lineRule="auto"/>
        <w:ind w:left="25" w:leftChars="12" w:firstLine="472" w:firstLineChars="196"/>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四、投诉事项具体内容</w:t>
      </w:r>
    </w:p>
    <w:p w14:paraId="590DC3F9">
      <w:pPr>
        <w:pStyle w:val="17"/>
        <w:spacing w:line="360" w:lineRule="auto"/>
        <w:ind w:left="25" w:leftChars="12" w:firstLine="472" w:firstLineChars="197"/>
        <w:rPr>
          <w:rFonts w:hint="eastAsia" w:ascii="方正仿宋_GB2312" w:hAnsi="方正仿宋_GB2312" w:eastAsia="方正仿宋_GB2312" w:cs="方正仿宋_GB2312"/>
          <w:bCs/>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rPr>
        <w:t>投诉事项1：</w:t>
      </w:r>
      <w:r>
        <w:rPr>
          <w:rFonts w:hint="eastAsia" w:ascii="方正仿宋_GB2312" w:hAnsi="方正仿宋_GB2312" w:eastAsia="方正仿宋_GB2312" w:cs="方正仿宋_GB2312"/>
          <w:bCs/>
          <w:color w:val="auto"/>
          <w:sz w:val="24"/>
          <w:szCs w:val="24"/>
          <w:highlight w:val="none"/>
          <w:u w:val="single"/>
        </w:rPr>
        <w:t xml:space="preserve">                                                                           </w:t>
      </w:r>
    </w:p>
    <w:p w14:paraId="4E310F84">
      <w:pPr>
        <w:pStyle w:val="17"/>
        <w:spacing w:line="360" w:lineRule="auto"/>
        <w:ind w:firstLine="480" w:firstLineChars="200"/>
        <w:rPr>
          <w:rFonts w:hint="eastAsia" w:ascii="方正仿宋_GB2312" w:hAnsi="方正仿宋_GB2312" w:eastAsia="方正仿宋_GB2312" w:cs="方正仿宋_GB2312"/>
          <w:bCs/>
          <w:color w:val="auto"/>
          <w:sz w:val="24"/>
          <w:szCs w:val="24"/>
          <w:highlight w:val="none"/>
          <w:u w:val="single"/>
        </w:rPr>
      </w:pPr>
      <w:r>
        <w:rPr>
          <w:rFonts w:hint="eastAsia" w:ascii="方正仿宋_GB2312" w:hAnsi="方正仿宋_GB2312" w:eastAsia="方正仿宋_GB2312" w:cs="方正仿宋_GB2312"/>
          <w:bCs/>
          <w:color w:val="auto"/>
          <w:sz w:val="24"/>
          <w:szCs w:val="24"/>
          <w:highlight w:val="none"/>
        </w:rPr>
        <w:t>事实依据：</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bCs/>
          <w:color w:val="auto"/>
          <w:sz w:val="24"/>
          <w:szCs w:val="24"/>
          <w:highlight w:val="none"/>
          <w:u w:val="single"/>
        </w:rPr>
        <w:t xml:space="preserve">                                                                                      </w:t>
      </w:r>
    </w:p>
    <w:p w14:paraId="639231A0">
      <w:pPr>
        <w:pStyle w:val="17"/>
        <w:spacing w:line="360" w:lineRule="auto"/>
        <w:ind w:left="25" w:leftChars="12" w:firstLine="472" w:firstLineChars="197"/>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Cs/>
          <w:color w:val="auto"/>
          <w:sz w:val="24"/>
          <w:szCs w:val="24"/>
          <w:highlight w:val="none"/>
          <w:u w:val="single"/>
        </w:rPr>
        <w:t xml:space="preserve">                                                                                        </w:t>
      </w:r>
    </w:p>
    <w:p w14:paraId="3F2FA7B5">
      <w:pPr>
        <w:pStyle w:val="17"/>
        <w:spacing w:line="360" w:lineRule="auto"/>
        <w:ind w:firstLine="480" w:firstLineChars="200"/>
        <w:rPr>
          <w:rFonts w:hint="eastAsia" w:ascii="方正仿宋_GB2312" w:hAnsi="方正仿宋_GB2312" w:eastAsia="方正仿宋_GB2312" w:cs="方正仿宋_GB2312"/>
          <w:bCs/>
          <w:color w:val="auto"/>
          <w:sz w:val="24"/>
          <w:szCs w:val="24"/>
          <w:highlight w:val="none"/>
          <w:u w:val="single"/>
        </w:rPr>
      </w:pPr>
      <w:r>
        <w:rPr>
          <w:rFonts w:hint="eastAsia" w:ascii="方正仿宋_GB2312" w:hAnsi="方正仿宋_GB2312" w:eastAsia="方正仿宋_GB2312" w:cs="方正仿宋_GB2312"/>
          <w:bCs/>
          <w:color w:val="auto"/>
          <w:sz w:val="24"/>
          <w:szCs w:val="24"/>
          <w:highlight w:val="none"/>
        </w:rPr>
        <w:t>法律依据：</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bCs/>
          <w:color w:val="auto"/>
          <w:sz w:val="24"/>
          <w:szCs w:val="24"/>
          <w:highlight w:val="none"/>
          <w:u w:val="single"/>
        </w:rPr>
        <w:t xml:space="preserve">                                                                                      </w:t>
      </w:r>
    </w:p>
    <w:p w14:paraId="5822BDF7">
      <w:pPr>
        <w:pStyle w:val="17"/>
        <w:spacing w:line="360" w:lineRule="auto"/>
        <w:ind w:left="25" w:leftChars="12" w:firstLine="352" w:firstLineChars="147"/>
        <w:rPr>
          <w:rFonts w:hint="eastAsia" w:ascii="方正仿宋_GB2312" w:hAnsi="方正仿宋_GB2312" w:eastAsia="方正仿宋_GB2312" w:cs="方正仿宋_GB2312"/>
          <w:bCs/>
          <w:color w:val="auto"/>
          <w:sz w:val="24"/>
          <w:szCs w:val="24"/>
          <w:highlight w:val="none"/>
          <w:u w:val="single"/>
        </w:rPr>
      </w:pPr>
      <w:r>
        <w:rPr>
          <w:rFonts w:hint="eastAsia" w:ascii="方正仿宋_GB2312" w:hAnsi="方正仿宋_GB2312" w:eastAsia="方正仿宋_GB2312" w:cs="方正仿宋_GB2312"/>
          <w:bCs/>
          <w:color w:val="auto"/>
          <w:sz w:val="24"/>
          <w:szCs w:val="24"/>
          <w:highlight w:val="none"/>
        </w:rPr>
        <w:t xml:space="preserve"> </w:t>
      </w:r>
      <w:r>
        <w:rPr>
          <w:rFonts w:hint="eastAsia" w:ascii="方正仿宋_GB2312" w:hAnsi="方正仿宋_GB2312" w:eastAsia="方正仿宋_GB2312" w:cs="方正仿宋_GB2312"/>
          <w:bCs/>
          <w:color w:val="auto"/>
          <w:sz w:val="24"/>
          <w:szCs w:val="24"/>
          <w:highlight w:val="none"/>
          <w:u w:val="single"/>
        </w:rPr>
        <w:t xml:space="preserve">                                                                                        </w:t>
      </w:r>
    </w:p>
    <w:p w14:paraId="3C5C54CC">
      <w:pPr>
        <w:pStyle w:val="17"/>
        <w:spacing w:line="360" w:lineRule="auto"/>
        <w:ind w:left="25" w:leftChars="12" w:firstLine="472" w:firstLineChars="197"/>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投诉事项2  </w:t>
      </w:r>
      <w:r>
        <w:rPr>
          <w:rFonts w:hint="eastAsia" w:ascii="方正仿宋_GB2312" w:hAnsi="方正仿宋_GB2312" w:eastAsia="方正仿宋_GB2312" w:cs="方正仿宋_GB2312"/>
          <w:bCs/>
          <w:color w:val="auto"/>
          <w:sz w:val="24"/>
          <w:szCs w:val="24"/>
          <w:highlight w:val="none"/>
        </w:rPr>
        <w:t xml:space="preserve">   </w:t>
      </w:r>
    </w:p>
    <w:p w14:paraId="32E3C1B3">
      <w:pPr>
        <w:pStyle w:val="17"/>
        <w:spacing w:line="360" w:lineRule="auto"/>
        <w:ind w:left="25" w:leftChars="12" w:firstLine="472" w:firstLineChars="197"/>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w:t>
      </w:r>
    </w:p>
    <w:p w14:paraId="03700C17">
      <w:pPr>
        <w:pStyle w:val="17"/>
        <w:spacing w:line="360" w:lineRule="auto"/>
        <w:ind w:left="25" w:leftChars="12" w:firstLine="472" w:firstLineChars="196"/>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五、与投诉事项相关的投诉请求：</w:t>
      </w:r>
    </w:p>
    <w:p w14:paraId="6918826A">
      <w:pPr>
        <w:pStyle w:val="17"/>
        <w:spacing w:line="360" w:lineRule="auto"/>
        <w:ind w:left="25" w:leftChars="12" w:firstLine="472" w:firstLineChars="197"/>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请求：</w:t>
      </w:r>
      <w:r>
        <w:rPr>
          <w:rFonts w:hint="eastAsia" w:ascii="方正仿宋_GB2312" w:hAnsi="方正仿宋_GB2312" w:eastAsia="方正仿宋_GB2312" w:cs="方正仿宋_GB2312"/>
          <w:bCs/>
          <w:color w:val="auto"/>
          <w:sz w:val="24"/>
          <w:szCs w:val="24"/>
          <w:highlight w:val="none"/>
          <w:u w:val="single"/>
        </w:rPr>
        <w:t xml:space="preserve">                                                                                 </w:t>
      </w:r>
    </w:p>
    <w:p w14:paraId="43901665">
      <w:pPr>
        <w:pStyle w:val="17"/>
        <w:spacing w:line="360" w:lineRule="auto"/>
        <w:ind w:left="25" w:leftChars="12" w:firstLine="352" w:firstLineChars="147"/>
        <w:rPr>
          <w:rFonts w:hint="eastAsia" w:ascii="方正仿宋_GB2312" w:hAnsi="方正仿宋_GB2312" w:eastAsia="方正仿宋_GB2312" w:cs="方正仿宋_GB2312"/>
          <w:color w:val="auto"/>
          <w:sz w:val="24"/>
          <w:szCs w:val="24"/>
          <w:highlight w:val="none"/>
        </w:rPr>
      </w:pPr>
    </w:p>
    <w:p w14:paraId="23F90F1E">
      <w:pPr>
        <w:pStyle w:val="17"/>
        <w:spacing w:line="360" w:lineRule="auto"/>
        <w:ind w:left="25" w:leftChars="12" w:firstLine="472" w:firstLineChars="197"/>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签字（签章）：                                       公章：</w:t>
      </w:r>
    </w:p>
    <w:p w14:paraId="1F745676">
      <w:pPr>
        <w:pStyle w:val="17"/>
        <w:spacing w:line="360" w:lineRule="auto"/>
        <w:ind w:left="25" w:leftChars="12" w:firstLine="472" w:firstLineChars="197"/>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bCs/>
          <w:color w:val="auto"/>
          <w:sz w:val="24"/>
          <w:szCs w:val="24"/>
          <w:highlight w:val="none"/>
        </w:rPr>
        <w:t xml:space="preserve">                                                                         </w:t>
      </w:r>
    </w:p>
    <w:p w14:paraId="2FD4CA3E">
      <w:pPr>
        <w:pStyle w:val="17"/>
        <w:snapToGrid w:val="0"/>
        <w:spacing w:line="360" w:lineRule="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说明：</w:t>
      </w:r>
    </w:p>
    <w:p w14:paraId="7C65BAD7">
      <w:pPr>
        <w:pStyle w:val="17"/>
        <w:spacing w:line="360" w:lineRule="auto"/>
        <w:ind w:left="25" w:leftChars="12" w:firstLine="354" w:firstLineChars="147"/>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color w:val="auto"/>
          <w:sz w:val="24"/>
          <w:szCs w:val="24"/>
          <w:highlight w:val="none"/>
        </w:rPr>
        <w:t>1.投诉人提起投诉时，应当提交投诉书和必要的证明材料，并按照被投诉人和与投诉事项有关的供应商数量提供投诉书副本</w:t>
      </w:r>
      <w:r>
        <w:rPr>
          <w:rFonts w:hint="eastAsia" w:ascii="方正仿宋_GB2312" w:hAnsi="方正仿宋_GB2312" w:eastAsia="方正仿宋_GB2312" w:cs="方正仿宋_GB2312"/>
          <w:b/>
          <w:bCs/>
          <w:color w:val="auto"/>
          <w:sz w:val="24"/>
          <w:szCs w:val="24"/>
          <w:highlight w:val="none"/>
        </w:rPr>
        <w:t>。</w:t>
      </w:r>
    </w:p>
    <w:p w14:paraId="16A87878">
      <w:pPr>
        <w:pStyle w:val="17"/>
        <w:spacing w:line="360" w:lineRule="auto"/>
        <w:ind w:left="25" w:leftChars="12" w:firstLine="354" w:firstLineChars="147"/>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08D142C">
      <w:pPr>
        <w:pStyle w:val="17"/>
        <w:spacing w:line="360" w:lineRule="auto"/>
        <w:ind w:left="25" w:leftChars="12" w:firstLine="354" w:firstLineChars="147"/>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3.投诉书应简要列明质疑事项，质疑函、质疑答复等作为附件材料提供。</w:t>
      </w:r>
    </w:p>
    <w:p w14:paraId="466B54AE">
      <w:pPr>
        <w:pStyle w:val="17"/>
        <w:spacing w:line="360" w:lineRule="auto"/>
        <w:ind w:left="25" w:leftChars="12" w:firstLine="354" w:firstLineChars="147"/>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4.投诉书的投诉事项应具体、明确，并有必要的事实依据和法律依据。</w:t>
      </w:r>
    </w:p>
    <w:p w14:paraId="1BD67D9E">
      <w:pPr>
        <w:pStyle w:val="17"/>
        <w:spacing w:line="360" w:lineRule="auto"/>
        <w:ind w:left="25" w:leftChars="12" w:firstLine="354" w:firstLineChars="147"/>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5.投诉书的投诉请求应与投诉事项相关。</w:t>
      </w:r>
    </w:p>
    <w:p w14:paraId="6E69C209">
      <w:pPr>
        <w:pStyle w:val="17"/>
        <w:spacing w:line="360" w:lineRule="auto"/>
        <w:ind w:left="25" w:leftChars="12" w:firstLine="354" w:firstLineChars="147"/>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color w:val="auto"/>
          <w:sz w:val="24"/>
          <w:szCs w:val="24"/>
          <w:highlight w:val="none"/>
        </w:rPr>
        <w:t>6.投诉人为法人或者其他组织的，投诉书应由法定代表人、主要负责人，或者其授权代表签字或者盖章，并加盖公章。</w:t>
      </w:r>
    </w:p>
    <w:sectPr>
      <w:headerReference r:id="rId19" w:type="default"/>
      <w:footerReference r:id="rId20" w:type="default"/>
      <w:pgSz w:w="11910" w:h="16840"/>
      <w:pgMar w:top="1440" w:right="1080" w:bottom="1440" w:left="10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1" w:fontKey="{6281D86C-8F71-4488-B2C0-22FB4F70B8C1}"/>
  </w:font>
  <w:font w:name="MingLiU">
    <w:panose1 w:val="02020509000000000000"/>
    <w:charset w:val="88"/>
    <w:family w:val="modern"/>
    <w:pitch w:val="default"/>
    <w:sig w:usb0="A00002FF" w:usb1="28CFFCFA" w:usb2="00000016" w:usb3="00000000" w:csb0="00100001" w:csb1="00000000"/>
  </w:font>
  <w:font w:name="方正仿宋_GB2312">
    <w:panose1 w:val="02000000000000000000"/>
    <w:charset w:val="86"/>
    <w:family w:val="auto"/>
    <w:pitch w:val="default"/>
    <w:sig w:usb0="A00002BF" w:usb1="184F6CFA" w:usb2="00000012" w:usb3="00000000" w:csb0="00040001" w:csb1="00000000"/>
    <w:embedRegular r:id="rId2" w:fontKey="{14C844FF-BCB7-4FBE-9BF1-BA3D78BA740A}"/>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19FFF">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E366B">
    <w:pPr>
      <w:pStyle w:val="20"/>
      <w:framePr w:wrap="around" w:vAnchor="text" w:hAnchor="margin" w:xAlign="center" w:y="1"/>
      <w:rPr>
        <w:rStyle w:val="32"/>
        <w:sz w:val="21"/>
      </w:rPr>
    </w:pPr>
    <w:r>
      <w:rPr>
        <w:sz w:val="21"/>
      </w:rPr>
      <w:fldChar w:fldCharType="begin"/>
    </w:r>
    <w:r>
      <w:rPr>
        <w:rStyle w:val="32"/>
        <w:sz w:val="21"/>
      </w:rPr>
      <w:instrText xml:space="preserve">PAGE  </w:instrText>
    </w:r>
    <w:r>
      <w:rPr>
        <w:sz w:val="21"/>
      </w:rPr>
      <w:fldChar w:fldCharType="separate"/>
    </w:r>
    <w:r>
      <w:rPr>
        <w:rStyle w:val="32"/>
        <w:sz w:val="21"/>
      </w:rPr>
      <w:t>0</w:t>
    </w:r>
    <w:r>
      <w:rPr>
        <w:sz w:val="21"/>
      </w:rPr>
      <w:fldChar w:fldCharType="end"/>
    </w:r>
  </w:p>
  <w:p w14:paraId="222F7BF0">
    <w:pPr>
      <w:pStyle w:val="20"/>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3B629">
    <w:pPr>
      <w:pStyle w:val="20"/>
      <w:ind w:right="360" w:firstLine="360"/>
      <w:jc w:val="right"/>
      <w:rPr>
        <w:rFonts w:hint="eastAsia"/>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0E061">
    <w:pPr>
      <w:pStyle w:val="20"/>
      <w:ind w:right="360" w:firstLine="360"/>
      <w:jc w:val="right"/>
      <w:rPr>
        <w:rFonts w:hint="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A3D9D">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A1A3D9D">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8AB94">
    <w:pPr>
      <w:pStyle w:val="20"/>
      <w:ind w:right="360" w:firstLine="360"/>
      <w:jc w:val="right"/>
      <w:rPr>
        <w:rFonts w:hint="eastAsia"/>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F7082">
                          <w:pPr>
                            <w:pStyle w:val="2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F7F7082">
                    <w:pPr>
                      <w:pStyle w:val="2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C7D6F">
    <w:pPr>
      <w:spacing w:line="192" w:lineRule="auto"/>
      <w:ind w:left="4246"/>
      <w:rPr>
        <w:rFonts w:ascii="宋体" w:hAnsi="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7E15E">
                          <w:pPr>
                            <w:pStyle w:val="2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257E15E">
                    <w:pPr>
                      <w:pStyle w:val="2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03166">
    <w:pPr>
      <w:widowControl w:val="0"/>
      <w:tabs>
        <w:tab w:val="center" w:pos="4153"/>
        <w:tab w:val="right" w:pos="8306"/>
      </w:tabs>
      <w:snapToGrid w:val="0"/>
      <w:jc w:val="center"/>
      <w:rPr>
        <w:rFonts w:ascii="Times New Roman" w:hAnsi="Times New Roman" w:eastAsia="宋体" w:cs="Times New Roman"/>
        <w:kern w:val="0"/>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58D20">
                          <w:pPr>
                            <w:pStyle w:val="20"/>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F658D20">
                    <w:pPr>
                      <w:pStyle w:val="20"/>
                    </w:pPr>
                    <w:r>
                      <w:fldChar w:fldCharType="begin"/>
                    </w:r>
                    <w:r>
                      <w:instrText xml:space="preserve"> PAGE  \* MERGEFORMAT </w:instrText>
                    </w:r>
                    <w:r>
                      <w:fldChar w:fldCharType="separate"/>
                    </w:r>
                    <w:r>
                      <w:t>85</w:t>
                    </w:r>
                    <w:r>
                      <w:fldChar w:fldCharType="end"/>
                    </w:r>
                  </w:p>
                </w:txbxContent>
              </v:textbox>
            </v:shape>
          </w:pict>
        </mc:Fallback>
      </mc:AlternateContent>
    </w:r>
  </w:p>
  <w:p w14:paraId="7449C584">
    <w:pPr>
      <w:widowControl w:val="0"/>
      <w:tabs>
        <w:tab w:val="center" w:pos="4153"/>
        <w:tab w:val="right" w:pos="8306"/>
      </w:tabs>
      <w:snapToGrid w:val="0"/>
      <w:jc w:val="left"/>
      <w:rPr>
        <w:rFonts w:ascii="Times New Roman" w:hAnsi="Times New Roman" w:eastAsia="宋体" w:cs="Times New Roman"/>
        <w:kern w:val="0"/>
        <w:sz w:val="18"/>
        <w:szCs w:val="18"/>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58A16">
    <w:pPr>
      <w:pStyle w:val="2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81756">
                          <w:pPr>
                            <w:pStyle w:val="20"/>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8881756">
                    <w:pPr>
                      <w:pStyle w:val="20"/>
                    </w:pPr>
                    <w:r>
                      <w:fldChar w:fldCharType="begin"/>
                    </w:r>
                    <w:r>
                      <w:instrText xml:space="preserve"> PAGE  \* MERGEFORMAT </w:instrText>
                    </w:r>
                    <w:r>
                      <w:fldChar w:fldCharType="separate"/>
                    </w:r>
                    <w:r>
                      <w:t>96</w:t>
                    </w:r>
                    <w:r>
                      <w:fldChar w:fldCharType="end"/>
                    </w:r>
                  </w:p>
                </w:txbxContent>
              </v:textbox>
            </v:shape>
          </w:pict>
        </mc:Fallback>
      </mc:AlternateContent>
    </w:r>
  </w:p>
  <w:p w14:paraId="7D27E726">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635C">
    <w:pPr>
      <w:pStyle w:val="21"/>
      <w:pBdr>
        <w:bottom w:val="none" w:color="auto" w:sz="0" w:space="1"/>
      </w:pBdr>
      <w:tabs>
        <w:tab w:val="center" w:pos="0"/>
        <w:tab w:val="clear" w:pos="4153"/>
      </w:tabs>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A2EB5">
    <w:pPr>
      <w:pStyle w:val="21"/>
      <w:pBdr>
        <w:bottom w:val="none" w:color="auto" w:sz="0" w:space="1"/>
      </w:pBdr>
      <w:tabs>
        <w:tab w:val="center" w:pos="0"/>
        <w:tab w:val="clear" w:pos="4153"/>
      </w:tabs>
    </w:pPr>
    <w:r>
      <w:rPr>
        <w:vanish/>
        <w:highlight w:val="yellow"/>
      </w:rPr>
      <w:t>&gt;</w:t>
    </w:r>
  </w:p>
  <w:p w14:paraId="54ACFED9">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7DD8D">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36338">
    <w:pPr>
      <w:pStyle w:val="21"/>
      <w:pBdr>
        <w:bottom w:val="none" w:color="auto" w:sz="0" w:space="0"/>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43FAD">
    <w:pPr>
      <w:pStyle w:val="21"/>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A1725">
    <w:pPr>
      <w:pStyle w:val="21"/>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7658E">
    <w:pPr>
      <w:pStyle w:val="21"/>
      <w:pBdr>
        <w:bottom w:val="none" w:color="auto" w:sz="0" w:space="1"/>
      </w:pBdr>
      <w:rPr>
        <w:rFonts w:hint="eastAsia" w:ascii="仿宋" w:hAnsi="仿宋" w:eastAsia="仿宋" w:cs="仿宋"/>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BA799">
    <w:pPr>
      <w:widowControl w:val="0"/>
      <w:pBdr>
        <w:bottom w:val="none" w:color="auto" w:sz="0" w:space="1"/>
      </w:pBdr>
      <w:tabs>
        <w:tab w:val="left" w:pos="299"/>
        <w:tab w:val="center" w:pos="4153"/>
        <w:tab w:val="right" w:pos="8306"/>
      </w:tabs>
      <w:snapToGrid w:val="0"/>
      <w:jc w:val="left"/>
      <w:rPr>
        <w:rFonts w:hint="eastAsia" w:ascii="Times New Roman" w:hAnsi="Times New Roman" w:eastAsia="宋体" w:cs="Times New Roman"/>
        <w:kern w:val="0"/>
        <w:sz w:val="18"/>
        <w:szCs w:val="18"/>
        <w:lang w:val="en-US" w:eastAsia="zh-CN"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2EF97">
    <w:pPr>
      <w:widowControl w:val="0"/>
      <w:pBdr>
        <w:bottom w:val="none" w:color="auto" w:sz="0" w:space="1"/>
      </w:pBdr>
      <w:tabs>
        <w:tab w:val="center" w:pos="4153"/>
        <w:tab w:val="right" w:pos="8306"/>
      </w:tabs>
      <w:snapToGrid w:val="0"/>
      <w:jc w:val="both"/>
      <w:rPr>
        <w:rFonts w:ascii="Times New Roman" w:hAnsi="Times New Roman" w:eastAsia="宋体" w:cs="Times New Roman"/>
        <w:kern w:val="0"/>
        <w:sz w:val="18"/>
        <w:szCs w:val="18"/>
        <w:lang w:val="en-US" w:eastAsia="zh-CN" w:bidi="ar-S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26E79">
    <w:pPr>
      <w:widowControl w:val="0"/>
      <w:pBdr>
        <w:bottom w:val="none" w:color="auto" w:sz="0" w:space="1"/>
      </w:pBdr>
      <w:tabs>
        <w:tab w:val="center" w:pos="0"/>
        <w:tab w:val="right" w:pos="8306"/>
      </w:tabs>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vanish/>
        <w:kern w:val="0"/>
        <w:sz w:val="18"/>
        <w:szCs w:val="18"/>
        <w:highlight w:val="yellow"/>
        <w:lang w:val="en-US" w:eastAsia="zh-CN" w:bidi="ar-SA"/>
      </w:rPr>
      <w:t>&gt;</w:t>
    </w:r>
  </w:p>
  <w:p w14:paraId="6727FD47">
    <w:pPr>
      <w:widowControl w:val="0"/>
      <w:pBdr>
        <w:bottom w:val="none" w:color="auto" w:sz="0" w:space="0"/>
      </w:pBdr>
      <w:tabs>
        <w:tab w:val="center" w:pos="4153"/>
        <w:tab w:val="right" w:pos="8306"/>
      </w:tabs>
      <w:snapToGrid w:val="0"/>
      <w:jc w:val="center"/>
      <w:rPr>
        <w:rFonts w:ascii="Times New Roman" w:hAnsi="Times New Roman" w:eastAsia="宋体" w:cs="Times New Roman"/>
        <w:kern w:val="0"/>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FE96F"/>
    <w:multiLevelType w:val="singleLevel"/>
    <w:tmpl w:val="BFFFE96F"/>
    <w:lvl w:ilvl="0" w:tentative="0">
      <w:start w:val="4"/>
      <w:numFmt w:val="chineseCounting"/>
      <w:suff w:val="nothing"/>
      <w:lvlText w:val="%1、"/>
      <w:lvlJc w:val="left"/>
      <w:rPr>
        <w:rFonts w:hint="eastAsia"/>
      </w:r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555C5158"/>
    <w:multiLevelType w:val="singleLevel"/>
    <w:tmpl w:val="555C5158"/>
    <w:lvl w:ilvl="0" w:tentative="0">
      <w:start w:val="1"/>
      <w:numFmt w:val="lowerLetter"/>
      <w:suff w:val="nothing"/>
      <w:lvlText w:val="（%1）"/>
      <w:lvlJc w:val="left"/>
    </w:lvl>
  </w:abstractNum>
  <w:num w:numId="1">
    <w:abstractNumId w:val="0"/>
  </w:num>
  <w:num w:numId="2">
    <w:abstractNumId w:val="1"/>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OGRkMmU1MWMwNDM4MDdiMzk1ZjcxZGViMTk4NGY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4F81"/>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AE0"/>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A3D"/>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0FD"/>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AF3D99"/>
    <w:rsid w:val="02511F9D"/>
    <w:rsid w:val="02DB74DC"/>
    <w:rsid w:val="02F647FB"/>
    <w:rsid w:val="03A314B8"/>
    <w:rsid w:val="03D82B98"/>
    <w:rsid w:val="03F83E8B"/>
    <w:rsid w:val="043B467F"/>
    <w:rsid w:val="049447B5"/>
    <w:rsid w:val="05C56868"/>
    <w:rsid w:val="05E530D0"/>
    <w:rsid w:val="07B72767"/>
    <w:rsid w:val="08077E72"/>
    <w:rsid w:val="08882DD0"/>
    <w:rsid w:val="08A8169C"/>
    <w:rsid w:val="08F4046C"/>
    <w:rsid w:val="09161FBE"/>
    <w:rsid w:val="0938036B"/>
    <w:rsid w:val="097A40D4"/>
    <w:rsid w:val="09997FFE"/>
    <w:rsid w:val="09CC2AAC"/>
    <w:rsid w:val="09D26E76"/>
    <w:rsid w:val="0A652D3E"/>
    <w:rsid w:val="0AA83BA7"/>
    <w:rsid w:val="0ABB6827"/>
    <w:rsid w:val="0B326F2A"/>
    <w:rsid w:val="0C1E2888"/>
    <w:rsid w:val="0C7978E1"/>
    <w:rsid w:val="0C92213C"/>
    <w:rsid w:val="0C992D2C"/>
    <w:rsid w:val="0D7116ED"/>
    <w:rsid w:val="0D84032B"/>
    <w:rsid w:val="0F2A74C4"/>
    <w:rsid w:val="10A27F31"/>
    <w:rsid w:val="11927058"/>
    <w:rsid w:val="12404237"/>
    <w:rsid w:val="13AF4F03"/>
    <w:rsid w:val="144A5ABE"/>
    <w:rsid w:val="14553B17"/>
    <w:rsid w:val="14736E66"/>
    <w:rsid w:val="147F458F"/>
    <w:rsid w:val="14D958EC"/>
    <w:rsid w:val="1534169A"/>
    <w:rsid w:val="15C03E03"/>
    <w:rsid w:val="15D11717"/>
    <w:rsid w:val="15E97757"/>
    <w:rsid w:val="160457F4"/>
    <w:rsid w:val="162A25EB"/>
    <w:rsid w:val="16DF4232"/>
    <w:rsid w:val="16F3232E"/>
    <w:rsid w:val="16FD2A55"/>
    <w:rsid w:val="17067C1A"/>
    <w:rsid w:val="170B7A24"/>
    <w:rsid w:val="17366761"/>
    <w:rsid w:val="175B1444"/>
    <w:rsid w:val="17705521"/>
    <w:rsid w:val="177366C3"/>
    <w:rsid w:val="177C01F0"/>
    <w:rsid w:val="17CE6630"/>
    <w:rsid w:val="19690F46"/>
    <w:rsid w:val="1A3F6DFB"/>
    <w:rsid w:val="1A772176"/>
    <w:rsid w:val="1AAE0E00"/>
    <w:rsid w:val="1AC506ED"/>
    <w:rsid w:val="1AFC6A9A"/>
    <w:rsid w:val="1AFF0AFE"/>
    <w:rsid w:val="1B4F19F8"/>
    <w:rsid w:val="1B920970"/>
    <w:rsid w:val="1BB976AA"/>
    <w:rsid w:val="1BD276B4"/>
    <w:rsid w:val="1C226F03"/>
    <w:rsid w:val="1C734C71"/>
    <w:rsid w:val="1CF57C45"/>
    <w:rsid w:val="1D0B56BA"/>
    <w:rsid w:val="1D167BBB"/>
    <w:rsid w:val="1D9A5B6C"/>
    <w:rsid w:val="1E4B6923"/>
    <w:rsid w:val="1ECC44FA"/>
    <w:rsid w:val="1EE35317"/>
    <w:rsid w:val="1F063325"/>
    <w:rsid w:val="1FBC5DF5"/>
    <w:rsid w:val="1FD52D34"/>
    <w:rsid w:val="1FF90588"/>
    <w:rsid w:val="20137FB9"/>
    <w:rsid w:val="20C3623F"/>
    <w:rsid w:val="21781212"/>
    <w:rsid w:val="21B83F86"/>
    <w:rsid w:val="221178A8"/>
    <w:rsid w:val="221213CF"/>
    <w:rsid w:val="22327A92"/>
    <w:rsid w:val="22935CD3"/>
    <w:rsid w:val="231D53A2"/>
    <w:rsid w:val="236D5383"/>
    <w:rsid w:val="23A5630C"/>
    <w:rsid w:val="23B7504C"/>
    <w:rsid w:val="23CF673C"/>
    <w:rsid w:val="23F11B95"/>
    <w:rsid w:val="24571307"/>
    <w:rsid w:val="24912949"/>
    <w:rsid w:val="24B22E51"/>
    <w:rsid w:val="25110A2A"/>
    <w:rsid w:val="256C0944"/>
    <w:rsid w:val="26446DE3"/>
    <w:rsid w:val="269669E7"/>
    <w:rsid w:val="26C90542"/>
    <w:rsid w:val="26D7699F"/>
    <w:rsid w:val="27D86DDC"/>
    <w:rsid w:val="28A9076B"/>
    <w:rsid w:val="28A92EA0"/>
    <w:rsid w:val="2A0A034A"/>
    <w:rsid w:val="2A1B7225"/>
    <w:rsid w:val="2ABA017E"/>
    <w:rsid w:val="2AE25DB8"/>
    <w:rsid w:val="2B774624"/>
    <w:rsid w:val="2C6B7188"/>
    <w:rsid w:val="2C7A72BE"/>
    <w:rsid w:val="2C995108"/>
    <w:rsid w:val="2C9A7D75"/>
    <w:rsid w:val="2CC17412"/>
    <w:rsid w:val="2D070398"/>
    <w:rsid w:val="2D4E4C77"/>
    <w:rsid w:val="2DA452D4"/>
    <w:rsid w:val="2DAC4350"/>
    <w:rsid w:val="2E082293"/>
    <w:rsid w:val="2E9976CE"/>
    <w:rsid w:val="2EC52239"/>
    <w:rsid w:val="2EF51D26"/>
    <w:rsid w:val="2F401D3C"/>
    <w:rsid w:val="2F5B24E1"/>
    <w:rsid w:val="2FA95C88"/>
    <w:rsid w:val="2FB42FF5"/>
    <w:rsid w:val="2FE36FA0"/>
    <w:rsid w:val="3041370F"/>
    <w:rsid w:val="3057059C"/>
    <w:rsid w:val="31232B7B"/>
    <w:rsid w:val="312B50A3"/>
    <w:rsid w:val="32052121"/>
    <w:rsid w:val="32453A27"/>
    <w:rsid w:val="3263064A"/>
    <w:rsid w:val="32A43132"/>
    <w:rsid w:val="32AC0C06"/>
    <w:rsid w:val="32EE71B8"/>
    <w:rsid w:val="33344EF5"/>
    <w:rsid w:val="34711E4F"/>
    <w:rsid w:val="34F5691F"/>
    <w:rsid w:val="3537750C"/>
    <w:rsid w:val="3537798C"/>
    <w:rsid w:val="35C13FC9"/>
    <w:rsid w:val="361E6013"/>
    <w:rsid w:val="3637104B"/>
    <w:rsid w:val="364257B6"/>
    <w:rsid w:val="3667601D"/>
    <w:rsid w:val="36EF3ED4"/>
    <w:rsid w:val="37EA5922"/>
    <w:rsid w:val="38072917"/>
    <w:rsid w:val="38276B93"/>
    <w:rsid w:val="38476B7D"/>
    <w:rsid w:val="386C3EAF"/>
    <w:rsid w:val="38AC3431"/>
    <w:rsid w:val="38BD1B07"/>
    <w:rsid w:val="392F2E16"/>
    <w:rsid w:val="39E00529"/>
    <w:rsid w:val="3A0B64A7"/>
    <w:rsid w:val="3A574DDA"/>
    <w:rsid w:val="3A950950"/>
    <w:rsid w:val="3AD3075A"/>
    <w:rsid w:val="3AF74C02"/>
    <w:rsid w:val="3BAD6B28"/>
    <w:rsid w:val="3C0059A5"/>
    <w:rsid w:val="3C134E78"/>
    <w:rsid w:val="3C247D92"/>
    <w:rsid w:val="3CFA5815"/>
    <w:rsid w:val="3D5244B1"/>
    <w:rsid w:val="3D672E3D"/>
    <w:rsid w:val="3DEC7285"/>
    <w:rsid w:val="3DF6345D"/>
    <w:rsid w:val="3E235CFC"/>
    <w:rsid w:val="3E2B5515"/>
    <w:rsid w:val="3E4D4F28"/>
    <w:rsid w:val="3E614CE2"/>
    <w:rsid w:val="3EE13701"/>
    <w:rsid w:val="3F1A4BB3"/>
    <w:rsid w:val="400E3886"/>
    <w:rsid w:val="40192BA6"/>
    <w:rsid w:val="402F32A6"/>
    <w:rsid w:val="409F799B"/>
    <w:rsid w:val="41766EA9"/>
    <w:rsid w:val="42550A18"/>
    <w:rsid w:val="429D496A"/>
    <w:rsid w:val="42F473A1"/>
    <w:rsid w:val="42FB2F81"/>
    <w:rsid w:val="441E62C0"/>
    <w:rsid w:val="449178E7"/>
    <w:rsid w:val="44E830C5"/>
    <w:rsid w:val="45325D14"/>
    <w:rsid w:val="45811C7C"/>
    <w:rsid w:val="45906116"/>
    <w:rsid w:val="45AE0E10"/>
    <w:rsid w:val="46402500"/>
    <w:rsid w:val="468B3EFB"/>
    <w:rsid w:val="470A6193"/>
    <w:rsid w:val="47385210"/>
    <w:rsid w:val="47480E08"/>
    <w:rsid w:val="474E7E27"/>
    <w:rsid w:val="47DC4F5C"/>
    <w:rsid w:val="48536BEE"/>
    <w:rsid w:val="48671147"/>
    <w:rsid w:val="487C38AA"/>
    <w:rsid w:val="489138F6"/>
    <w:rsid w:val="48B40671"/>
    <w:rsid w:val="499B5738"/>
    <w:rsid w:val="499F244D"/>
    <w:rsid w:val="4A426A1F"/>
    <w:rsid w:val="4A973F3F"/>
    <w:rsid w:val="4AEFFA59"/>
    <w:rsid w:val="4AF96BC7"/>
    <w:rsid w:val="4B0D54B0"/>
    <w:rsid w:val="4B5A416B"/>
    <w:rsid w:val="4B862A85"/>
    <w:rsid w:val="4C1A4723"/>
    <w:rsid w:val="4CB70DEF"/>
    <w:rsid w:val="4CD40998"/>
    <w:rsid w:val="4CEF36E2"/>
    <w:rsid w:val="4CEF4DC5"/>
    <w:rsid w:val="4D1637F2"/>
    <w:rsid w:val="4D1D67F6"/>
    <w:rsid w:val="4D257367"/>
    <w:rsid w:val="4D3C431A"/>
    <w:rsid w:val="4E257655"/>
    <w:rsid w:val="4E8E7871"/>
    <w:rsid w:val="4EB70442"/>
    <w:rsid w:val="4F372380"/>
    <w:rsid w:val="4F372FFB"/>
    <w:rsid w:val="501A61F2"/>
    <w:rsid w:val="5025116D"/>
    <w:rsid w:val="5069763E"/>
    <w:rsid w:val="50F857DB"/>
    <w:rsid w:val="518439F0"/>
    <w:rsid w:val="51F42B99"/>
    <w:rsid w:val="51F9197E"/>
    <w:rsid w:val="52395ECD"/>
    <w:rsid w:val="52C10D75"/>
    <w:rsid w:val="53C27FF8"/>
    <w:rsid w:val="53E33FE2"/>
    <w:rsid w:val="549E1A80"/>
    <w:rsid w:val="54B25E40"/>
    <w:rsid w:val="54C658F4"/>
    <w:rsid w:val="54FA4BAF"/>
    <w:rsid w:val="550C4BD7"/>
    <w:rsid w:val="55217D46"/>
    <w:rsid w:val="554C1D56"/>
    <w:rsid w:val="55572986"/>
    <w:rsid w:val="55A36217"/>
    <w:rsid w:val="55C062DD"/>
    <w:rsid w:val="565340FA"/>
    <w:rsid w:val="5723343E"/>
    <w:rsid w:val="573D7EAB"/>
    <w:rsid w:val="57DA73A0"/>
    <w:rsid w:val="57E74053"/>
    <w:rsid w:val="59836704"/>
    <w:rsid w:val="5A2F2CC8"/>
    <w:rsid w:val="5AFB42DC"/>
    <w:rsid w:val="5BA26962"/>
    <w:rsid w:val="5C10702D"/>
    <w:rsid w:val="5C152601"/>
    <w:rsid w:val="5C591F03"/>
    <w:rsid w:val="5C8A1B2F"/>
    <w:rsid w:val="5D4D616E"/>
    <w:rsid w:val="5D5071A3"/>
    <w:rsid w:val="5D660CB8"/>
    <w:rsid w:val="5D914004"/>
    <w:rsid w:val="5EAA15E0"/>
    <w:rsid w:val="5EC6008B"/>
    <w:rsid w:val="5F561B72"/>
    <w:rsid w:val="606007BB"/>
    <w:rsid w:val="60AC7F66"/>
    <w:rsid w:val="60E4351B"/>
    <w:rsid w:val="61BF10D9"/>
    <w:rsid w:val="61DA3D4C"/>
    <w:rsid w:val="627E43B9"/>
    <w:rsid w:val="628A4997"/>
    <w:rsid w:val="62AC22DC"/>
    <w:rsid w:val="631A52DC"/>
    <w:rsid w:val="637045E3"/>
    <w:rsid w:val="637833E8"/>
    <w:rsid w:val="64872E45"/>
    <w:rsid w:val="64E45EF7"/>
    <w:rsid w:val="655D7702"/>
    <w:rsid w:val="65BF727D"/>
    <w:rsid w:val="664F04CF"/>
    <w:rsid w:val="6691014E"/>
    <w:rsid w:val="66AC275B"/>
    <w:rsid w:val="66B47C99"/>
    <w:rsid w:val="66C87CCE"/>
    <w:rsid w:val="677435B2"/>
    <w:rsid w:val="67B90896"/>
    <w:rsid w:val="67EF75F1"/>
    <w:rsid w:val="69124F16"/>
    <w:rsid w:val="694A5205"/>
    <w:rsid w:val="69CD5C14"/>
    <w:rsid w:val="69CF0D33"/>
    <w:rsid w:val="6A075A18"/>
    <w:rsid w:val="6AE17842"/>
    <w:rsid w:val="6B9946B3"/>
    <w:rsid w:val="6BB11A73"/>
    <w:rsid w:val="6C662189"/>
    <w:rsid w:val="6C7007C7"/>
    <w:rsid w:val="6C70572D"/>
    <w:rsid w:val="6C9B3F20"/>
    <w:rsid w:val="6D145DAE"/>
    <w:rsid w:val="6D317EEA"/>
    <w:rsid w:val="6DE76850"/>
    <w:rsid w:val="6FB20BD4"/>
    <w:rsid w:val="6FB650F7"/>
    <w:rsid w:val="6FBA59BE"/>
    <w:rsid w:val="70296B3E"/>
    <w:rsid w:val="70611204"/>
    <w:rsid w:val="71BD2928"/>
    <w:rsid w:val="722C490E"/>
    <w:rsid w:val="722D3CEC"/>
    <w:rsid w:val="73445350"/>
    <w:rsid w:val="73B747F7"/>
    <w:rsid w:val="73F71F01"/>
    <w:rsid w:val="73F959CA"/>
    <w:rsid w:val="74174038"/>
    <w:rsid w:val="74FA2C30"/>
    <w:rsid w:val="750D1A4A"/>
    <w:rsid w:val="75496B3C"/>
    <w:rsid w:val="754D5C4B"/>
    <w:rsid w:val="75C65B4A"/>
    <w:rsid w:val="76676633"/>
    <w:rsid w:val="76C240A7"/>
    <w:rsid w:val="77454EB5"/>
    <w:rsid w:val="775246B7"/>
    <w:rsid w:val="77C32065"/>
    <w:rsid w:val="77F11912"/>
    <w:rsid w:val="781E69D1"/>
    <w:rsid w:val="794136CF"/>
    <w:rsid w:val="7A263B6B"/>
    <w:rsid w:val="7AF46346"/>
    <w:rsid w:val="7B0F5EBF"/>
    <w:rsid w:val="7B130FB9"/>
    <w:rsid w:val="7BF64EDE"/>
    <w:rsid w:val="7BFA509D"/>
    <w:rsid w:val="7C400C1E"/>
    <w:rsid w:val="7D1D1EA9"/>
    <w:rsid w:val="7DD11708"/>
    <w:rsid w:val="7E6A3469"/>
    <w:rsid w:val="7EBD579E"/>
    <w:rsid w:val="7EC167BD"/>
    <w:rsid w:val="7F272D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8"/>
    <w:autoRedefine/>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49"/>
    <w:qFormat/>
    <w:uiPriority w:val="9"/>
    <w:pPr>
      <w:keepNext/>
      <w:keepLines/>
      <w:spacing w:before="280" w:after="290" w:line="376" w:lineRule="auto"/>
      <w:outlineLvl w:val="4"/>
    </w:pPr>
    <w:rPr>
      <w:b/>
      <w:bCs/>
      <w:sz w:val="28"/>
      <w:szCs w:val="28"/>
    </w:rPr>
  </w:style>
  <w:style w:type="paragraph" w:styleId="8">
    <w:name w:val="heading 8"/>
    <w:basedOn w:val="1"/>
    <w:next w:val="1"/>
    <w:link w:val="50"/>
    <w:autoRedefine/>
    <w:qFormat/>
    <w:uiPriority w:val="9"/>
    <w:pPr>
      <w:keepNext/>
      <w:keepLines/>
      <w:spacing w:before="240" w:after="64" w:line="320" w:lineRule="auto"/>
      <w:outlineLvl w:val="7"/>
    </w:pPr>
    <w:rPr>
      <w:rFonts w:ascii="等线 Light" w:hAnsi="等线 Light" w:eastAsia="等线 Light"/>
      <w:sz w:val="24"/>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index 8"/>
    <w:basedOn w:val="1"/>
    <w:next w:val="1"/>
    <w:unhideWhenUsed/>
    <w:qFormat/>
    <w:uiPriority w:val="99"/>
    <w:pPr>
      <w:ind w:left="2940"/>
    </w:pPr>
    <w:rPr>
      <w:rFonts w:ascii="Times New Roman" w:hAnsi="Times New Roman" w:eastAsia="宋体" w:cs="Times New Roman"/>
    </w:r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51"/>
    <w:qFormat/>
    <w:uiPriority w:val="0"/>
    <w:pPr>
      <w:jc w:val="left"/>
    </w:pPr>
  </w:style>
  <w:style w:type="paragraph" w:styleId="12">
    <w:name w:val="Body Text 3"/>
    <w:basedOn w:val="1"/>
    <w:link w:val="52"/>
    <w:autoRedefine/>
    <w:unhideWhenUsed/>
    <w:qFormat/>
    <w:uiPriority w:val="99"/>
    <w:pPr>
      <w:spacing w:after="120"/>
    </w:pPr>
    <w:rPr>
      <w:sz w:val="16"/>
      <w:szCs w:val="16"/>
    </w:rPr>
  </w:style>
  <w:style w:type="paragraph" w:styleId="13">
    <w:name w:val="Body Text"/>
    <w:basedOn w:val="1"/>
    <w:next w:val="1"/>
    <w:link w:val="45"/>
    <w:unhideWhenUsed/>
    <w:qFormat/>
    <w:uiPriority w:val="0"/>
    <w:pPr>
      <w:spacing w:after="120"/>
    </w:pPr>
  </w:style>
  <w:style w:type="paragraph" w:styleId="14">
    <w:name w:val="Body Text Indent"/>
    <w:basedOn w:val="1"/>
    <w:link w:val="53"/>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toc 3"/>
    <w:basedOn w:val="1"/>
    <w:next w:val="1"/>
    <w:autoRedefine/>
    <w:unhideWhenUsed/>
    <w:qFormat/>
    <w:uiPriority w:val="39"/>
    <w:pPr>
      <w:ind w:left="840" w:leftChars="400"/>
    </w:pPr>
  </w:style>
  <w:style w:type="paragraph" w:styleId="17">
    <w:name w:val="Plain Text"/>
    <w:basedOn w:val="1"/>
    <w:link w:val="54"/>
    <w:qFormat/>
    <w:uiPriority w:val="0"/>
    <w:rPr>
      <w:rFonts w:ascii="宋体" w:hAnsi="Courier New"/>
      <w:kern w:val="0"/>
      <w:sz w:val="20"/>
      <w:szCs w:val="21"/>
    </w:rPr>
  </w:style>
  <w:style w:type="paragraph" w:styleId="18">
    <w:name w:val="Date"/>
    <w:basedOn w:val="1"/>
    <w:next w:val="1"/>
    <w:link w:val="55"/>
    <w:unhideWhenUsed/>
    <w:qFormat/>
    <w:uiPriority w:val="99"/>
    <w:pPr>
      <w:ind w:left="100" w:leftChars="2500"/>
    </w:pPr>
  </w:style>
  <w:style w:type="paragraph" w:styleId="19">
    <w:name w:val="Balloon Text"/>
    <w:basedOn w:val="1"/>
    <w:autoRedefine/>
    <w:semiHidden/>
    <w:qFormat/>
    <w:uiPriority w:val="0"/>
    <w:rPr>
      <w:sz w:val="18"/>
      <w:szCs w:val="18"/>
    </w:rPr>
  </w:style>
  <w:style w:type="paragraph" w:styleId="20">
    <w:name w:val="footer"/>
    <w:basedOn w:val="1"/>
    <w:link w:val="56"/>
    <w:unhideWhenUsed/>
    <w:qFormat/>
    <w:uiPriority w:val="99"/>
    <w:pPr>
      <w:tabs>
        <w:tab w:val="center" w:pos="4153"/>
        <w:tab w:val="right" w:pos="8306"/>
      </w:tabs>
      <w:snapToGrid w:val="0"/>
      <w:jc w:val="left"/>
    </w:pPr>
    <w:rPr>
      <w:kern w:val="0"/>
      <w:sz w:val="18"/>
      <w:szCs w:val="18"/>
    </w:rPr>
  </w:style>
  <w:style w:type="paragraph" w:styleId="21">
    <w:name w:val="header"/>
    <w:basedOn w:val="1"/>
    <w:link w:val="5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nhideWhenUsed/>
    <w:qFormat/>
    <w:uiPriority w:val="39"/>
  </w:style>
  <w:style w:type="paragraph" w:styleId="23">
    <w:name w:val="List"/>
    <w:basedOn w:val="1"/>
    <w:unhideWhenUsed/>
    <w:qFormat/>
    <w:uiPriority w:val="99"/>
    <w:pPr>
      <w:ind w:left="200" w:hanging="200" w:hangingChars="200"/>
      <w:contextualSpacing/>
    </w:pPr>
  </w:style>
  <w:style w:type="paragraph" w:styleId="24">
    <w:name w:val="Body Text Indent 3"/>
    <w:qFormat/>
    <w:uiPriority w:val="0"/>
    <w:pPr>
      <w:widowControl w:val="0"/>
      <w:suppressAutoHyphens/>
      <w:spacing w:after="120"/>
      <w:ind w:left="420" w:leftChars="200"/>
      <w:jc w:val="both"/>
    </w:pPr>
    <w:rPr>
      <w:rFonts w:ascii="Times New Roman" w:hAnsi="Times New Roman" w:eastAsia="宋体" w:cs="Times New Roman"/>
      <w:kern w:val="2"/>
      <w:sz w:val="16"/>
      <w:szCs w:val="16"/>
      <w:lang w:val="en-US" w:eastAsia="zh-CN" w:bidi="ar-SA"/>
    </w:rPr>
  </w:style>
  <w:style w:type="paragraph" w:styleId="25">
    <w:name w:val="toc 2"/>
    <w:basedOn w:val="1"/>
    <w:next w:val="1"/>
    <w:unhideWhenUsed/>
    <w:qFormat/>
    <w:uiPriority w:val="39"/>
    <w:pPr>
      <w:tabs>
        <w:tab w:val="right" w:leader="dot" w:pos="8296"/>
      </w:tabs>
      <w:ind w:left="420" w:leftChars="200"/>
    </w:pPr>
  </w:style>
  <w:style w:type="paragraph" w:styleId="26">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7">
    <w:name w:val="annotation subject"/>
    <w:basedOn w:val="11"/>
    <w:next w:val="11"/>
    <w:link w:val="58"/>
    <w:qFormat/>
    <w:uiPriority w:val="99"/>
    <w:rPr>
      <w:b/>
      <w:bCs/>
    </w:r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endnote reference"/>
    <w:unhideWhenUsed/>
    <w:qFormat/>
    <w:uiPriority w:val="99"/>
    <w:rPr>
      <w:vertAlign w:val="superscript"/>
    </w:rPr>
  </w:style>
  <w:style w:type="character" w:styleId="32">
    <w:name w:val="page number"/>
    <w:qFormat/>
    <w:uiPriority w:val="0"/>
  </w:style>
  <w:style w:type="character" w:styleId="33">
    <w:name w:val="FollowedHyperlink"/>
    <w:unhideWhenUsed/>
    <w:qFormat/>
    <w:uiPriority w:val="99"/>
    <w:rPr>
      <w:color w:val="800080"/>
      <w:u w:val="none"/>
    </w:rPr>
  </w:style>
  <w:style w:type="character" w:styleId="34">
    <w:name w:val="HTML Definition"/>
    <w:unhideWhenUsed/>
    <w:qFormat/>
    <w:uiPriority w:val="99"/>
  </w:style>
  <w:style w:type="character" w:styleId="35">
    <w:name w:val="HTML Typewriter"/>
    <w:unhideWhenUsed/>
    <w:qFormat/>
    <w:uiPriority w:val="99"/>
    <w:rPr>
      <w:rFonts w:hint="default" w:ascii="monospace" w:hAnsi="monospace" w:eastAsia="monospace" w:cs="monospace"/>
      <w:sz w:val="20"/>
    </w:rPr>
  </w:style>
  <w:style w:type="character" w:styleId="36">
    <w:name w:val="HTML Acronym"/>
    <w:unhideWhenUsed/>
    <w:qFormat/>
    <w:uiPriority w:val="99"/>
  </w:style>
  <w:style w:type="character" w:styleId="37">
    <w:name w:val="HTML Variable"/>
    <w:unhideWhenUsed/>
    <w:qFormat/>
    <w:uiPriority w:val="99"/>
  </w:style>
  <w:style w:type="character" w:styleId="38">
    <w:name w:val="Hyperlink"/>
    <w:unhideWhenUsed/>
    <w:qFormat/>
    <w:uiPriority w:val="99"/>
    <w:rPr>
      <w:color w:val="0000FF"/>
      <w:u w:val="none"/>
    </w:rPr>
  </w:style>
  <w:style w:type="character" w:styleId="39">
    <w:name w:val="HTML Code"/>
    <w:unhideWhenUsed/>
    <w:qFormat/>
    <w:uiPriority w:val="99"/>
    <w:rPr>
      <w:rFonts w:hint="default" w:ascii="monospace" w:hAnsi="monospace" w:eastAsia="monospace" w:cs="monospace"/>
      <w:sz w:val="20"/>
    </w:rPr>
  </w:style>
  <w:style w:type="character" w:styleId="40">
    <w:name w:val="annotation reference"/>
    <w:qFormat/>
    <w:uiPriority w:val="99"/>
    <w:rPr>
      <w:sz w:val="21"/>
      <w:szCs w:val="21"/>
    </w:rPr>
  </w:style>
  <w:style w:type="character" w:styleId="41">
    <w:name w:val="HTML Cite"/>
    <w:unhideWhenUsed/>
    <w:qFormat/>
    <w:uiPriority w:val="99"/>
  </w:style>
  <w:style w:type="character" w:styleId="42">
    <w:name w:val="HTML Keyboard"/>
    <w:unhideWhenUsed/>
    <w:qFormat/>
    <w:uiPriority w:val="99"/>
    <w:rPr>
      <w:rFonts w:hint="default" w:ascii="monospace" w:hAnsi="monospace" w:eastAsia="monospace" w:cs="monospace"/>
      <w:sz w:val="20"/>
    </w:rPr>
  </w:style>
  <w:style w:type="character" w:styleId="43">
    <w:name w:val="HTML Sample"/>
    <w:unhideWhenUsed/>
    <w:qFormat/>
    <w:uiPriority w:val="99"/>
    <w:rPr>
      <w:rFonts w:ascii="monospace" w:hAnsi="monospace" w:eastAsia="monospace" w:cs="monospace"/>
    </w:rPr>
  </w:style>
  <w:style w:type="paragraph" w:customStyle="1" w:styleId="44">
    <w:name w:val="表格文字"/>
    <w:basedOn w:val="1"/>
    <w:next w:val="13"/>
    <w:qFormat/>
    <w:uiPriority w:val="0"/>
    <w:pPr>
      <w:adjustRightInd w:val="0"/>
      <w:spacing w:line="420" w:lineRule="atLeast"/>
      <w:jc w:val="left"/>
      <w:textAlignment w:val="baseline"/>
    </w:pPr>
    <w:rPr>
      <w:kern w:val="0"/>
    </w:rPr>
  </w:style>
  <w:style w:type="character" w:customStyle="1" w:styleId="45">
    <w:name w:val="正文文本 字符1"/>
    <w:link w:val="13"/>
    <w:qFormat/>
    <w:uiPriority w:val="0"/>
    <w:rPr>
      <w:rFonts w:ascii="Times New Roman" w:hAnsi="Times New Roman"/>
      <w:kern w:val="2"/>
      <w:sz w:val="21"/>
      <w:szCs w:val="24"/>
    </w:rPr>
  </w:style>
  <w:style w:type="character" w:customStyle="1" w:styleId="46">
    <w:name w:val="标题 1 字符"/>
    <w:link w:val="2"/>
    <w:qFormat/>
    <w:uiPriority w:val="9"/>
    <w:rPr>
      <w:b/>
      <w:bCs/>
      <w:kern w:val="44"/>
      <w:sz w:val="44"/>
      <w:szCs w:val="44"/>
    </w:rPr>
  </w:style>
  <w:style w:type="character" w:customStyle="1" w:styleId="47">
    <w:name w:val="标题 2 字符"/>
    <w:link w:val="3"/>
    <w:qFormat/>
    <w:uiPriority w:val="9"/>
    <w:rPr>
      <w:rFonts w:ascii="Cambria" w:hAnsi="Cambria" w:eastAsia="宋体" w:cs="Times New Roman"/>
      <w:b/>
      <w:bCs/>
      <w:kern w:val="2"/>
      <w:sz w:val="32"/>
      <w:szCs w:val="32"/>
    </w:rPr>
  </w:style>
  <w:style w:type="character" w:customStyle="1" w:styleId="48">
    <w:name w:val="标题 3 字符"/>
    <w:link w:val="4"/>
    <w:semiHidden/>
    <w:qFormat/>
    <w:uiPriority w:val="9"/>
    <w:rPr>
      <w:b/>
      <w:bCs/>
      <w:kern w:val="2"/>
      <w:sz w:val="32"/>
      <w:szCs w:val="32"/>
    </w:rPr>
  </w:style>
  <w:style w:type="character" w:customStyle="1" w:styleId="49">
    <w:name w:val="标题 5 字符"/>
    <w:link w:val="6"/>
    <w:qFormat/>
    <w:uiPriority w:val="9"/>
    <w:rPr>
      <w:rFonts w:ascii="Times New Roman" w:hAnsi="Times New Roman"/>
      <w:b/>
      <w:bCs/>
      <w:kern w:val="2"/>
      <w:sz w:val="28"/>
      <w:szCs w:val="28"/>
    </w:rPr>
  </w:style>
  <w:style w:type="character" w:customStyle="1" w:styleId="50">
    <w:name w:val="标题 8 字符"/>
    <w:link w:val="8"/>
    <w:semiHidden/>
    <w:qFormat/>
    <w:uiPriority w:val="9"/>
    <w:rPr>
      <w:rFonts w:ascii="等线 Light" w:hAnsi="等线 Light" w:eastAsia="等线 Light" w:cs="Times New Roman"/>
      <w:kern w:val="2"/>
      <w:sz w:val="24"/>
      <w:szCs w:val="24"/>
    </w:rPr>
  </w:style>
  <w:style w:type="character" w:customStyle="1" w:styleId="51">
    <w:name w:val="批注文字 字符2"/>
    <w:link w:val="11"/>
    <w:qFormat/>
    <w:uiPriority w:val="0"/>
    <w:rPr>
      <w:rFonts w:ascii="Times New Roman" w:hAnsi="Times New Roman"/>
      <w:kern w:val="2"/>
      <w:sz w:val="21"/>
      <w:szCs w:val="24"/>
    </w:rPr>
  </w:style>
  <w:style w:type="character" w:customStyle="1" w:styleId="52">
    <w:name w:val="正文文本 3 字符"/>
    <w:link w:val="12"/>
    <w:semiHidden/>
    <w:qFormat/>
    <w:uiPriority w:val="99"/>
    <w:rPr>
      <w:kern w:val="2"/>
      <w:sz w:val="16"/>
      <w:szCs w:val="16"/>
    </w:rPr>
  </w:style>
  <w:style w:type="character" w:customStyle="1" w:styleId="53">
    <w:name w:val="正文文本缩进 字符"/>
    <w:link w:val="14"/>
    <w:qFormat/>
    <w:uiPriority w:val="0"/>
    <w:rPr>
      <w:rFonts w:ascii="仿宋_GB2312" w:hAnsi="Times New Roman" w:eastAsia="仿宋_GB2312" w:cs="Times New Roman"/>
      <w:sz w:val="32"/>
      <w:szCs w:val="20"/>
    </w:rPr>
  </w:style>
  <w:style w:type="character" w:customStyle="1" w:styleId="54">
    <w:name w:val="纯文本 字符3"/>
    <w:link w:val="17"/>
    <w:qFormat/>
    <w:uiPriority w:val="0"/>
    <w:rPr>
      <w:rFonts w:ascii="宋体" w:hAnsi="Courier New" w:eastAsia="宋体" w:cs="Courier New"/>
      <w:szCs w:val="21"/>
    </w:rPr>
  </w:style>
  <w:style w:type="character" w:customStyle="1" w:styleId="55">
    <w:name w:val="日期 字符"/>
    <w:link w:val="18"/>
    <w:semiHidden/>
    <w:qFormat/>
    <w:uiPriority w:val="99"/>
    <w:rPr>
      <w:rFonts w:ascii="Times New Roman" w:hAnsi="Times New Roman"/>
      <w:kern w:val="2"/>
      <w:sz w:val="21"/>
      <w:szCs w:val="24"/>
    </w:rPr>
  </w:style>
  <w:style w:type="character" w:customStyle="1" w:styleId="56">
    <w:name w:val="页脚 字符"/>
    <w:link w:val="20"/>
    <w:qFormat/>
    <w:uiPriority w:val="99"/>
    <w:rPr>
      <w:sz w:val="18"/>
      <w:szCs w:val="18"/>
    </w:rPr>
  </w:style>
  <w:style w:type="character" w:customStyle="1" w:styleId="57">
    <w:name w:val="页眉 字符"/>
    <w:link w:val="21"/>
    <w:qFormat/>
    <w:uiPriority w:val="99"/>
    <w:rPr>
      <w:sz w:val="18"/>
      <w:szCs w:val="18"/>
    </w:rPr>
  </w:style>
  <w:style w:type="character" w:customStyle="1" w:styleId="58">
    <w:name w:val="批注主题 字符"/>
    <w:link w:val="27"/>
    <w:qFormat/>
    <w:uiPriority w:val="99"/>
    <w:rPr>
      <w:rFonts w:ascii="Times New Roman" w:hAnsi="Times New Roman"/>
      <w:b/>
      <w:bCs/>
      <w:kern w:val="2"/>
      <w:sz w:val="21"/>
      <w:szCs w:val="24"/>
    </w:rPr>
  </w:style>
  <w:style w:type="character" w:customStyle="1" w:styleId="59">
    <w:name w:val="纯文本 字符2"/>
    <w:qFormat/>
    <w:uiPriority w:val="0"/>
    <w:rPr>
      <w:rFonts w:ascii="宋体" w:hAnsi="Courier New" w:eastAsia="宋体" w:cs="Courier New"/>
      <w:szCs w:val="21"/>
    </w:rPr>
  </w:style>
  <w:style w:type="character" w:customStyle="1" w:styleId="60">
    <w:name w:val="apple-style-span"/>
    <w:qFormat/>
    <w:uiPriority w:val="0"/>
  </w:style>
  <w:style w:type="character" w:customStyle="1" w:styleId="61">
    <w:name w:val="标题 2 Char"/>
    <w:qFormat/>
    <w:uiPriority w:val="9"/>
    <w:rPr>
      <w:rFonts w:ascii="Cambria" w:hAnsi="Cambria" w:eastAsia="宋体" w:cs="Times New Roman"/>
      <w:b/>
      <w:bCs/>
      <w:kern w:val="2"/>
      <w:sz w:val="32"/>
      <w:szCs w:val="32"/>
    </w:rPr>
  </w:style>
  <w:style w:type="character" w:customStyle="1" w:styleId="62">
    <w:name w:val="纯文本 字符"/>
    <w:qFormat/>
    <w:uiPriority w:val="0"/>
    <w:rPr>
      <w:rFonts w:ascii="宋体" w:hAnsi="Courier New" w:eastAsia="宋体" w:cs="Courier New"/>
      <w:szCs w:val="21"/>
    </w:rPr>
  </w:style>
  <w:style w:type="character" w:customStyle="1" w:styleId="63">
    <w:name w:val="纯文本 字符1"/>
    <w:qFormat/>
    <w:uiPriority w:val="0"/>
    <w:rPr>
      <w:rFonts w:ascii="宋体" w:hAnsi="Courier New"/>
    </w:rPr>
  </w:style>
  <w:style w:type="character" w:customStyle="1" w:styleId="64">
    <w:name w:val="标题 8 Char"/>
    <w:qFormat/>
    <w:uiPriority w:val="0"/>
    <w:rPr>
      <w:rFonts w:ascii="Arial" w:hAnsi="Arial" w:eastAsia="黑体"/>
      <w:kern w:val="2"/>
      <w:sz w:val="24"/>
      <w:szCs w:val="24"/>
    </w:rPr>
  </w:style>
  <w:style w:type="character" w:customStyle="1" w:styleId="65">
    <w:name w:val="纯文本 Char"/>
    <w:qFormat/>
    <w:uiPriority w:val="0"/>
    <w:rPr>
      <w:rFonts w:ascii="宋体" w:hAnsi="Courier New" w:eastAsia="宋体" w:cs="Courier New"/>
      <w:szCs w:val="21"/>
    </w:rPr>
  </w:style>
  <w:style w:type="character" w:customStyle="1" w:styleId="66">
    <w:name w:val="正文文本 Char"/>
    <w:qFormat/>
    <w:uiPriority w:val="0"/>
    <w:rPr>
      <w:rFonts w:ascii="Times New Roman" w:hAnsi="Times New Roman"/>
      <w:kern w:val="2"/>
      <w:sz w:val="21"/>
      <w:szCs w:val="24"/>
    </w:rPr>
  </w:style>
  <w:style w:type="character" w:customStyle="1" w:styleId="67">
    <w:name w:val="批注文字 字符1"/>
    <w:qFormat/>
    <w:uiPriority w:val="0"/>
    <w:rPr>
      <w:rFonts w:ascii="Times New Roman" w:hAnsi="Times New Roman"/>
      <w:kern w:val="2"/>
      <w:sz w:val="21"/>
      <w:szCs w:val="24"/>
    </w:rPr>
  </w:style>
  <w:style w:type="character" w:customStyle="1" w:styleId="6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9">
    <w:name w:val="标题 1 字符1"/>
    <w:qFormat/>
    <w:uiPriority w:val="0"/>
    <w:rPr>
      <w:b/>
      <w:bCs/>
      <w:kern w:val="44"/>
      <w:sz w:val="44"/>
      <w:szCs w:val="44"/>
    </w:rPr>
  </w:style>
  <w:style w:type="character" w:customStyle="1" w:styleId="70">
    <w:name w:val="正文文本 字符"/>
    <w:qFormat/>
    <w:uiPriority w:val="0"/>
    <w:rPr>
      <w:rFonts w:ascii="Times New Roman" w:hAnsi="Times New Roman"/>
      <w:kern w:val="2"/>
      <w:sz w:val="21"/>
      <w:szCs w:val="24"/>
    </w:rPr>
  </w:style>
  <w:style w:type="character" w:customStyle="1" w:styleId="71">
    <w:name w:val="批注文字 字符"/>
    <w:qFormat/>
    <w:uiPriority w:val="0"/>
    <w:rPr>
      <w:rFonts w:ascii="Times New Roman" w:hAnsi="Times New Roman"/>
      <w:kern w:val="2"/>
      <w:sz w:val="21"/>
      <w:szCs w:val="24"/>
    </w:rPr>
  </w:style>
  <w:style w:type="character" w:customStyle="1" w:styleId="72">
    <w:name w:val="textcontents"/>
    <w:qFormat/>
    <w:uiPriority w:val="0"/>
  </w:style>
  <w:style w:type="character" w:customStyle="1" w:styleId="73">
    <w:name w:val="批注文字 Char"/>
    <w:qFormat/>
    <w:uiPriority w:val="0"/>
    <w:rPr>
      <w:rFonts w:ascii="Times New Roman" w:hAnsi="Times New Roman"/>
      <w:kern w:val="2"/>
      <w:sz w:val="21"/>
      <w:szCs w:val="24"/>
    </w:rPr>
  </w:style>
  <w:style w:type="paragraph" w:customStyle="1" w:styleId="7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5">
    <w:name w:val="List Paragraph"/>
    <w:basedOn w:val="1"/>
    <w:qFormat/>
    <w:uiPriority w:val="34"/>
    <w:pPr>
      <w:ind w:firstLine="420" w:firstLineChars="200"/>
    </w:pPr>
  </w:style>
  <w:style w:type="paragraph" w:customStyle="1" w:styleId="76">
    <w:name w:val="默认段落字体 Para Char Char Char Char Char Char Char Char Char1 Char Char Char Char"/>
    <w:basedOn w:val="1"/>
    <w:qFormat/>
    <w:uiPriority w:val="0"/>
    <w:rPr>
      <w:rFonts w:ascii="Tahoma" w:hAnsi="Tahoma"/>
      <w:sz w:val="24"/>
      <w:szCs w:val="20"/>
    </w:rPr>
  </w:style>
  <w:style w:type="paragraph" w:customStyle="1" w:styleId="77">
    <w:name w:val="Table Paragraph"/>
    <w:basedOn w:val="1"/>
    <w:qFormat/>
    <w:uiPriority w:val="1"/>
    <w:pPr>
      <w:jc w:val="left"/>
    </w:pPr>
    <w:rPr>
      <w:rFonts w:ascii="Calibri" w:hAnsi="Calibri"/>
      <w:kern w:val="0"/>
      <w:sz w:val="22"/>
      <w:szCs w:val="22"/>
      <w:lang w:eastAsia="en-US"/>
    </w:rPr>
  </w:style>
  <w:style w:type="paragraph" w:customStyle="1" w:styleId="78">
    <w:name w:val="Char Char Char Char"/>
    <w:basedOn w:val="1"/>
    <w:qFormat/>
    <w:uiPriority w:val="0"/>
    <w:pPr>
      <w:widowControl/>
      <w:spacing w:after="160" w:line="240" w:lineRule="exact"/>
      <w:jc w:val="left"/>
    </w:pPr>
  </w:style>
  <w:style w:type="character" w:customStyle="1" w:styleId="79">
    <w:name w:val="_Style 77"/>
    <w:unhideWhenUsed/>
    <w:qFormat/>
    <w:uiPriority w:val="99"/>
    <w:rPr>
      <w:color w:val="605E5C"/>
      <w:shd w:val="clear" w:color="auto" w:fill="E1DFDD"/>
    </w:rPr>
  </w:style>
  <w:style w:type="paragraph" w:customStyle="1" w:styleId="80">
    <w:name w:val="_Style 78"/>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character" w:customStyle="1" w:styleId="81">
    <w:name w:val="正文2 Char Char"/>
    <w:link w:val="82"/>
    <w:qFormat/>
    <w:uiPriority w:val="0"/>
    <w:rPr>
      <w:sz w:val="24"/>
    </w:rPr>
  </w:style>
  <w:style w:type="paragraph" w:customStyle="1" w:styleId="82">
    <w:name w:val="正文2"/>
    <w:basedOn w:val="1"/>
    <w:link w:val="81"/>
    <w:qFormat/>
    <w:uiPriority w:val="0"/>
    <w:pPr>
      <w:adjustRightInd w:val="0"/>
      <w:spacing w:before="156" w:line="360" w:lineRule="auto"/>
      <w:ind w:firstLine="510" w:firstLineChars="200"/>
    </w:pPr>
    <w:rPr>
      <w:kern w:val="0"/>
      <w:sz w:val="24"/>
      <w:szCs w:val="20"/>
    </w:rPr>
  </w:style>
  <w:style w:type="paragraph" w:customStyle="1" w:styleId="8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4">
    <w:name w:val="正文缩进1"/>
    <w:basedOn w:val="1"/>
    <w:next w:val="14"/>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85">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86">
    <w:name w:val="Heading2"/>
    <w:basedOn w:val="1"/>
    <w:next w:val="1"/>
    <w:qFormat/>
    <w:uiPriority w:val="0"/>
    <w:pPr>
      <w:keepNext/>
      <w:keepLines/>
      <w:spacing w:before="260" w:after="260" w:line="416" w:lineRule="auto"/>
      <w:jc w:val="both"/>
      <w:textAlignment w:val="baseline"/>
    </w:pPr>
    <w:rPr>
      <w:rFonts w:ascii="Cambria" w:hAnsi="Cambria" w:cs="Times New Roman"/>
      <w:b/>
      <w:bCs/>
      <w:kern w:val="2"/>
      <w:sz w:val="32"/>
      <w:szCs w:val="32"/>
      <w:lang w:val="en-US" w:eastAsia="zh-CN" w:bidi="ar-SA"/>
    </w:rPr>
  </w:style>
  <w:style w:type="character" w:customStyle="1" w:styleId="87">
    <w:name w:val="NormalCharacter"/>
    <w:qFormat/>
    <w:uiPriority w:val="0"/>
    <w:rPr>
      <w:kern w:val="2"/>
      <w:sz w:val="21"/>
      <w:szCs w:val="24"/>
      <w:lang w:val="en-US" w:eastAsia="zh-CN" w:bidi="ar-SA"/>
    </w:rPr>
  </w:style>
  <w:style w:type="paragraph" w:customStyle="1" w:styleId="88">
    <w:name w:val="UserStyle_35"/>
    <w:basedOn w:val="1"/>
    <w:qFormat/>
    <w:uiPriority w:val="0"/>
    <w:pPr>
      <w:spacing w:before="156" w:line="360" w:lineRule="auto"/>
      <w:ind w:firstLine="510" w:firstLineChars="200"/>
      <w:jc w:val="both"/>
      <w:textAlignment w:val="baseline"/>
    </w:pPr>
    <w:rPr>
      <w:kern w:val="0"/>
      <w:sz w:val="24"/>
      <w:szCs w:val="20"/>
      <w:lang w:val="en-US" w:eastAsia="zh-CN" w:bidi="ar-SA"/>
    </w:rPr>
  </w:style>
  <w:style w:type="paragraph" w:customStyle="1" w:styleId="89">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90">
    <w:name w:val="正文_5"/>
    <w:next w:val="9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91">
    <w:name w:val="正文文本缩进 2_1"/>
    <w:basedOn w:val="90"/>
    <w:unhideWhenUsed/>
    <w:qFormat/>
    <w:uiPriority w:val="99"/>
    <w:pPr>
      <w:spacing w:after="120" w:line="480" w:lineRule="auto"/>
      <w:ind w:left="420" w:leftChars="200"/>
    </w:pPr>
  </w:style>
  <w:style w:type="paragraph" w:customStyle="1" w:styleId="92">
    <w:name w:val="WPSOffice手动目录 1"/>
    <w:qFormat/>
    <w:uiPriority w:val="0"/>
    <w:rPr>
      <w:rFonts w:ascii="Calibri" w:hAnsi="Calibri" w:eastAsia="宋体" w:cs="Times New Roman"/>
      <w:lang w:val="en-US" w:eastAsia="zh-CN" w:bidi="ar-SA"/>
    </w:rPr>
  </w:style>
  <w:style w:type="paragraph" w:customStyle="1" w:styleId="9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5">
    <w:name w:val="first-child"/>
    <w:qFormat/>
    <w:uiPriority w:val="0"/>
  </w:style>
  <w:style w:type="character" w:customStyle="1" w:styleId="96">
    <w:name w:val="layui-layer-tabnow"/>
    <w:qFormat/>
    <w:uiPriority w:val="0"/>
    <w:rPr>
      <w:bdr w:val="single" w:color="CCCCCC" w:sz="4" w:space="0"/>
      <w:shd w:val="clear" w:color="auto" w:fill="FFFFFF"/>
    </w:rPr>
  </w:style>
  <w:style w:type="paragraph" w:customStyle="1" w:styleId="97">
    <w:name w:val="正文文本 (2)4"/>
    <w:basedOn w:val="1"/>
    <w:qFormat/>
    <w:uiPriority w:val="0"/>
    <w:pPr>
      <w:shd w:val="clear" w:color="auto" w:fill="FFFFFF"/>
      <w:spacing w:before="300" w:line="439" w:lineRule="exact"/>
      <w:jc w:val="distribute"/>
    </w:pPr>
    <w:rPr>
      <w:rFonts w:ascii="MingLiU" w:hAnsi="MingLiU" w:eastAsia="MingLiU"/>
      <w:spacing w:val="20"/>
    </w:rPr>
  </w:style>
  <w:style w:type="character" w:customStyle="1" w:styleId="98">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99">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paragraph" w:customStyle="1" w:styleId="100">
    <w:name w:val="正文_4_0"/>
    <w:basedOn w:val="101"/>
    <w:qFormat/>
    <w:uiPriority w:val="0"/>
  </w:style>
  <w:style w:type="paragraph" w:customStyle="1" w:styleId="101">
    <w:name w:val="正文_5_0"/>
    <w:basedOn w:val="90"/>
    <w:qFormat/>
    <w:uiPriority w:val="0"/>
  </w:style>
  <w:style w:type="paragraph" w:customStyle="1" w:styleId="102">
    <w:name w:val="标题 4_0"/>
    <w:basedOn w:val="90"/>
    <w:next w:val="90"/>
    <w:qFormat/>
    <w:uiPriority w:val="99"/>
    <w:pPr>
      <w:spacing w:before="30" w:after="100" w:afterAutospacing="1"/>
      <w:ind w:left="359" w:right="347"/>
      <w:jc w:val="center"/>
      <w:outlineLvl w:val="3"/>
    </w:pPr>
    <w:rPr>
      <w:b/>
      <w:bCs/>
      <w:sz w:val="38"/>
      <w:szCs w:val="38"/>
    </w:rPr>
  </w:style>
  <w:style w:type="paragraph" w:customStyle="1" w:styleId="103">
    <w:name w:val="Normal_18"/>
    <w:qFormat/>
    <w:uiPriority w:val="0"/>
    <w:rPr>
      <w:rFonts w:ascii="Times New Roman" w:hAnsi="Times New Roman" w:eastAsia="Times New Roman" w:cs="Times New Roman"/>
      <w:sz w:val="24"/>
      <w:szCs w:val="24"/>
      <w:lang w:val="en-US" w:eastAsia="zh-CN" w:bidi="ar-SA"/>
    </w:rPr>
  </w:style>
  <w:style w:type="paragraph" w:customStyle="1" w:styleId="104">
    <w:name w:val="标题 #7 (4)"/>
    <w:basedOn w:val="1"/>
    <w:qFormat/>
    <w:uiPriority w:val="0"/>
    <w:pPr>
      <w:shd w:val="clear" w:color="auto" w:fill="FFFFFF"/>
      <w:autoSpaceDE/>
      <w:autoSpaceDN/>
      <w:adjustRightInd/>
      <w:spacing w:after="1020" w:line="240" w:lineRule="atLeast"/>
      <w:outlineLvl w:val="6"/>
    </w:pPr>
    <w:rPr>
      <w:rFonts w:hint="default" w:ascii="MingLiU" w:hAnsi="MingLiU" w:eastAsia="MingLiU"/>
      <w:sz w:val="26"/>
      <w:szCs w:val="26"/>
    </w:rPr>
  </w:style>
  <w:style w:type="character" w:customStyle="1" w:styleId="105">
    <w:name w:val="标题 #7 (4) + 间距 7 pt"/>
    <w:qFormat/>
    <w:uiPriority w:val="0"/>
    <w:rPr>
      <w:rFonts w:ascii="MingLiU" w:hAnsi="MingLiU" w:eastAsia="MingLiU"/>
      <w:color w:val="000000"/>
      <w:spacing w:val="140"/>
      <w:w w:val="100"/>
      <w:position w:val="0"/>
      <w:sz w:val="26"/>
      <w:szCs w:val="26"/>
      <w:lang w:val="zh-CN" w:eastAsia="zh-CN" w:bidi="ar-SA"/>
    </w:rPr>
  </w:style>
  <w:style w:type="character" w:customStyle="1" w:styleId="106">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107">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108">
    <w:name w:val="正文文本 (2) + 间距 2 pt1"/>
    <w:qFormat/>
    <w:uiPriority w:val="0"/>
    <w:rPr>
      <w:rFonts w:ascii="MingLiU" w:hAnsi="MingLiU" w:eastAsia="MingLiU" w:cs="MingLiU"/>
      <w:color w:val="000000"/>
      <w:spacing w:val="50"/>
      <w:w w:val="100"/>
      <w:position w:val="0"/>
      <w:sz w:val="22"/>
      <w:szCs w:val="22"/>
      <w:u w:val="none"/>
      <w:shd w:val="clear" w:color="auto" w:fill="FFFFFF"/>
      <w:lang w:val="zh-CN" w:eastAsia="zh-CN"/>
    </w:rPr>
  </w:style>
  <w:style w:type="character" w:customStyle="1" w:styleId="109">
    <w:name w:val="正文文本 (2) + 间距 7 pt"/>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paragraph" w:customStyle="1" w:styleId="110">
    <w:name w:val="标题 #8"/>
    <w:basedOn w:val="1"/>
    <w:qFormat/>
    <w:uiPriority w:val="0"/>
    <w:pPr>
      <w:shd w:val="clear" w:color="auto" w:fill="FFFFFF"/>
      <w:autoSpaceDE/>
      <w:autoSpaceDN/>
      <w:adjustRightInd/>
      <w:spacing w:before="120" w:after="420" w:line="0" w:lineRule="atLeast"/>
      <w:outlineLvl w:val="7"/>
    </w:pPr>
    <w:rPr>
      <w:rFonts w:hint="default" w:ascii="MingLiU" w:hAnsi="MingLiU" w:eastAsia="MingLiU"/>
      <w:b/>
      <w:bCs/>
      <w:spacing w:val="10"/>
      <w:sz w:val="22"/>
      <w:szCs w:val="22"/>
      <w:shd w:val="clear" w:color="auto" w:fill="FFFFFF"/>
    </w:rPr>
  </w:style>
  <w:style w:type="character" w:customStyle="1" w:styleId="111">
    <w:name w:val="标题 #8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12">
    <w:name w:val="正文文本 (19) + 间距 0 pt"/>
    <w:qFormat/>
    <w:uiPriority w:val="0"/>
    <w:rPr>
      <w:rFonts w:ascii="MingLiU" w:hAnsi="MingLiU" w:eastAsia="MingLiU" w:cs="MingLiU"/>
      <w:b/>
      <w:bCs/>
      <w:color w:val="000000"/>
      <w:spacing w:val="0"/>
      <w:w w:val="100"/>
      <w:position w:val="0"/>
      <w:sz w:val="22"/>
      <w:szCs w:val="22"/>
      <w:u w:val="none"/>
      <w:lang w:val="zh-CN" w:eastAsia="zh-CN" w:bidi="zh-CN"/>
    </w:rPr>
  </w:style>
  <w:style w:type="paragraph" w:customStyle="1" w:styleId="113">
    <w:name w:val="正文文本 (19)"/>
    <w:basedOn w:val="1"/>
    <w:qFormat/>
    <w:uiPriority w:val="0"/>
    <w:pPr>
      <w:shd w:val="clear" w:color="auto" w:fill="FFFFFF"/>
      <w:autoSpaceDE/>
      <w:autoSpaceDN/>
      <w:adjustRightInd/>
      <w:spacing w:line="559" w:lineRule="exact"/>
    </w:pPr>
    <w:rPr>
      <w:rFonts w:hint="default" w:ascii="MingLiU" w:hAnsi="MingLiU" w:eastAsia="MingLiU"/>
      <w:b/>
      <w:bCs/>
      <w:spacing w:val="10"/>
      <w:sz w:val="22"/>
      <w:szCs w:val="22"/>
      <w:shd w:val="clear" w:color="auto" w:fill="FFFFFF"/>
    </w:rPr>
  </w:style>
  <w:style w:type="character" w:customStyle="1" w:styleId="114">
    <w:name w:val="标题 #7 + 间距 0 pt1"/>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paragraph" w:customStyle="1" w:styleId="115">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广西翔正项目管理有限公司</Company>
  <Pages>107</Pages>
  <Words>62564</Words>
  <Characters>66341</Characters>
  <Lines>485</Lines>
  <Paragraphs>136</Paragraphs>
  <TotalTime>61</TotalTime>
  <ScaleCrop>false</ScaleCrop>
  <LinksUpToDate>false</LinksUpToDate>
  <CharactersWithSpaces>73625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2021-08-17T12:20:00Z</dcterms:created>
  <dc:creator>苏晓英</dc:creator>
  <cp:lastModifiedBy>0221</cp:lastModifiedBy>
  <cp:lastPrinted>2021-08-26T10:26:00Z</cp:lastPrinted>
  <dcterms:modified xsi:type="dcterms:W3CDTF">2026-06-16T02:50:30Z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65059CFAFDD14BC9A1631F6F3C88AAF9_13</vt:lpwstr>
  </property>
  <property fmtid="{D5CDD505-2E9C-101B-9397-08002B2CF9AE}" pid="4" name="KSOTemplateDocerSaveRecord">
    <vt:lpwstr>eyJoZGlkIjoiMGY1OGRkMmU1MWMwNDM4MDdiMzk1ZjcxZGViMTk4NGYiLCJ1c2VySWQiOiIyNDI3NzE1OTIifQ==</vt:lpwstr>
  </property>
</Properties>
</file>