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9AFE">
      <w:pPr>
        <w:spacing w:before="165" w:beforeLines="50" w:line="360" w:lineRule="auto"/>
        <w:jc w:val="center"/>
        <w:rPr>
          <w:rFonts w:hint="eastAsia" w:ascii="仿宋" w:hAnsi="仿宋" w:eastAsia="仿宋" w:cs="仿宋"/>
          <w:b/>
          <w:bCs/>
          <w:color w:val="auto"/>
          <w:sz w:val="36"/>
          <w:szCs w:val="36"/>
          <w:highlight w:val="none"/>
        </w:rPr>
      </w:pPr>
    </w:p>
    <w:p w14:paraId="190AE4F3">
      <w:pPr>
        <w:spacing w:before="165" w:beforeLines="50" w:line="360" w:lineRule="auto"/>
        <w:jc w:val="center"/>
        <w:rPr>
          <w:rFonts w:hint="eastAsia" w:ascii="仿宋" w:hAnsi="仿宋" w:eastAsia="仿宋" w:cs="仿宋"/>
          <w:b/>
          <w:bCs/>
          <w:color w:val="auto"/>
          <w:sz w:val="36"/>
          <w:szCs w:val="36"/>
          <w:highlight w:val="none"/>
        </w:rPr>
      </w:pPr>
    </w:p>
    <w:p w14:paraId="23242BE6">
      <w:pPr>
        <w:snapToGrid w:val="0"/>
        <w:spacing w:before="165" w:beforeLines="50" w:line="360" w:lineRule="auto"/>
        <w:jc w:val="center"/>
        <w:rPr>
          <w:rFonts w:hint="eastAsia"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rPr>
        <w:t>竞争性磋商文件</w:t>
      </w:r>
    </w:p>
    <w:p w14:paraId="0C700FD3">
      <w:pPr>
        <w:snapToGrid w:val="0"/>
        <w:spacing w:before="165" w:beforeLines="50" w:line="360" w:lineRule="auto"/>
        <w:jc w:val="center"/>
        <w:rPr>
          <w:rFonts w:hint="eastAsia" w:ascii="仿宋" w:hAnsi="仿宋" w:eastAsia="仿宋" w:cs="仿宋"/>
          <w:b/>
          <w:bCs/>
          <w:color w:val="auto"/>
          <w:sz w:val="40"/>
          <w:szCs w:val="40"/>
          <w:highlight w:val="none"/>
        </w:rPr>
      </w:pPr>
      <w:r>
        <w:rPr>
          <w:rFonts w:hint="eastAsia" w:ascii="仿宋" w:hAnsi="仿宋" w:eastAsia="仿宋" w:cs="仿宋"/>
          <w:b/>
          <w:bCs/>
          <w:color w:val="auto"/>
          <w:sz w:val="56"/>
          <w:szCs w:val="56"/>
          <w:highlight w:val="none"/>
        </w:rPr>
        <w:t>（工程类）</w:t>
      </w:r>
    </w:p>
    <w:p w14:paraId="11101D90">
      <w:pPr>
        <w:spacing w:before="331" w:beforeLines="100" w:after="165" w:afterLines="50" w:line="360" w:lineRule="auto"/>
        <w:jc w:val="center"/>
        <w:rPr>
          <w:rFonts w:hint="eastAsia" w:ascii="仿宋" w:hAnsi="仿宋" w:eastAsia="仿宋" w:cs="仿宋"/>
          <w:b/>
          <w:bCs/>
          <w:color w:val="auto"/>
          <w:highlight w:val="none"/>
        </w:rPr>
      </w:pPr>
      <w:r>
        <w:rPr>
          <w:rFonts w:hint="eastAsia" w:ascii="仿宋" w:hAnsi="仿宋" w:eastAsia="仿宋" w:cs="仿宋"/>
          <w:b/>
          <w:bCs/>
          <w:color w:val="auto"/>
          <w:sz w:val="24"/>
          <w:highlight w:val="none"/>
        </w:rPr>
        <w:t>（全流程电子化评标）</w:t>
      </w:r>
    </w:p>
    <w:p w14:paraId="2614BC27">
      <w:pPr>
        <w:pStyle w:val="17"/>
        <w:snapToGrid w:val="0"/>
        <w:spacing w:line="740" w:lineRule="exact"/>
        <w:rPr>
          <w:rFonts w:hint="eastAsia" w:ascii="仿宋" w:hAnsi="仿宋" w:eastAsia="仿宋" w:cs="仿宋"/>
          <w:b/>
          <w:bCs/>
          <w:color w:val="auto"/>
          <w:sz w:val="30"/>
          <w:szCs w:val="30"/>
          <w:highlight w:val="none"/>
        </w:rPr>
      </w:pPr>
    </w:p>
    <w:p w14:paraId="34B95C92">
      <w:pPr>
        <w:pStyle w:val="17"/>
        <w:snapToGrid w:val="0"/>
        <w:spacing w:line="740" w:lineRule="exact"/>
        <w:ind w:right="-309" w:rightChars="-147" w:firstLine="842" w:firstLineChars="262"/>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项目</w:t>
      </w:r>
      <w:r>
        <w:rPr>
          <w:rFonts w:hint="eastAsia" w:ascii="仿宋" w:hAnsi="仿宋" w:eastAsia="仿宋" w:cs="仿宋"/>
          <w:b/>
          <w:bCs/>
          <w:color w:val="auto"/>
          <w:w w:val="95"/>
          <w:sz w:val="32"/>
          <w:szCs w:val="32"/>
          <w:highlight w:val="none"/>
        </w:rPr>
        <w:t>名称</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周鹿镇双联村龙勉、龙赖屯至龙卜屯硬化路及安防工程</w:t>
      </w:r>
    </w:p>
    <w:p w14:paraId="4B9E5D59">
      <w:pPr>
        <w:pStyle w:val="17"/>
        <w:snapToGrid w:val="0"/>
        <w:spacing w:line="740" w:lineRule="exact"/>
        <w:ind w:firstLine="842" w:firstLineChars="262"/>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项目编号：NNZC2026-C2-240105-GXTS</w:t>
      </w:r>
    </w:p>
    <w:p w14:paraId="5608C60C">
      <w:pPr>
        <w:pStyle w:val="17"/>
        <w:snapToGrid w:val="0"/>
        <w:spacing w:line="740" w:lineRule="exact"/>
        <w:ind w:firstLine="842" w:firstLineChars="262"/>
        <w:rPr>
          <w:rFonts w:hint="eastAsia" w:ascii="仿宋" w:hAnsi="仿宋" w:eastAsia="仿宋" w:cs="仿宋"/>
          <w:b/>
          <w:bCs/>
          <w:color w:val="auto"/>
          <w:sz w:val="32"/>
          <w:szCs w:val="32"/>
          <w:highlight w:val="none"/>
          <w:u w:val="single"/>
          <w:lang w:eastAsia="zh-CN"/>
        </w:rPr>
      </w:pPr>
      <w:r>
        <w:rPr>
          <w:rFonts w:hint="eastAsia" w:ascii="仿宋" w:hAnsi="仿宋" w:eastAsia="仿宋" w:cs="仿宋"/>
          <w:b/>
          <w:bCs/>
          <w:color w:val="auto"/>
          <w:sz w:val="32"/>
          <w:szCs w:val="32"/>
          <w:highlight w:val="none"/>
        </w:rPr>
        <w:t>项目所属区划：</w:t>
      </w:r>
      <w:r>
        <w:rPr>
          <w:rFonts w:hint="eastAsia" w:ascii="仿宋" w:hAnsi="仿宋" w:eastAsia="仿宋" w:cs="仿宋"/>
          <w:b/>
          <w:bCs/>
          <w:color w:val="auto"/>
          <w:sz w:val="32"/>
          <w:szCs w:val="32"/>
          <w:highlight w:val="none"/>
          <w:lang w:eastAsia="zh-CN"/>
        </w:rPr>
        <w:t>南宁市马山县</w:t>
      </w:r>
    </w:p>
    <w:p w14:paraId="7511842A">
      <w:pPr>
        <w:pStyle w:val="17"/>
        <w:snapToGrid w:val="0"/>
        <w:spacing w:line="740" w:lineRule="exact"/>
        <w:ind w:firstLine="842" w:firstLineChars="262"/>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采 购 人：</w:t>
      </w:r>
      <w:r>
        <w:rPr>
          <w:rFonts w:hint="eastAsia" w:ascii="仿宋" w:hAnsi="仿宋" w:eastAsia="仿宋" w:cs="仿宋"/>
          <w:b/>
          <w:bCs/>
          <w:color w:val="auto"/>
          <w:sz w:val="32"/>
          <w:szCs w:val="32"/>
          <w:highlight w:val="none"/>
          <w:lang w:eastAsia="zh-CN"/>
        </w:rPr>
        <w:t>马山县周鹿镇人民政府</w:t>
      </w:r>
    </w:p>
    <w:p w14:paraId="25C18A77">
      <w:pPr>
        <w:pStyle w:val="17"/>
        <w:snapToGrid w:val="0"/>
        <w:spacing w:line="740" w:lineRule="exact"/>
        <w:ind w:firstLine="842" w:firstLineChars="262"/>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采购代理机构：广西同盛工程咨询有限公司</w:t>
      </w:r>
    </w:p>
    <w:p w14:paraId="375572C5">
      <w:pPr>
        <w:pStyle w:val="17"/>
        <w:snapToGrid w:val="0"/>
        <w:spacing w:before="50" w:after="120" w:line="360" w:lineRule="auto"/>
        <w:ind w:firstLine="841" w:firstLineChars="294"/>
        <w:rPr>
          <w:rFonts w:hint="eastAsia" w:ascii="仿宋" w:hAnsi="仿宋" w:eastAsia="仿宋" w:cs="仿宋"/>
          <w:b/>
          <w:bCs/>
          <w:color w:val="auto"/>
          <w:w w:val="95"/>
          <w:sz w:val="30"/>
          <w:szCs w:val="30"/>
          <w:highlight w:val="none"/>
        </w:rPr>
      </w:pPr>
      <w:r>
        <w:rPr>
          <w:rFonts w:hint="eastAsia" w:ascii="仿宋" w:hAnsi="仿宋" w:eastAsia="仿宋" w:cs="仿宋"/>
          <w:b/>
          <w:bCs/>
          <w:color w:val="auto"/>
          <w:w w:val="95"/>
          <w:sz w:val="30"/>
          <w:szCs w:val="30"/>
          <w:highlight w:val="none"/>
        </w:rPr>
        <w:t xml:space="preserve">                 </w:t>
      </w:r>
    </w:p>
    <w:p w14:paraId="0B5C90D4">
      <w:pPr>
        <w:pStyle w:val="17"/>
        <w:snapToGrid w:val="0"/>
        <w:spacing w:before="50" w:after="120" w:line="360" w:lineRule="auto"/>
        <w:jc w:val="center"/>
        <w:rPr>
          <w:rFonts w:hint="eastAsia" w:ascii="仿宋" w:hAnsi="仿宋" w:eastAsia="仿宋" w:cs="仿宋"/>
          <w:b/>
          <w:bCs/>
          <w:color w:val="auto"/>
          <w:sz w:val="32"/>
          <w:szCs w:val="32"/>
          <w:highlight w:val="none"/>
          <w:lang w:eastAsia="zh-CN"/>
        </w:rPr>
        <w:sectPr>
          <w:headerReference r:id="rId3" w:type="default"/>
          <w:footerReference r:id="rId4" w:type="default"/>
          <w:footerReference r:id="rId5" w:type="even"/>
          <w:pgSz w:w="11905" w:h="16838"/>
          <w:pgMar w:top="1440" w:right="1080" w:bottom="1440" w:left="1080" w:header="720" w:footer="720" w:gutter="0"/>
          <w:pgNumType w:start="1"/>
          <w:cols w:space="720" w:num="1"/>
          <w:docGrid w:type="lines" w:linePitch="331" w:charSpace="0"/>
        </w:sectPr>
      </w:pPr>
      <w:r>
        <w:rPr>
          <w:rFonts w:hint="eastAsia" w:ascii="仿宋" w:hAnsi="仿宋" w:eastAsia="仿宋" w:cs="仿宋"/>
          <w:b/>
          <w:bCs/>
          <w:color w:val="auto"/>
          <w:sz w:val="32"/>
          <w:szCs w:val="32"/>
          <w:highlight w:val="none"/>
          <w:lang w:eastAsia="zh-CN"/>
        </w:rPr>
        <w:t>2026年0</w:t>
      </w:r>
      <w:r>
        <w:rPr>
          <w:rFonts w:hint="eastAsia" w:ascii="仿宋" w:hAnsi="仿宋" w:eastAsia="仿宋" w:cs="仿宋"/>
          <w:b/>
          <w:bCs/>
          <w:color w:val="auto"/>
          <w:sz w:val="32"/>
          <w:szCs w:val="32"/>
          <w:highlight w:val="none"/>
          <w:lang w:val="en-US" w:eastAsia="zh-CN"/>
        </w:rPr>
        <w:t>8</w:t>
      </w:r>
      <w:r>
        <w:rPr>
          <w:rFonts w:hint="eastAsia" w:ascii="仿宋" w:hAnsi="仿宋" w:eastAsia="仿宋" w:cs="仿宋"/>
          <w:b/>
          <w:bCs/>
          <w:color w:val="auto"/>
          <w:sz w:val="32"/>
          <w:szCs w:val="32"/>
          <w:highlight w:val="none"/>
          <w:lang w:eastAsia="zh-CN"/>
        </w:rPr>
        <w:t>月</w:t>
      </w:r>
      <w:r>
        <w:rPr>
          <w:rFonts w:hint="eastAsia" w:ascii="仿宋" w:hAnsi="仿宋" w:eastAsia="仿宋" w:cs="仿宋"/>
          <w:b/>
          <w:bCs/>
          <w:color w:val="auto"/>
          <w:sz w:val="32"/>
          <w:szCs w:val="32"/>
          <w:highlight w:val="none"/>
          <w:lang w:val="en-US" w:eastAsia="zh-CN"/>
        </w:rPr>
        <w:t>04</w:t>
      </w:r>
      <w:r>
        <w:rPr>
          <w:rFonts w:hint="eastAsia" w:ascii="仿宋" w:hAnsi="仿宋" w:eastAsia="仿宋" w:cs="仿宋"/>
          <w:b/>
          <w:bCs/>
          <w:color w:val="auto"/>
          <w:sz w:val="32"/>
          <w:szCs w:val="32"/>
          <w:highlight w:val="none"/>
          <w:lang w:eastAsia="zh-CN"/>
        </w:rPr>
        <w:t>日</w:t>
      </w:r>
    </w:p>
    <w:p w14:paraId="481FC93B">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目录</w:t>
      </w:r>
    </w:p>
    <w:p w14:paraId="059E5BE3">
      <w:pPr>
        <w:pStyle w:val="22"/>
        <w:tabs>
          <w:tab w:val="right" w:leader="dot" w:pos="9745"/>
        </w:tabs>
        <w:spacing w:line="288" w:lineRule="auto"/>
        <w:rPr>
          <w:rFonts w:hint="eastAsia" w:ascii="仿宋" w:hAnsi="仿宋" w:eastAsia="仿宋" w:cs="仿宋"/>
          <w:b/>
          <w:bCs/>
          <w:color w:val="auto"/>
          <w:sz w:val="22"/>
          <w:szCs w:val="22"/>
          <w:highlight w:val="none"/>
        </w:rPr>
      </w:pP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TOC \o "1-6" \h \u </w:instrText>
      </w:r>
      <w:r>
        <w:rPr>
          <w:rFonts w:hint="eastAsia" w:ascii="仿宋" w:hAnsi="仿宋" w:eastAsia="仿宋" w:cs="仿宋"/>
          <w:color w:val="auto"/>
          <w:szCs w:val="21"/>
          <w:highlight w:val="none"/>
        </w:rPr>
        <w:fldChar w:fldCharType="separate"/>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_Toc15868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第一章 竞争性磋商公告</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_Toc15868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1</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50304C2D">
      <w:pPr>
        <w:pStyle w:val="22"/>
        <w:tabs>
          <w:tab w:val="right" w:leader="dot" w:pos="9745"/>
        </w:tabs>
        <w:spacing w:line="288" w:lineRule="auto"/>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_Toc18672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第二章 采购需求</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_Toc18672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5</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7C113262">
      <w:pPr>
        <w:pStyle w:val="22"/>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_Toc4524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第三章 供应商须知</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_Toc4524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13</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16CDD044">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_Toc3167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第一节 供应商须知前附表</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_Toc3167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13</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2C6BE868">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_Toc10372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第二节 供应商须知正文</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_Toc10372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19</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6105A089">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_Toc20107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一、总则</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_Toc20107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19</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181C154E">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_Toc20357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二、磋商文件</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_Toc20357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22</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3192DCF0">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_Toc3099 </w:instrText>
      </w:r>
      <w:r>
        <w:rPr>
          <w:rFonts w:hint="eastAsia" w:ascii="仿宋" w:hAnsi="仿宋" w:eastAsia="仿宋" w:cs="仿宋"/>
          <w:color w:val="auto"/>
          <w:sz w:val="22"/>
          <w:szCs w:val="22"/>
          <w:highlight w:val="none"/>
        </w:rPr>
        <w:fldChar w:fldCharType="separate"/>
      </w:r>
      <w:r>
        <w:rPr>
          <w:rFonts w:hint="eastAsia" w:ascii="仿宋" w:hAnsi="仿宋" w:eastAsia="仿宋" w:cs="仿宋"/>
          <w:bCs/>
          <w:color w:val="auto"/>
          <w:sz w:val="22"/>
          <w:szCs w:val="22"/>
          <w:highlight w:val="none"/>
        </w:rPr>
        <w:t>三、响应文件的编制</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_Toc3099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23</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13F6AF68">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_Toc3515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四、评审及磋商</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_Toc3515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25</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6E0E93A0">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_Toc16614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五、成交及合同</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_Toc16614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27</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2B1E9AFF">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_Toc9397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六、验收</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_Toc9397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30</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077464D">
      <w:pPr>
        <w:pStyle w:val="16"/>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_Toc20742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七、其他事项</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_Toc20742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31</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5E709CCA">
      <w:pPr>
        <w:pStyle w:val="22"/>
        <w:tabs>
          <w:tab w:val="right" w:leader="dot" w:pos="9745"/>
        </w:tabs>
        <w:spacing w:line="288" w:lineRule="auto"/>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_Toc5573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第四章 评审程序、评审方法和评审标准</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_Toc5573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31</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6C103180">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_Toc14243 </w:instrText>
      </w:r>
      <w:r>
        <w:rPr>
          <w:rFonts w:hint="eastAsia" w:ascii="仿宋" w:hAnsi="仿宋" w:eastAsia="仿宋" w:cs="仿宋"/>
          <w:color w:val="auto"/>
          <w:sz w:val="22"/>
          <w:szCs w:val="22"/>
          <w:highlight w:val="none"/>
        </w:rPr>
        <w:fldChar w:fldCharType="separate"/>
      </w:r>
      <w:r>
        <w:rPr>
          <w:rFonts w:hint="eastAsia" w:ascii="仿宋" w:hAnsi="仿宋" w:eastAsia="仿宋" w:cs="仿宋"/>
          <w:bCs/>
          <w:color w:val="auto"/>
          <w:sz w:val="22"/>
          <w:szCs w:val="22"/>
          <w:highlight w:val="none"/>
        </w:rPr>
        <w:t>第一节 评审程序和评审方法</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_Toc14243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33</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AC7B062">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_Toc23080 </w:instrText>
      </w:r>
      <w:r>
        <w:rPr>
          <w:rFonts w:hint="eastAsia" w:ascii="仿宋" w:hAnsi="仿宋" w:eastAsia="仿宋" w:cs="仿宋"/>
          <w:color w:val="auto"/>
          <w:sz w:val="22"/>
          <w:szCs w:val="22"/>
          <w:highlight w:val="none"/>
        </w:rPr>
        <w:fldChar w:fldCharType="separate"/>
      </w:r>
      <w:r>
        <w:rPr>
          <w:rFonts w:hint="eastAsia" w:ascii="仿宋" w:hAnsi="仿宋" w:eastAsia="仿宋" w:cs="仿宋"/>
          <w:bCs/>
          <w:color w:val="auto"/>
          <w:sz w:val="22"/>
          <w:szCs w:val="22"/>
          <w:highlight w:val="none"/>
        </w:rPr>
        <w:t>第二节 评标报告</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_Toc23080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43</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50F4508">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_Toc4336 </w:instrText>
      </w:r>
      <w:r>
        <w:rPr>
          <w:rFonts w:hint="eastAsia" w:ascii="仿宋" w:hAnsi="仿宋" w:eastAsia="仿宋" w:cs="仿宋"/>
          <w:color w:val="auto"/>
          <w:sz w:val="22"/>
          <w:szCs w:val="22"/>
          <w:highlight w:val="none"/>
        </w:rPr>
        <w:fldChar w:fldCharType="separate"/>
      </w:r>
      <w:r>
        <w:rPr>
          <w:rFonts w:hint="eastAsia" w:ascii="仿宋" w:hAnsi="仿宋" w:eastAsia="仿宋" w:cs="仿宋"/>
          <w:bCs/>
          <w:color w:val="auto"/>
          <w:sz w:val="22"/>
          <w:szCs w:val="22"/>
          <w:highlight w:val="none"/>
        </w:rPr>
        <w:t>第三节 评审过程的保密与录像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_Toc4336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44</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2076A02">
      <w:pPr>
        <w:pStyle w:val="22"/>
        <w:tabs>
          <w:tab w:val="right" w:leader="dot" w:pos="9745"/>
        </w:tabs>
        <w:spacing w:line="288" w:lineRule="auto"/>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_Toc11653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第五章 响应文件格式</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_Toc11653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45</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25B48587">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_Toc300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第一节 封面格式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_Toc300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45</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7650DA2C">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_Toc1390 </w:instrText>
      </w:r>
      <w:r>
        <w:rPr>
          <w:rFonts w:hint="eastAsia" w:ascii="仿宋" w:hAnsi="仿宋" w:eastAsia="仿宋" w:cs="仿宋"/>
          <w:color w:val="auto"/>
          <w:sz w:val="22"/>
          <w:szCs w:val="22"/>
          <w:highlight w:val="none"/>
        </w:rPr>
        <w:fldChar w:fldCharType="separate"/>
      </w:r>
      <w:r>
        <w:rPr>
          <w:rFonts w:hint="eastAsia" w:ascii="仿宋" w:hAnsi="仿宋" w:eastAsia="仿宋" w:cs="仿宋"/>
          <w:bCs/>
          <w:color w:val="auto"/>
          <w:sz w:val="22"/>
          <w:szCs w:val="22"/>
          <w:highlight w:val="none"/>
        </w:rPr>
        <w:t>第二节 资格证明文件格式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_Toc1390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46</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E0A9BBA">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_Toc18609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第三节 商务技术文件格式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_Toc18609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56</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37D23609">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_Toc26046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第四节 报价文件格式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_Toc26046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67</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25F36426">
      <w:pPr>
        <w:pStyle w:val="25"/>
        <w:tabs>
          <w:tab w:val="right" w:leader="dot" w:pos="9745"/>
          <w:tab w:val="clear" w:pos="8296"/>
        </w:tabs>
        <w:spacing w:line="288"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HYPERLINK \l _Toc5448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第五节 其他文书、文件格式</w:t>
      </w:r>
      <w:r>
        <w:rPr>
          <w:rFonts w:hint="eastAsia" w:ascii="仿宋" w:hAnsi="仿宋" w:eastAsia="仿宋" w:cs="仿宋"/>
          <w:color w:val="auto"/>
          <w:sz w:val="22"/>
          <w:szCs w:val="22"/>
          <w:highlight w:val="none"/>
        </w:rPr>
        <w:tab/>
      </w:r>
      <w:r>
        <w:rPr>
          <w:rFonts w:hint="eastAsia" w:ascii="仿宋" w:hAnsi="仿宋" w:eastAsia="仿宋" w:cs="仿宋"/>
          <w:color w:val="auto"/>
          <w:sz w:val="22"/>
          <w:szCs w:val="22"/>
          <w:highlight w:val="none"/>
        </w:rPr>
        <w:fldChar w:fldCharType="begin"/>
      </w:r>
      <w:r>
        <w:rPr>
          <w:rFonts w:hint="eastAsia" w:ascii="仿宋" w:hAnsi="仿宋" w:eastAsia="仿宋" w:cs="仿宋"/>
          <w:color w:val="auto"/>
          <w:sz w:val="22"/>
          <w:szCs w:val="22"/>
          <w:highlight w:val="none"/>
        </w:rPr>
        <w:instrText xml:space="preserve"> PAGEREF _Toc5448 \h </w:instrText>
      </w:r>
      <w:r>
        <w:rPr>
          <w:rFonts w:hint="eastAsia" w:ascii="仿宋" w:hAnsi="仿宋" w:eastAsia="仿宋" w:cs="仿宋"/>
          <w:color w:val="auto"/>
          <w:sz w:val="22"/>
          <w:szCs w:val="22"/>
          <w:highlight w:val="none"/>
        </w:rPr>
        <w:fldChar w:fldCharType="separate"/>
      </w:r>
      <w:r>
        <w:rPr>
          <w:rFonts w:hint="eastAsia" w:ascii="仿宋" w:hAnsi="仿宋" w:eastAsia="仿宋" w:cs="仿宋"/>
          <w:color w:val="auto"/>
          <w:sz w:val="22"/>
          <w:szCs w:val="22"/>
          <w:highlight w:val="none"/>
        </w:rPr>
        <w:t>73</w:t>
      </w:r>
      <w:r>
        <w:rPr>
          <w:rFonts w:hint="eastAsia" w:ascii="仿宋" w:hAnsi="仿宋" w:eastAsia="仿宋" w:cs="仿宋"/>
          <w:color w:val="auto"/>
          <w:sz w:val="22"/>
          <w:szCs w:val="22"/>
          <w:highlight w:val="none"/>
        </w:rPr>
        <w:fldChar w:fldCharType="end"/>
      </w:r>
      <w:r>
        <w:rPr>
          <w:rFonts w:hint="eastAsia" w:ascii="仿宋" w:hAnsi="仿宋" w:eastAsia="仿宋" w:cs="仿宋"/>
          <w:color w:val="auto"/>
          <w:sz w:val="22"/>
          <w:szCs w:val="22"/>
          <w:highlight w:val="none"/>
        </w:rPr>
        <w:fldChar w:fldCharType="end"/>
      </w:r>
    </w:p>
    <w:p w14:paraId="4C84403E">
      <w:pPr>
        <w:pStyle w:val="22"/>
        <w:tabs>
          <w:tab w:val="right" w:leader="dot" w:pos="9745"/>
        </w:tabs>
        <w:spacing w:line="288" w:lineRule="auto"/>
        <w:rPr>
          <w:rFonts w:hint="eastAsia" w:ascii="仿宋" w:hAnsi="仿宋" w:eastAsia="仿宋" w:cs="仿宋"/>
          <w:color w:val="auto"/>
          <w:sz w:val="22"/>
          <w:szCs w:val="22"/>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_Toc263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kern w:val="44"/>
          <w:sz w:val="22"/>
          <w:szCs w:val="22"/>
          <w:highlight w:val="none"/>
        </w:rPr>
        <w:t>第六章 合同文本</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_Toc263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74</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34501D0C">
      <w:pPr>
        <w:pStyle w:val="22"/>
        <w:tabs>
          <w:tab w:val="right" w:leader="dot" w:pos="9745"/>
        </w:tabs>
        <w:spacing w:line="288" w:lineRule="auto"/>
        <w:rPr>
          <w:rFonts w:hint="eastAsia" w:ascii="仿宋" w:hAnsi="仿宋" w:eastAsia="仿宋" w:cs="仿宋"/>
          <w:b/>
          <w:bCs/>
          <w:color w:val="auto"/>
          <w:szCs w:val="21"/>
          <w:highlight w:val="none"/>
        </w:rPr>
      </w:pP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HYPERLINK \l _Toc25038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kern w:val="44"/>
          <w:sz w:val="22"/>
          <w:szCs w:val="22"/>
          <w:highlight w:val="none"/>
        </w:rPr>
        <w:t xml:space="preserve">第七章 </w:t>
      </w:r>
      <w:r>
        <w:rPr>
          <w:rFonts w:hint="eastAsia" w:ascii="仿宋" w:hAnsi="仿宋" w:eastAsia="仿宋" w:cs="仿宋"/>
          <w:b/>
          <w:bCs/>
          <w:color w:val="auto"/>
          <w:sz w:val="22"/>
          <w:szCs w:val="22"/>
          <w:highlight w:val="none"/>
        </w:rPr>
        <w:t>质疑、投诉材料格式</w:t>
      </w:r>
      <w:r>
        <w:rPr>
          <w:rFonts w:hint="eastAsia" w:ascii="仿宋" w:hAnsi="仿宋" w:eastAsia="仿宋" w:cs="仿宋"/>
          <w:b/>
          <w:bCs/>
          <w:color w:val="auto"/>
          <w:sz w:val="22"/>
          <w:szCs w:val="22"/>
          <w:highlight w:val="none"/>
        </w:rPr>
        <w:tab/>
      </w:r>
      <w:r>
        <w:rPr>
          <w:rFonts w:hint="eastAsia" w:ascii="仿宋" w:hAnsi="仿宋" w:eastAsia="仿宋" w:cs="仿宋"/>
          <w:b/>
          <w:bCs/>
          <w:color w:val="auto"/>
          <w:sz w:val="22"/>
          <w:szCs w:val="22"/>
          <w:highlight w:val="none"/>
        </w:rPr>
        <w:fldChar w:fldCharType="begin"/>
      </w:r>
      <w:r>
        <w:rPr>
          <w:rFonts w:hint="eastAsia" w:ascii="仿宋" w:hAnsi="仿宋" w:eastAsia="仿宋" w:cs="仿宋"/>
          <w:b/>
          <w:bCs/>
          <w:color w:val="auto"/>
          <w:sz w:val="22"/>
          <w:szCs w:val="22"/>
          <w:highlight w:val="none"/>
        </w:rPr>
        <w:instrText xml:space="preserve"> PAGEREF _Toc25038 \h </w:instrText>
      </w:r>
      <w:r>
        <w:rPr>
          <w:rFonts w:hint="eastAsia" w:ascii="仿宋" w:hAnsi="仿宋" w:eastAsia="仿宋" w:cs="仿宋"/>
          <w:b/>
          <w:bCs/>
          <w:color w:val="auto"/>
          <w:sz w:val="22"/>
          <w:szCs w:val="22"/>
          <w:highlight w:val="none"/>
        </w:rPr>
        <w:fldChar w:fldCharType="separate"/>
      </w:r>
      <w:r>
        <w:rPr>
          <w:rFonts w:hint="eastAsia" w:ascii="仿宋" w:hAnsi="仿宋" w:eastAsia="仿宋" w:cs="仿宋"/>
          <w:b/>
          <w:bCs/>
          <w:color w:val="auto"/>
          <w:sz w:val="22"/>
          <w:szCs w:val="22"/>
          <w:highlight w:val="none"/>
        </w:rPr>
        <w:t>102</w:t>
      </w:r>
      <w:r>
        <w:rPr>
          <w:rFonts w:hint="eastAsia" w:ascii="仿宋" w:hAnsi="仿宋" w:eastAsia="仿宋" w:cs="仿宋"/>
          <w:b/>
          <w:bCs/>
          <w:color w:val="auto"/>
          <w:sz w:val="22"/>
          <w:szCs w:val="22"/>
          <w:highlight w:val="none"/>
        </w:rPr>
        <w:fldChar w:fldCharType="end"/>
      </w:r>
      <w:r>
        <w:rPr>
          <w:rFonts w:hint="eastAsia" w:ascii="仿宋" w:hAnsi="仿宋" w:eastAsia="仿宋" w:cs="仿宋"/>
          <w:b/>
          <w:bCs/>
          <w:color w:val="auto"/>
          <w:sz w:val="22"/>
          <w:szCs w:val="22"/>
          <w:highlight w:val="none"/>
        </w:rPr>
        <w:fldChar w:fldCharType="end"/>
      </w:r>
    </w:p>
    <w:p w14:paraId="50338597">
      <w:pPr>
        <w:pStyle w:val="25"/>
        <w:rPr>
          <w:rFonts w:hint="eastAsia" w:ascii="仿宋" w:hAnsi="仿宋" w:eastAsia="仿宋" w:cs="仿宋"/>
          <w:color w:val="auto"/>
          <w:sz w:val="24"/>
          <w:highlight w:val="none"/>
        </w:rPr>
      </w:pPr>
      <w:r>
        <w:rPr>
          <w:rFonts w:hint="eastAsia" w:ascii="仿宋" w:hAnsi="仿宋" w:eastAsia="仿宋" w:cs="仿宋"/>
          <w:color w:val="auto"/>
          <w:szCs w:val="21"/>
          <w:highlight w:val="none"/>
        </w:rPr>
        <w:fldChar w:fldCharType="end"/>
      </w:r>
    </w:p>
    <w:p w14:paraId="43CED0C3">
      <w:pPr>
        <w:tabs>
          <w:tab w:val="left" w:pos="7470"/>
        </w:tabs>
        <w:spacing w:line="400" w:lineRule="exact"/>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ab/>
      </w:r>
    </w:p>
    <w:p w14:paraId="072FB622">
      <w:pPr>
        <w:spacing w:line="400" w:lineRule="exact"/>
        <w:jc w:val="center"/>
        <w:rPr>
          <w:rFonts w:hint="eastAsia" w:ascii="仿宋" w:hAnsi="仿宋" w:eastAsia="仿宋" w:cs="仿宋"/>
          <w:b/>
          <w:color w:val="auto"/>
          <w:sz w:val="32"/>
          <w:szCs w:val="32"/>
          <w:highlight w:val="none"/>
        </w:rPr>
      </w:pPr>
    </w:p>
    <w:p w14:paraId="1774ADD4">
      <w:pPr>
        <w:spacing w:line="400" w:lineRule="exact"/>
        <w:jc w:val="center"/>
        <w:rPr>
          <w:rFonts w:hint="eastAsia" w:ascii="仿宋" w:hAnsi="仿宋" w:eastAsia="仿宋" w:cs="仿宋"/>
          <w:b/>
          <w:color w:val="auto"/>
          <w:sz w:val="32"/>
          <w:szCs w:val="32"/>
          <w:highlight w:val="none"/>
        </w:rPr>
      </w:pPr>
    </w:p>
    <w:p w14:paraId="70C3ED62">
      <w:pPr>
        <w:pStyle w:val="2"/>
        <w:spacing w:line="400" w:lineRule="exact"/>
        <w:jc w:val="center"/>
        <w:rPr>
          <w:rFonts w:hint="eastAsia" w:ascii="仿宋" w:hAnsi="仿宋" w:eastAsia="仿宋" w:cs="仿宋"/>
          <w:bCs w:val="0"/>
          <w:color w:val="auto"/>
          <w:highlight w:val="none"/>
        </w:rPr>
        <w:sectPr>
          <w:headerReference r:id="rId6" w:type="default"/>
          <w:footerReference r:id="rId7" w:type="default"/>
          <w:pgSz w:w="11905" w:h="16838"/>
          <w:pgMar w:top="1440" w:right="1080" w:bottom="1440" w:left="1080" w:header="720" w:footer="720" w:gutter="0"/>
          <w:pgNumType w:start="1"/>
          <w:cols w:space="720" w:num="1"/>
          <w:docGrid w:type="lines" w:linePitch="331" w:charSpace="0"/>
        </w:sectPr>
      </w:pPr>
      <w:bookmarkStart w:id="0" w:name="_Toc3875"/>
      <w:bookmarkStart w:id="1" w:name="_Toc15868"/>
      <w:bookmarkStart w:id="2" w:name="_Toc19630"/>
    </w:p>
    <w:p w14:paraId="4BDEC507">
      <w:pPr>
        <w:pStyle w:val="2"/>
        <w:jc w:val="center"/>
        <w:rPr>
          <w:rFonts w:hint="eastAsia" w:ascii="仿宋" w:hAnsi="仿宋" w:eastAsia="仿宋" w:cs="仿宋"/>
          <w:color w:val="auto"/>
          <w:highlight w:val="none"/>
        </w:rPr>
      </w:pPr>
      <w:r>
        <w:rPr>
          <w:rFonts w:hint="eastAsia" w:ascii="仿宋" w:hAnsi="仿宋" w:eastAsia="仿宋" w:cs="仿宋"/>
          <w:color w:val="auto"/>
          <w:highlight w:val="none"/>
        </w:rPr>
        <w:t>第一章 竞争性磋商公告</w:t>
      </w:r>
      <w:bookmarkEnd w:id="0"/>
      <w:bookmarkEnd w:id="1"/>
      <w:bookmarkEnd w:id="2"/>
      <w:bookmarkStart w:id="3" w:name="_Toc35393798"/>
      <w:bookmarkStart w:id="4" w:name="_Toc35393629"/>
      <w:bookmarkStart w:id="5" w:name="_Toc28359012"/>
      <w:bookmarkStart w:id="6" w:name="_Toc35393623"/>
      <w:bookmarkStart w:id="7" w:name="_Toc35393792"/>
      <w:bookmarkStart w:id="8" w:name="_Toc44229878"/>
      <w:bookmarkStart w:id="9" w:name="_Toc28359081"/>
      <w:bookmarkStart w:id="10" w:name="_Toc28359004"/>
      <w:bookmarkStart w:id="11" w:name="_Toc28359089"/>
    </w:p>
    <w:p w14:paraId="2770AF9D">
      <w:pPr>
        <w:pStyle w:val="85"/>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广西同盛工程咨询有限公司关于</w:t>
      </w:r>
      <w:r>
        <w:rPr>
          <w:rFonts w:hint="eastAsia" w:ascii="仿宋" w:hAnsi="仿宋" w:eastAsia="仿宋" w:cs="仿宋"/>
          <w:b/>
          <w:bCs/>
          <w:color w:val="auto"/>
          <w:sz w:val="28"/>
          <w:szCs w:val="28"/>
          <w:highlight w:val="none"/>
          <w:lang w:eastAsia="zh-CN"/>
        </w:rPr>
        <w:t>周鹿镇双联村龙勉、龙赖屯至龙卜屯硬化路及安防工程</w:t>
      </w:r>
      <w:r>
        <w:rPr>
          <w:rFonts w:hint="eastAsia" w:ascii="仿宋" w:hAnsi="仿宋" w:eastAsia="仿宋" w:cs="仿宋"/>
          <w:b/>
          <w:bCs/>
          <w:color w:val="auto"/>
          <w:sz w:val="28"/>
          <w:szCs w:val="28"/>
          <w:highlight w:val="none"/>
        </w:rPr>
        <w:t>的竞争性磋商公告</w:t>
      </w:r>
    </w:p>
    <w:tbl>
      <w:tblPr>
        <w:tblStyle w:val="28"/>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186E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0" w:type="dxa"/>
            <w:noWrap w:val="0"/>
            <w:vAlign w:val="top"/>
          </w:tcPr>
          <w:p w14:paraId="345DDE0F">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51F2AA8B">
            <w:pPr>
              <w:spacing w:line="42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lang w:eastAsia="zh-CN"/>
              </w:rPr>
              <w:t>周鹿镇双联村龙勉、龙赖屯至龙卜屯硬化路及安防工程</w:t>
            </w:r>
            <w:r>
              <w:rPr>
                <w:rFonts w:hint="eastAsia" w:ascii="仿宋" w:hAnsi="仿宋" w:eastAsia="仿宋" w:cs="仿宋"/>
                <w:color w:val="auto"/>
                <w:sz w:val="24"/>
                <w:highlight w:val="none"/>
              </w:rPr>
              <w:t>的潜在供应商应在广西政府采购云平台（https://www.gcy.zfcg.gxzf.gov.cn/）获取采购文件，并于</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08</w:t>
            </w:r>
            <w:r>
              <w:rPr>
                <w:rFonts w:hint="eastAsia" w:ascii="仿宋" w:hAnsi="仿宋" w:eastAsia="仿宋" w:cs="仿宋"/>
                <w:color w:val="auto"/>
                <w:sz w:val="24"/>
                <w:highlight w:val="none"/>
                <w:lang w:eastAsia="zh-CN"/>
              </w:rPr>
              <w:t xml:space="preserve">月   </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lang w:val="en-US" w:eastAsia="zh-CN"/>
              </w:rPr>
              <w:t>13:30</w:t>
            </w:r>
            <w:r>
              <w:rPr>
                <w:rFonts w:hint="eastAsia" w:ascii="仿宋" w:hAnsi="仿宋" w:eastAsia="仿宋" w:cs="仿宋"/>
                <w:color w:val="auto"/>
                <w:sz w:val="24"/>
                <w:highlight w:val="none"/>
              </w:rPr>
              <w:t>（北京时间）前提交响应文件。</w:t>
            </w:r>
          </w:p>
        </w:tc>
      </w:tr>
      <w:bookmarkEnd w:id="3"/>
      <w:bookmarkEnd w:id="4"/>
      <w:bookmarkEnd w:id="5"/>
      <w:bookmarkEnd w:id="6"/>
      <w:bookmarkEnd w:id="7"/>
      <w:bookmarkEnd w:id="8"/>
      <w:bookmarkEnd w:id="9"/>
      <w:bookmarkEnd w:id="10"/>
      <w:bookmarkEnd w:id="11"/>
    </w:tbl>
    <w:p w14:paraId="5D80B568">
      <w:pPr>
        <w:spacing w:line="42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一、项目基本情况</w:t>
      </w:r>
    </w:p>
    <w:p w14:paraId="788C904F">
      <w:pPr>
        <w:spacing w:line="420" w:lineRule="exact"/>
        <w:ind w:firstLine="480" w:firstLineChars="200"/>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rPr>
        <w:t>项目编号：NNZC2026-C2-240105-GXTS</w:t>
      </w:r>
    </w:p>
    <w:p w14:paraId="6EA2158F">
      <w:pPr>
        <w:spacing w:line="420" w:lineRule="exact"/>
        <w:ind w:firstLine="480" w:firstLineChars="200"/>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rPr>
        <w:t>项目名称：</w:t>
      </w:r>
      <w:r>
        <w:rPr>
          <w:rFonts w:hint="eastAsia" w:ascii="仿宋" w:hAnsi="仿宋" w:eastAsia="仿宋" w:cs="仿宋"/>
          <w:b w:val="0"/>
          <w:bCs w:val="0"/>
          <w:color w:val="auto"/>
          <w:sz w:val="24"/>
          <w:highlight w:val="none"/>
          <w:lang w:eastAsia="zh-CN"/>
        </w:rPr>
        <w:t>周鹿镇双联村龙勉、龙赖屯至龙卜屯硬化路及安防工程</w:t>
      </w:r>
    </w:p>
    <w:p w14:paraId="5AA16411">
      <w:pPr>
        <w:spacing w:line="420" w:lineRule="exact"/>
        <w:ind w:firstLine="480" w:firstLineChars="20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rPr>
        <w:t>预算</w:t>
      </w:r>
      <w:r>
        <w:rPr>
          <w:rFonts w:hint="eastAsia" w:ascii="仿宋" w:hAnsi="仿宋" w:eastAsia="仿宋" w:cs="仿宋"/>
          <w:b w:val="0"/>
          <w:bCs w:val="0"/>
          <w:color w:val="auto"/>
          <w:sz w:val="24"/>
          <w:highlight w:val="none"/>
          <w:lang w:val="en-US" w:eastAsia="zh-CN"/>
        </w:rPr>
        <w:t>总</w:t>
      </w:r>
      <w:r>
        <w:rPr>
          <w:rFonts w:hint="eastAsia" w:ascii="仿宋" w:hAnsi="仿宋" w:eastAsia="仿宋" w:cs="仿宋"/>
          <w:b w:val="0"/>
          <w:bCs w:val="0"/>
          <w:color w:val="auto"/>
          <w:sz w:val="24"/>
          <w:highlight w:val="none"/>
        </w:rPr>
        <w:t>金额（元）：</w:t>
      </w:r>
      <w:r>
        <w:rPr>
          <w:rFonts w:hint="eastAsia" w:ascii="仿宋" w:hAnsi="仿宋" w:eastAsia="仿宋" w:cs="仿宋"/>
          <w:b w:val="0"/>
          <w:bCs w:val="0"/>
          <w:color w:val="auto"/>
          <w:sz w:val="24"/>
          <w:highlight w:val="none"/>
          <w:lang w:val="en-US" w:eastAsia="zh-CN"/>
        </w:rPr>
        <w:t>1523300.00</w:t>
      </w:r>
    </w:p>
    <w:p w14:paraId="4605CE00">
      <w:pPr>
        <w:spacing w:line="42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采购需求：</w:t>
      </w:r>
    </w:p>
    <w:p w14:paraId="0C6246C2">
      <w:pPr>
        <w:pStyle w:val="26"/>
        <w:widowControl/>
        <w:ind w:left="479" w:leftChars="228"/>
        <w:rPr>
          <w:rFonts w:hint="eastAsia" w:ascii="仿宋" w:hAnsi="仿宋" w:eastAsia="仿宋" w:cs="仿宋"/>
          <w:color w:val="auto"/>
          <w:kern w:val="2"/>
          <w:highlight w:val="none"/>
          <w:lang w:eastAsia="zh-CN"/>
        </w:rPr>
      </w:pPr>
      <w:r>
        <w:rPr>
          <w:rFonts w:hint="eastAsia" w:ascii="仿宋" w:hAnsi="仿宋" w:eastAsia="仿宋" w:cs="仿宋"/>
          <w:color w:val="auto"/>
          <w:kern w:val="2"/>
          <w:highlight w:val="none"/>
        </w:rPr>
        <w:t>标项名称:</w:t>
      </w:r>
      <w:r>
        <w:rPr>
          <w:rFonts w:hint="eastAsia" w:ascii="仿宋" w:hAnsi="仿宋" w:eastAsia="仿宋" w:cs="仿宋"/>
          <w:color w:val="auto"/>
          <w:kern w:val="2"/>
          <w:highlight w:val="none"/>
          <w:lang w:eastAsia="zh-CN"/>
        </w:rPr>
        <w:t>周鹿镇双联村龙勉、龙赖屯至龙卜屯硬化路及安防工程</w:t>
      </w:r>
    </w:p>
    <w:p w14:paraId="29C99D88">
      <w:pPr>
        <w:pStyle w:val="26"/>
        <w:widowControl/>
        <w:ind w:left="479" w:leftChars="228"/>
        <w:rPr>
          <w:rFonts w:hint="eastAsia" w:ascii="仿宋" w:hAnsi="仿宋" w:eastAsia="仿宋" w:cs="仿宋"/>
          <w:color w:val="auto"/>
          <w:kern w:val="2"/>
          <w:highlight w:val="none"/>
          <w:lang w:eastAsia="zh-CN"/>
        </w:rPr>
      </w:pPr>
      <w:r>
        <w:rPr>
          <w:rFonts w:hint="eastAsia" w:ascii="仿宋" w:hAnsi="仿宋" w:eastAsia="仿宋" w:cs="仿宋"/>
          <w:color w:val="auto"/>
          <w:kern w:val="2"/>
          <w:highlight w:val="none"/>
        </w:rPr>
        <w:t>数量:1</w:t>
      </w:r>
    </w:p>
    <w:p w14:paraId="56B18AE2">
      <w:pPr>
        <w:pStyle w:val="26"/>
        <w:widowControl/>
        <w:ind w:left="479" w:leftChars="228"/>
        <w:rPr>
          <w:rFonts w:hint="eastAsia" w:ascii="仿宋" w:hAnsi="仿宋" w:eastAsia="仿宋" w:cs="仿宋"/>
          <w:color w:val="auto"/>
          <w:kern w:val="2"/>
          <w:highlight w:val="none"/>
          <w:lang w:eastAsia="zh-CN"/>
        </w:rPr>
      </w:pPr>
      <w:r>
        <w:rPr>
          <w:rFonts w:hint="eastAsia" w:ascii="仿宋" w:hAnsi="仿宋" w:eastAsia="仿宋" w:cs="仿宋"/>
          <w:color w:val="auto"/>
          <w:kern w:val="2"/>
          <w:highlight w:val="none"/>
        </w:rPr>
        <w:t>预算金额（元）:</w:t>
      </w:r>
      <w:r>
        <w:rPr>
          <w:rFonts w:hint="eastAsia" w:ascii="仿宋" w:hAnsi="仿宋" w:eastAsia="仿宋" w:cs="仿宋"/>
          <w:color w:val="auto"/>
          <w:sz w:val="24"/>
          <w:highlight w:val="none"/>
          <w:lang w:val="en-US" w:eastAsia="zh-CN"/>
        </w:rPr>
        <w:t>1523300.00</w:t>
      </w:r>
    </w:p>
    <w:p w14:paraId="4EC5775D">
      <w:pPr>
        <w:pStyle w:val="26"/>
        <w:widowControl/>
        <w:ind w:firstLine="480" w:firstLineChars="200"/>
        <w:rPr>
          <w:rFonts w:hint="eastAsia" w:ascii="仿宋" w:hAnsi="仿宋" w:eastAsia="仿宋" w:cs="仿宋"/>
          <w:color w:val="auto"/>
          <w:kern w:val="2"/>
          <w:highlight w:val="none"/>
        </w:rPr>
      </w:pPr>
      <w:r>
        <w:rPr>
          <w:rFonts w:hint="eastAsia" w:ascii="仿宋" w:hAnsi="仿宋" w:eastAsia="仿宋" w:cs="仿宋"/>
          <w:color w:val="auto"/>
          <w:kern w:val="2"/>
          <w:highlight w:val="none"/>
        </w:rPr>
        <w:t>简要规格描述或项目基本概况介绍、用途：</w:t>
      </w:r>
      <w:r>
        <w:rPr>
          <w:rFonts w:hint="eastAsia" w:ascii="仿宋" w:hAnsi="仿宋" w:eastAsia="仿宋" w:cs="仿宋"/>
          <w:color w:val="auto"/>
          <w:kern w:val="2"/>
          <w:highlight w:val="none"/>
          <w:lang w:eastAsia="zh-CN"/>
        </w:rPr>
        <w:t>路拱修整7236㎡，整修边坡1.608km，挖石方4893m³，填方路基243m³，M7.5浆砌片石86m³，10cm厚级配碎石基层6546㎡，18cm厚水泥混凝土路面5742㎡，1-φ0.5米单孔钢筋混凝土圆管涵28米/4道，波形梁钢护栏1748米，单柱式交通标志10个，减速振动标线100.8㎡，路基4.5米，路面3.5米，路线总长2.495km，硬化长度1.608km。</w:t>
      </w:r>
      <w:r>
        <w:rPr>
          <w:rFonts w:hint="eastAsia" w:ascii="仿宋" w:hAnsi="仿宋" w:eastAsia="仿宋" w:cs="仿宋"/>
          <w:color w:val="auto"/>
          <w:kern w:val="2"/>
          <w:highlight w:val="none"/>
        </w:rPr>
        <w:t>具体内容详见施工图纸及工程量清单。</w:t>
      </w:r>
    </w:p>
    <w:p w14:paraId="3704C142">
      <w:pPr>
        <w:pStyle w:val="26"/>
        <w:widowControl/>
        <w:ind w:firstLine="480" w:firstLineChars="200"/>
        <w:rPr>
          <w:rFonts w:hint="eastAsia" w:ascii="仿宋" w:hAnsi="仿宋" w:eastAsia="仿宋" w:cs="仿宋"/>
          <w:color w:val="auto"/>
          <w:kern w:val="2"/>
          <w:highlight w:val="none"/>
        </w:rPr>
      </w:pPr>
      <w:r>
        <w:rPr>
          <w:rFonts w:hint="eastAsia" w:ascii="仿宋" w:hAnsi="仿宋" w:eastAsia="仿宋" w:cs="仿宋"/>
          <w:color w:val="auto"/>
          <w:kern w:val="2"/>
          <w:highlight w:val="none"/>
        </w:rPr>
        <w:t>最高限价（元）：</w:t>
      </w:r>
      <w:r>
        <w:rPr>
          <w:rFonts w:hint="eastAsia" w:ascii="仿宋" w:hAnsi="仿宋" w:eastAsia="仿宋" w:cs="仿宋"/>
          <w:color w:val="auto"/>
          <w:sz w:val="24"/>
          <w:highlight w:val="none"/>
          <w:lang w:eastAsia="zh-CN"/>
        </w:rPr>
        <w:t>1492053.00</w:t>
      </w:r>
    </w:p>
    <w:p w14:paraId="5905FD50">
      <w:pPr>
        <w:pStyle w:val="26"/>
        <w:widowControl/>
        <w:ind w:firstLine="480" w:firstLineChars="200"/>
        <w:rPr>
          <w:rFonts w:hint="eastAsia" w:ascii="仿宋" w:hAnsi="仿宋" w:eastAsia="仿宋" w:cs="仿宋"/>
          <w:color w:val="auto"/>
          <w:kern w:val="2"/>
          <w:highlight w:val="none"/>
        </w:rPr>
      </w:pPr>
      <w:r>
        <w:rPr>
          <w:rFonts w:hint="eastAsia" w:ascii="仿宋" w:hAnsi="仿宋" w:eastAsia="仿宋" w:cs="仿宋"/>
          <w:color w:val="auto"/>
          <w:kern w:val="2"/>
          <w:highlight w:val="none"/>
        </w:rPr>
        <w:t>合同履约期限：</w:t>
      </w:r>
      <w:r>
        <w:rPr>
          <w:rFonts w:hint="eastAsia" w:ascii="仿宋" w:hAnsi="仿宋" w:eastAsia="仿宋" w:cs="仿宋"/>
          <w:color w:val="auto"/>
          <w:kern w:val="2"/>
          <w:highlight w:val="none"/>
          <w:lang w:eastAsia="zh-CN"/>
        </w:rPr>
        <w:t>施工工期90日历天</w:t>
      </w:r>
      <w:r>
        <w:rPr>
          <w:rFonts w:hint="eastAsia" w:ascii="仿宋" w:hAnsi="仿宋" w:eastAsia="仿宋" w:cs="仿宋"/>
          <w:color w:val="auto"/>
          <w:kern w:val="2"/>
          <w:highlight w:val="none"/>
        </w:rPr>
        <w:t>。</w:t>
      </w:r>
      <w:bookmarkStart w:id="163" w:name="_GoBack"/>
      <w:bookmarkEnd w:id="163"/>
    </w:p>
    <w:p w14:paraId="73E6B987">
      <w:pPr>
        <w:pStyle w:val="26"/>
        <w:widowControl/>
        <w:ind w:left="479" w:leftChars="228"/>
        <w:rPr>
          <w:rFonts w:hint="eastAsia" w:ascii="仿宋" w:hAnsi="仿宋" w:eastAsia="仿宋" w:cs="仿宋"/>
          <w:color w:val="auto"/>
          <w:kern w:val="2"/>
          <w:highlight w:val="none"/>
          <w:lang w:eastAsia="zh-CN"/>
        </w:rPr>
      </w:pPr>
      <w:r>
        <w:rPr>
          <w:rFonts w:hint="eastAsia" w:ascii="仿宋" w:hAnsi="仿宋" w:eastAsia="仿宋" w:cs="仿宋"/>
          <w:color w:val="auto"/>
          <w:kern w:val="2"/>
          <w:highlight w:val="none"/>
        </w:rPr>
        <w:t>本标项（否）接受联合体投标</w:t>
      </w:r>
    </w:p>
    <w:p w14:paraId="0C159BB5">
      <w:pPr>
        <w:pStyle w:val="26"/>
        <w:widowControl/>
        <w:ind w:left="479" w:leftChars="228"/>
        <w:rPr>
          <w:rFonts w:hint="eastAsia" w:ascii="仿宋" w:hAnsi="仿宋" w:eastAsia="仿宋" w:cs="仿宋"/>
          <w:color w:val="auto"/>
          <w:kern w:val="2"/>
          <w:highlight w:val="none"/>
        </w:rPr>
      </w:pPr>
      <w:r>
        <w:rPr>
          <w:rFonts w:hint="eastAsia" w:ascii="仿宋" w:hAnsi="仿宋" w:eastAsia="仿宋" w:cs="仿宋"/>
          <w:color w:val="auto"/>
          <w:kern w:val="2"/>
          <w:highlight w:val="none"/>
        </w:rPr>
        <w:t>备注：/</w:t>
      </w:r>
    </w:p>
    <w:p w14:paraId="5ACA672E">
      <w:pPr>
        <w:spacing w:line="420" w:lineRule="exact"/>
        <w:ind w:firstLine="482" w:firstLineChars="200"/>
        <w:rPr>
          <w:rFonts w:hint="eastAsia" w:ascii="仿宋" w:hAnsi="仿宋" w:eastAsia="仿宋" w:cs="仿宋"/>
          <w:bCs/>
          <w:color w:val="auto"/>
          <w:sz w:val="24"/>
          <w:highlight w:val="none"/>
        </w:rPr>
      </w:pPr>
      <w:r>
        <w:rPr>
          <w:rFonts w:hint="eastAsia" w:ascii="仿宋" w:hAnsi="仿宋" w:eastAsia="仿宋" w:cs="仿宋"/>
          <w:b/>
          <w:color w:val="auto"/>
          <w:kern w:val="44"/>
          <w:sz w:val="24"/>
          <w:highlight w:val="none"/>
        </w:rPr>
        <w:t>二、申请人的资格要求：</w:t>
      </w:r>
    </w:p>
    <w:p w14:paraId="54D9FAF8">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1.满足《中华人民共和国政府采购法》第二十二条规定；</w:t>
      </w:r>
    </w:p>
    <w:p w14:paraId="164F18E5">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2.落实政府采购政策需满足的资格要求：专门面向中小企业采购的项目（供应商应为中小微企业、监狱企业、残疾人福利性单位)。</w:t>
      </w:r>
    </w:p>
    <w:p w14:paraId="645E1129">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3.本项目的特定资格要求：分标1</w:t>
      </w:r>
    </w:p>
    <w:p w14:paraId="30D86F20">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①国内注册（指按国家有关规定要求注册的）具备法人资格，具有</w:t>
      </w:r>
      <w:r>
        <w:rPr>
          <w:rFonts w:hint="eastAsia" w:ascii="仿宋" w:hAnsi="仿宋" w:eastAsia="仿宋" w:cs="仿宋"/>
          <w:color w:val="auto"/>
          <w:sz w:val="24"/>
          <w:highlight w:val="none"/>
          <w:lang w:eastAsia="zh-CN"/>
        </w:rPr>
        <w:t>公路工程施工总承包叁级以上(含叁级)</w:t>
      </w:r>
      <w:r>
        <w:rPr>
          <w:rFonts w:hint="eastAsia" w:ascii="仿宋" w:hAnsi="仿宋" w:eastAsia="仿宋" w:cs="仿宋"/>
          <w:color w:val="auto"/>
          <w:sz w:val="24"/>
          <w:highlight w:val="none"/>
        </w:rPr>
        <w:t xml:space="preserve">以上资质，并在人员、设备、资金等方面具有相应能力的施工企业；  </w:t>
      </w:r>
    </w:p>
    <w:p w14:paraId="1E4F5A1F">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②拟投入本工程的项目经理必须具有</w:t>
      </w:r>
      <w:r>
        <w:rPr>
          <w:rFonts w:hint="eastAsia" w:ascii="仿宋" w:hAnsi="仿宋" w:eastAsia="仿宋" w:cs="仿宋"/>
          <w:color w:val="auto"/>
          <w:sz w:val="24"/>
          <w:highlight w:val="none"/>
          <w:lang w:eastAsia="zh-CN"/>
        </w:rPr>
        <w:t>公路工程贰级（含贰级）</w:t>
      </w:r>
      <w:r>
        <w:rPr>
          <w:rFonts w:hint="eastAsia" w:ascii="仿宋" w:hAnsi="仿宋" w:eastAsia="仿宋" w:cs="仿宋"/>
          <w:color w:val="auto"/>
          <w:sz w:val="24"/>
          <w:highlight w:val="none"/>
        </w:rPr>
        <w:t>以上注册建造师执业资格，并具备有效的安全生产考核合格证书（B类）。</w:t>
      </w:r>
    </w:p>
    <w:p w14:paraId="350DBB68">
      <w:pPr>
        <w:spacing w:line="420" w:lineRule="exact"/>
        <w:ind w:firstLine="482" w:firstLineChars="200"/>
        <w:rPr>
          <w:rFonts w:hint="eastAsia" w:ascii="仿宋" w:hAnsi="仿宋" w:eastAsia="仿宋" w:cs="仿宋"/>
          <w:b/>
          <w:bCs/>
          <w:color w:val="auto"/>
          <w:sz w:val="24"/>
          <w:highlight w:val="none"/>
        </w:rPr>
      </w:pPr>
      <w:bookmarkStart w:id="12" w:name="_Toc35393793"/>
      <w:bookmarkStart w:id="13" w:name="_Toc28359005"/>
      <w:bookmarkStart w:id="14" w:name="_Toc28359082"/>
      <w:bookmarkStart w:id="15" w:name="_Toc35393624"/>
      <w:r>
        <w:rPr>
          <w:rFonts w:hint="eastAsia" w:ascii="仿宋" w:hAnsi="仿宋" w:eastAsia="仿宋" w:cs="仿宋"/>
          <w:b/>
          <w:bCs/>
          <w:color w:val="auto"/>
          <w:sz w:val="24"/>
          <w:highlight w:val="none"/>
        </w:rPr>
        <w:t>三、获取采购文件</w:t>
      </w:r>
    </w:p>
    <w:p w14:paraId="4EDCB0BE">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bCs/>
          <w:color w:val="auto"/>
          <w:sz w:val="24"/>
          <w:highlight w:val="none"/>
          <w:lang w:val="en-US" w:eastAsia="zh-CN"/>
        </w:rPr>
        <w:t>2026年08月04日</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lang w:eastAsia="zh-CN"/>
        </w:rPr>
        <w:t>2026年0</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rPr>
        <w:t>，每天上午00:00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00至12:00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00，下午12:00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00至23:59:59（北京时间，法定节假日除外）</w:t>
      </w:r>
    </w:p>
    <w:p w14:paraId="5533DE86">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地点：“广西政府采购云”平台（https://www.gcy.zfcg.gxzf.gov.cn/）</w:t>
      </w:r>
    </w:p>
    <w:p w14:paraId="1A9342C5">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3FF20BD0">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售价：0元。</w:t>
      </w:r>
    </w:p>
    <w:p w14:paraId="59C348AB">
      <w:pPr>
        <w:spacing w:line="42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w:t>
      </w:r>
      <w:bookmarkEnd w:id="12"/>
      <w:bookmarkEnd w:id="13"/>
      <w:bookmarkEnd w:id="14"/>
      <w:bookmarkEnd w:id="15"/>
      <w:r>
        <w:rPr>
          <w:rFonts w:hint="eastAsia" w:ascii="仿宋" w:hAnsi="仿宋" w:eastAsia="仿宋" w:cs="仿宋"/>
          <w:b/>
          <w:bCs/>
          <w:color w:val="auto"/>
          <w:sz w:val="24"/>
          <w:highlight w:val="none"/>
        </w:rPr>
        <w:t>响应文件提交</w:t>
      </w:r>
    </w:p>
    <w:p w14:paraId="5CAEF62D">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08</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lang w:val="en-US" w:eastAsia="zh-CN"/>
        </w:rPr>
        <w:t>13:30</w:t>
      </w:r>
      <w:r>
        <w:rPr>
          <w:rFonts w:hint="eastAsia" w:ascii="仿宋" w:hAnsi="仿宋" w:eastAsia="仿宋" w:cs="仿宋"/>
          <w:color w:val="auto"/>
          <w:sz w:val="24"/>
          <w:highlight w:val="none"/>
        </w:rPr>
        <w:t>（北京时间）</w:t>
      </w:r>
    </w:p>
    <w:p w14:paraId="443A287A">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地点（网址）：请登录广西政府采购云平台投标客户端投标 </w:t>
      </w:r>
    </w:p>
    <w:p w14:paraId="5380BBA2">
      <w:pPr>
        <w:spacing w:line="42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五、响应文件开启</w:t>
      </w:r>
    </w:p>
    <w:p w14:paraId="706EBF63">
      <w:pPr>
        <w:spacing w:line="420" w:lineRule="exact"/>
        <w:ind w:firstLine="480" w:firstLineChars="200"/>
        <w:rPr>
          <w:rFonts w:hint="eastAsia" w:ascii="仿宋" w:hAnsi="仿宋" w:eastAsia="仿宋" w:cs="仿宋"/>
          <w:color w:val="auto"/>
          <w:sz w:val="24"/>
          <w:highlight w:val="none"/>
        </w:rPr>
      </w:pPr>
      <w:bookmarkStart w:id="16" w:name="_Toc28359007"/>
      <w:bookmarkStart w:id="17" w:name="_Toc28359084"/>
      <w:bookmarkStart w:id="18" w:name="_Toc35393794"/>
      <w:bookmarkStart w:id="19" w:name="_Toc35393625"/>
      <w:r>
        <w:rPr>
          <w:rFonts w:hint="eastAsia" w:ascii="仿宋" w:hAnsi="仿宋" w:eastAsia="仿宋" w:cs="仿宋"/>
          <w:color w:val="auto"/>
          <w:sz w:val="24"/>
          <w:highlight w:val="none"/>
        </w:rPr>
        <w:t>开启时间：</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08</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lang w:val="en-US" w:eastAsia="zh-CN"/>
        </w:rPr>
        <w:t>13:30</w:t>
      </w:r>
      <w:r>
        <w:rPr>
          <w:rFonts w:hint="eastAsia" w:ascii="仿宋" w:hAnsi="仿宋" w:eastAsia="仿宋" w:cs="仿宋"/>
          <w:color w:val="auto"/>
          <w:sz w:val="24"/>
          <w:highlight w:val="none"/>
        </w:rPr>
        <w:t>（北京时间）</w:t>
      </w:r>
    </w:p>
    <w:p w14:paraId="2BBB3574">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地点：广西政府采购云平台（https://www.gcy.zfcg.gxzf.gov.cn/） </w:t>
      </w:r>
    </w:p>
    <w:p w14:paraId="1F1A0A71">
      <w:pPr>
        <w:spacing w:line="42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六、公告期限</w:t>
      </w:r>
      <w:bookmarkEnd w:id="16"/>
      <w:bookmarkEnd w:id="17"/>
      <w:bookmarkEnd w:id="18"/>
      <w:bookmarkEnd w:id="19"/>
    </w:p>
    <w:p w14:paraId="28BFA119">
      <w:pPr>
        <w:spacing w:line="42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w:t>
      </w:r>
      <w:r>
        <w:rPr>
          <w:rFonts w:hint="eastAsia" w:ascii="仿宋" w:hAnsi="仿宋" w:eastAsia="仿宋" w:cs="仿宋"/>
          <w:color w:val="auto"/>
          <w:kern w:val="0"/>
          <w:sz w:val="24"/>
          <w:highlight w:val="none"/>
          <w:lang w:val="en-US" w:eastAsia="zh-CN"/>
        </w:rPr>
        <w:t>5</w:t>
      </w:r>
      <w:r>
        <w:rPr>
          <w:rFonts w:hint="eastAsia" w:ascii="仿宋" w:hAnsi="仿宋" w:eastAsia="仿宋" w:cs="仿宋"/>
          <w:color w:val="auto"/>
          <w:kern w:val="0"/>
          <w:sz w:val="24"/>
          <w:highlight w:val="none"/>
        </w:rPr>
        <w:t>个工作日。</w:t>
      </w:r>
    </w:p>
    <w:p w14:paraId="6518E6BF">
      <w:pPr>
        <w:spacing w:line="420" w:lineRule="exact"/>
        <w:ind w:firstLine="482" w:firstLineChars="200"/>
        <w:rPr>
          <w:rFonts w:hint="eastAsia" w:ascii="仿宋" w:hAnsi="仿宋" w:eastAsia="仿宋" w:cs="仿宋"/>
          <w:b/>
          <w:bCs/>
          <w:color w:val="auto"/>
          <w:sz w:val="24"/>
          <w:highlight w:val="none"/>
        </w:rPr>
      </w:pPr>
      <w:bookmarkStart w:id="20" w:name="_Toc35393626"/>
      <w:bookmarkStart w:id="21" w:name="_Toc35393795"/>
      <w:r>
        <w:rPr>
          <w:rFonts w:hint="eastAsia" w:ascii="仿宋" w:hAnsi="仿宋" w:eastAsia="仿宋" w:cs="仿宋"/>
          <w:b/>
          <w:bCs/>
          <w:color w:val="auto"/>
          <w:sz w:val="24"/>
          <w:highlight w:val="none"/>
        </w:rPr>
        <w:t>七、其他补充事宜</w:t>
      </w:r>
      <w:bookmarkEnd w:id="20"/>
      <w:bookmarkEnd w:id="21"/>
    </w:p>
    <w:p w14:paraId="2DE6510C">
      <w:pPr>
        <w:spacing w:line="420" w:lineRule="exact"/>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1.磋商保证金：本项目不收取磋商保证金。</w:t>
      </w:r>
    </w:p>
    <w:p w14:paraId="77C01631">
      <w:pPr>
        <w:spacing w:line="420" w:lineRule="exact"/>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2.采购意向公开链接：</w:t>
      </w:r>
    </w:p>
    <w:p w14:paraId="1F205807">
      <w:pPr>
        <w:spacing w:line="420" w:lineRule="exact"/>
        <w:ind w:firstLine="480" w:firstLineChars="200"/>
        <w:rPr>
          <w:rFonts w:hint="eastAsia" w:ascii="仿宋" w:hAnsi="仿宋" w:eastAsia="仿宋" w:cs="仿宋"/>
          <w:sz w:val="24"/>
          <w:highlight w:val="none"/>
        </w:rPr>
      </w:pPr>
      <w:bookmarkStart w:id="22" w:name="_Hlk37429585"/>
      <w:r>
        <w:rPr>
          <w:rFonts w:hint="eastAsia" w:ascii="仿宋" w:hAnsi="仿宋" w:eastAsia="仿宋" w:cs="仿宋"/>
          <w:sz w:val="24"/>
          <w:highlight w:val="none"/>
        </w:rPr>
        <w:t>http://www.ccgp-guangxi.gov.cn/site/detail?categoryCode=ZcyAnnouncement&amp;parentId=66485&amp;articleId=UjzvNdN2EkCYeet8wxrxYg==</w:t>
      </w:r>
    </w:p>
    <w:bookmarkEnd w:id="22"/>
    <w:p w14:paraId="39F9CBD9">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bookmarkStart w:id="23" w:name="_Hlk37429595"/>
      <w:r>
        <w:rPr>
          <w:rFonts w:hint="eastAsia" w:ascii="仿宋" w:hAnsi="仿宋" w:eastAsia="仿宋" w:cs="仿宋"/>
          <w:color w:val="auto"/>
          <w:kern w:val="0"/>
          <w:sz w:val="24"/>
          <w:highlight w:val="none"/>
        </w:rPr>
        <w:t>网上查询地址</w:t>
      </w:r>
    </w:p>
    <w:bookmarkEnd w:id="23"/>
    <w:p w14:paraId="5F6F99E8">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lang w:eastAsia="zh-CN"/>
        </w:rPr>
      </w:pPr>
      <w:bookmarkStart w:id="24" w:name="_Hlk37429674"/>
      <w:r>
        <w:rPr>
          <w:rFonts w:hint="eastAsia" w:ascii="仿宋" w:hAnsi="仿宋" w:eastAsia="仿宋" w:cs="仿宋"/>
          <w:color w:val="auto"/>
          <w:kern w:val="0"/>
          <w:sz w:val="24"/>
          <w:highlight w:val="none"/>
        </w:rPr>
        <w:t>中国政府采购网（http://www.ccgp.gov.cn）、广西壮族自治区政府采购网（http://www.ccgp-guangxi.gov.cn/）</w:t>
      </w:r>
      <w:r>
        <w:rPr>
          <w:rFonts w:hint="eastAsia" w:ascii="仿宋" w:hAnsi="仿宋" w:eastAsia="仿宋" w:cs="仿宋"/>
          <w:color w:val="auto"/>
          <w:kern w:val="0"/>
          <w:sz w:val="24"/>
          <w:highlight w:val="none"/>
          <w:lang w:eastAsia="zh-CN"/>
        </w:rPr>
        <w:t>、全国公共资源交易平台（广西·南宁）（http：//ggzy.jgswj.gxzf.gov.cn/nnggzy/）。</w:t>
      </w:r>
    </w:p>
    <w:p w14:paraId="13614498">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本项目需要落实的政府采购政策</w:t>
      </w:r>
    </w:p>
    <w:p w14:paraId="2C9051B3">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（1）政府采购促进</w:t>
      </w:r>
      <w:r>
        <w:rPr>
          <w:rFonts w:hint="eastAsia" w:ascii="仿宋" w:hAnsi="仿宋" w:eastAsia="仿宋" w:cs="仿宋"/>
          <w:color w:val="auto"/>
          <w:kern w:val="0"/>
          <w:sz w:val="24"/>
          <w:highlight w:val="none"/>
          <w:lang w:eastAsia="zh-CN"/>
        </w:rPr>
        <w:t>中小</w:t>
      </w:r>
      <w:r>
        <w:rPr>
          <w:rFonts w:hint="eastAsia" w:ascii="仿宋" w:hAnsi="仿宋" w:eastAsia="仿宋" w:cs="仿宋"/>
          <w:color w:val="auto"/>
          <w:kern w:val="0"/>
          <w:sz w:val="24"/>
          <w:highlight w:val="none"/>
        </w:rPr>
        <w:t>企业发展。</w:t>
      </w:r>
    </w:p>
    <w:p w14:paraId="2C96E9D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（2）政府采购支持采用本国产品的政策。</w:t>
      </w:r>
    </w:p>
    <w:p w14:paraId="6677B14B">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（3）强制采购节能产品；优先采购节能产品、环境标志产品。</w:t>
      </w:r>
    </w:p>
    <w:p w14:paraId="37B4A30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（4）政府采购促进残疾人就业政策。</w:t>
      </w:r>
    </w:p>
    <w:p w14:paraId="56081281">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（5）政府采购支持监狱企业发展。</w:t>
      </w:r>
      <w:bookmarkEnd w:id="24"/>
    </w:p>
    <w:p w14:paraId="2D3EBA8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6704B2">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F11E47B">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20D27F66">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rPr>
        <w:t>.本项目为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供应商在“广西政府采购云平台”提交电子版响应文件时，请填写参加远程采购活动经办人联系方式，电子响应文件具体操作流程详见本公告附件。</w:t>
      </w:r>
    </w:p>
    <w:p w14:paraId="3E95782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77E10C77">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为确保网上操作合法、有效和安全，请供应商确保在电子响应过程中能够对相关数据电文进行加密和使用电子签章，妥善保管CA数字证书并使用有效的CA数字证书参与整个采购活动。</w:t>
      </w:r>
    </w:p>
    <w:p w14:paraId="355F7B7C">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A6CBD6A">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CA证书在线解密：首次响应文件开启时，须要供应商携带制作响应文件时用来加密的有效数字证书（CA认证）登录“广西政府采购云平台”电子开标大厅现场按规定时间对加密的响应文件进行解密，否则后果自负，未能按要求进行解密的，由此产生的后果由供应商自行承担。</w:t>
      </w:r>
    </w:p>
    <w:p w14:paraId="6FD53A34">
      <w:pPr>
        <w:keepNext w:val="0"/>
        <w:keepLines w:val="0"/>
        <w:pageBreakBefore w:val="0"/>
        <w:kinsoku/>
        <w:wordWrap/>
        <w:overflowPunct/>
        <w:topLinePunct w:val="0"/>
        <w:autoSpaceDE/>
        <w:autoSpaceDN/>
        <w:bidi w:val="0"/>
        <w:adjustRightInd/>
        <w:snapToGrid/>
        <w:spacing w:line="336"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1CC26E5C">
      <w:pPr>
        <w:spacing w:line="420" w:lineRule="exact"/>
        <w:ind w:firstLine="482" w:firstLineChars="200"/>
        <w:rPr>
          <w:rFonts w:hint="eastAsia" w:ascii="仿宋" w:hAnsi="仿宋" w:eastAsia="仿宋" w:cs="仿宋"/>
          <w:bCs/>
          <w:color w:val="auto"/>
          <w:sz w:val="24"/>
          <w:highlight w:val="none"/>
        </w:rPr>
      </w:pPr>
      <w:r>
        <w:rPr>
          <w:rFonts w:hint="eastAsia" w:ascii="仿宋" w:hAnsi="仿宋" w:eastAsia="仿宋" w:cs="仿宋"/>
          <w:b/>
          <w:color w:val="auto"/>
          <w:kern w:val="44"/>
          <w:sz w:val="24"/>
          <w:highlight w:val="none"/>
        </w:rPr>
        <w:t>八、凡对本次采购提出询问，请按以下方式联系</w:t>
      </w:r>
    </w:p>
    <w:p w14:paraId="0F6DD70B">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1.采购人信息</w:t>
      </w:r>
    </w:p>
    <w:p w14:paraId="279A6593">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w:t>
      </w:r>
      <w:r>
        <w:rPr>
          <w:rFonts w:hint="eastAsia" w:ascii="仿宋" w:hAnsi="仿宋" w:eastAsia="仿宋" w:cs="仿宋"/>
          <w:color w:val="auto"/>
          <w:kern w:val="0"/>
          <w:sz w:val="24"/>
          <w:highlight w:val="none"/>
          <w:lang w:eastAsia="zh-CN"/>
        </w:rPr>
        <w:t>马山县周鹿镇人民政府</w:t>
      </w:r>
      <w:r>
        <w:rPr>
          <w:rFonts w:hint="eastAsia" w:ascii="仿宋" w:hAnsi="仿宋" w:eastAsia="仿宋" w:cs="仿宋"/>
          <w:color w:val="auto"/>
          <w:kern w:val="0"/>
          <w:sz w:val="24"/>
          <w:highlight w:val="none"/>
        </w:rPr>
        <w:t> </w:t>
      </w:r>
    </w:p>
    <w:p w14:paraId="73B01B68">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w:t>
      </w:r>
      <w:r>
        <w:rPr>
          <w:rFonts w:hint="eastAsia" w:ascii="仿宋" w:hAnsi="仿宋" w:eastAsia="仿宋" w:cs="仿宋"/>
          <w:color w:val="auto"/>
          <w:kern w:val="0"/>
          <w:sz w:val="24"/>
          <w:highlight w:val="none"/>
          <w:lang w:eastAsia="zh-CN"/>
        </w:rPr>
        <w:t>马山县周鹿镇周鹿社区中心街29号</w:t>
      </w:r>
    </w:p>
    <w:p w14:paraId="1C65B8B0">
      <w:pPr>
        <w:spacing w:line="420" w:lineRule="exact"/>
        <w:ind w:firstLine="960" w:firstLineChars="4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项目联系人：陆俊良</w:t>
      </w:r>
    </w:p>
    <w:p w14:paraId="5C6CA1EF">
      <w:pPr>
        <w:spacing w:line="420" w:lineRule="exact"/>
        <w:ind w:firstLine="960" w:firstLineChars="4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项目联系方式：</w:t>
      </w:r>
      <w:r>
        <w:rPr>
          <w:rFonts w:hint="eastAsia" w:ascii="仿宋" w:hAnsi="仿宋" w:eastAsia="仿宋" w:cs="仿宋"/>
          <w:color w:val="auto"/>
          <w:kern w:val="0"/>
          <w:sz w:val="24"/>
          <w:highlight w:val="none"/>
          <w:lang w:eastAsia="zh-CN"/>
        </w:rPr>
        <w:t>0771-6800283</w:t>
      </w:r>
    </w:p>
    <w:p w14:paraId="2E202CD3">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2.采购代理机构信息</w:t>
      </w:r>
    </w:p>
    <w:p w14:paraId="2AAE023C">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称：广西同盛工程咨询有限公司 </w:t>
      </w:r>
    </w:p>
    <w:p w14:paraId="7CF61EF3">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址：南宁市金凯路26号7楼 </w:t>
      </w:r>
    </w:p>
    <w:p w14:paraId="576CD084">
      <w:pPr>
        <w:spacing w:line="420" w:lineRule="exact"/>
        <w:ind w:firstLine="960" w:firstLineChars="400"/>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rPr>
        <w:t>项目联系人：</w:t>
      </w:r>
      <w:r>
        <w:rPr>
          <w:rFonts w:hint="eastAsia" w:ascii="仿宋" w:hAnsi="仿宋" w:eastAsia="仿宋" w:cs="仿宋"/>
          <w:color w:val="auto"/>
          <w:kern w:val="0"/>
          <w:sz w:val="24"/>
          <w:highlight w:val="none"/>
          <w:lang w:val="en-US" w:eastAsia="zh-CN"/>
        </w:rPr>
        <w:t>钟定、韦文宜、廖洋</w:t>
      </w:r>
    </w:p>
    <w:p w14:paraId="6E12E942">
      <w:pPr>
        <w:spacing w:line="420" w:lineRule="exact"/>
        <w:ind w:firstLine="960" w:firstLineChars="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项目联系方式：0771-3948200</w:t>
      </w:r>
    </w:p>
    <w:p w14:paraId="7C687AB9">
      <w:pPr>
        <w:pStyle w:val="11"/>
        <w:spacing w:line="420" w:lineRule="exact"/>
        <w:rPr>
          <w:rFonts w:hint="eastAsia" w:ascii="仿宋" w:hAnsi="仿宋" w:eastAsia="仿宋" w:cs="仿宋"/>
          <w:color w:val="auto"/>
          <w:sz w:val="24"/>
          <w:highlight w:val="none"/>
        </w:rPr>
      </w:pPr>
    </w:p>
    <w:p w14:paraId="0DFDEF24">
      <w:pPr>
        <w:pStyle w:val="11"/>
        <w:spacing w:line="420" w:lineRule="exact"/>
        <w:ind w:firstLine="480" w:firstLineChars="200"/>
        <w:rPr>
          <w:rFonts w:hint="eastAsia" w:ascii="仿宋" w:hAnsi="仿宋" w:eastAsia="仿宋" w:cs="仿宋"/>
          <w:color w:val="auto"/>
          <w:sz w:val="24"/>
          <w:highlight w:val="none"/>
        </w:rPr>
      </w:pPr>
    </w:p>
    <w:p w14:paraId="6F356E6B">
      <w:pPr>
        <w:spacing w:line="420" w:lineRule="exact"/>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广西同盛工程咨询有限公司 </w:t>
      </w:r>
    </w:p>
    <w:p w14:paraId="127E4701">
      <w:pPr>
        <w:spacing w:line="420" w:lineRule="exact"/>
        <w:ind w:firstLine="480" w:firstLineChars="200"/>
        <w:jc w:val="center"/>
        <w:rPr>
          <w:rFonts w:hint="eastAsia" w:ascii="仿宋" w:hAnsi="仿宋" w:eastAsia="仿宋" w:cs="仿宋"/>
          <w:bCs/>
          <w:color w:val="auto"/>
          <w:szCs w:val="21"/>
          <w:highlight w:val="none"/>
          <w:lang w:eastAsia="zh-CN"/>
        </w:rPr>
      </w:pPr>
      <w:r>
        <w:rPr>
          <w:rFonts w:hint="eastAsia" w:ascii="仿宋" w:hAnsi="仿宋" w:eastAsia="仿宋" w:cs="仿宋"/>
          <w:bCs/>
          <w:color w:val="auto"/>
          <w:sz w:val="24"/>
          <w:highlight w:val="none"/>
        </w:rPr>
        <w:t xml:space="preserve">                                                      </w:t>
      </w:r>
      <w:r>
        <w:rPr>
          <w:rFonts w:hint="eastAsia" w:ascii="仿宋" w:hAnsi="仿宋" w:eastAsia="仿宋" w:cs="仿宋"/>
          <w:bCs/>
          <w:color w:val="auto"/>
          <w:sz w:val="24"/>
          <w:highlight w:val="none"/>
          <w:lang w:eastAsia="zh-CN"/>
        </w:rPr>
        <w:t>2026年</w:t>
      </w:r>
      <w:r>
        <w:rPr>
          <w:rFonts w:hint="eastAsia" w:ascii="仿宋" w:hAnsi="仿宋" w:eastAsia="仿宋" w:cs="仿宋"/>
          <w:bCs/>
          <w:color w:val="auto"/>
          <w:sz w:val="24"/>
          <w:highlight w:val="none"/>
          <w:lang w:val="en-US" w:eastAsia="zh-CN"/>
        </w:rPr>
        <w:t>08</w:t>
      </w:r>
      <w:r>
        <w:rPr>
          <w:rFonts w:hint="eastAsia" w:ascii="仿宋" w:hAnsi="仿宋" w:eastAsia="仿宋" w:cs="仿宋"/>
          <w:bCs/>
          <w:color w:val="auto"/>
          <w:sz w:val="24"/>
          <w:highlight w:val="none"/>
          <w:lang w:eastAsia="zh-CN"/>
        </w:rPr>
        <w:t>月</w:t>
      </w:r>
      <w:r>
        <w:rPr>
          <w:rFonts w:hint="eastAsia" w:ascii="仿宋" w:hAnsi="仿宋" w:eastAsia="仿宋" w:cs="仿宋"/>
          <w:bCs/>
          <w:color w:val="auto"/>
          <w:sz w:val="24"/>
          <w:highlight w:val="none"/>
          <w:lang w:val="en-US" w:eastAsia="zh-CN"/>
        </w:rPr>
        <w:t>04</w:t>
      </w:r>
      <w:r>
        <w:rPr>
          <w:rFonts w:hint="eastAsia" w:ascii="仿宋" w:hAnsi="仿宋" w:eastAsia="仿宋" w:cs="仿宋"/>
          <w:bCs/>
          <w:color w:val="auto"/>
          <w:sz w:val="24"/>
          <w:highlight w:val="none"/>
          <w:lang w:eastAsia="zh-CN"/>
        </w:rPr>
        <w:t>日</w:t>
      </w:r>
    </w:p>
    <w:p w14:paraId="1564C0B4">
      <w:pPr>
        <w:pStyle w:val="2"/>
        <w:spacing w:before="0" w:after="0" w:line="360" w:lineRule="auto"/>
        <w:jc w:val="center"/>
        <w:rPr>
          <w:rFonts w:hint="eastAsia" w:ascii="仿宋" w:hAnsi="仿宋" w:eastAsia="仿宋" w:cs="仿宋"/>
          <w:color w:val="auto"/>
          <w:highlight w:val="none"/>
        </w:rPr>
      </w:pPr>
      <w:r>
        <w:rPr>
          <w:rFonts w:hint="eastAsia" w:ascii="仿宋" w:hAnsi="仿宋" w:eastAsia="仿宋" w:cs="仿宋"/>
          <w:color w:val="auto"/>
          <w:sz w:val="32"/>
          <w:szCs w:val="32"/>
          <w:highlight w:val="none"/>
        </w:rPr>
        <w:br w:type="page"/>
      </w:r>
      <w:bookmarkStart w:id="25" w:name="_Toc32397"/>
      <w:bookmarkStart w:id="26" w:name="_Toc18672"/>
      <w:bookmarkStart w:id="27" w:name="_Toc19911"/>
      <w:r>
        <w:rPr>
          <w:rFonts w:hint="eastAsia" w:ascii="仿宋" w:hAnsi="仿宋" w:eastAsia="仿宋" w:cs="仿宋"/>
          <w:bCs w:val="0"/>
          <w:color w:val="auto"/>
          <w:highlight w:val="none"/>
        </w:rPr>
        <w:t>第二章 采购需求</w:t>
      </w:r>
      <w:bookmarkEnd w:id="25"/>
      <w:bookmarkEnd w:id="26"/>
      <w:bookmarkEnd w:id="27"/>
    </w:p>
    <w:p w14:paraId="345B118B">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w:t>
      </w:r>
    </w:p>
    <w:p w14:paraId="6FBEBF78">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1.为落实政府采购政策需满足的要求</w:t>
      </w:r>
    </w:p>
    <w:p w14:paraId="206505F2">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（1）本竞争性磋商文件所称</w:t>
      </w:r>
      <w:r>
        <w:rPr>
          <w:rFonts w:hint="eastAsia" w:ascii="仿宋" w:hAnsi="仿宋" w:eastAsia="仿宋" w:cs="仿宋"/>
          <w:color w:val="auto"/>
          <w:szCs w:val="21"/>
          <w:highlight w:val="none"/>
          <w:lang w:eastAsia="zh-CN"/>
        </w:rPr>
        <w:t>中小</w:t>
      </w:r>
      <w:r>
        <w:rPr>
          <w:rFonts w:hint="eastAsia" w:ascii="仿宋" w:hAnsi="仿宋" w:eastAsia="仿宋" w:cs="仿宋"/>
          <w:color w:val="auto"/>
          <w:szCs w:val="21"/>
          <w:highlight w:val="none"/>
        </w:rPr>
        <w:t>企业必须符合《政府采购促进中小企业发展管理办法》（财库〔2020〕46号）的规定。</w:t>
      </w:r>
    </w:p>
    <w:p w14:paraId="6E203808">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供应商的竞标货物必须使用政府强制采购的节能产品，供应商必须在响应文件中提供所竞标产品的节能产品认证证书复印件（加盖供应商公章），否则响应文件作无效处理。如本项目包含的货物属于品目清单内非标注“★”的产品时，应优先采购，具体详见“第四章 评标方法及评标标准”。</w:t>
      </w:r>
    </w:p>
    <w:p w14:paraId="639D2A46">
      <w:pPr>
        <w:spacing w:line="360" w:lineRule="auto"/>
        <w:ind w:firstLine="411" w:firstLineChars="196"/>
        <w:rPr>
          <w:rFonts w:hint="eastAsia" w:ascii="仿宋" w:hAnsi="仿宋" w:eastAsia="仿宋" w:cs="仿宋"/>
          <w:color w:val="auto"/>
          <w:szCs w:val="21"/>
          <w:highlight w:val="none"/>
        </w:rPr>
      </w:pPr>
      <w:r>
        <w:rPr>
          <w:rFonts w:hint="eastAsia" w:ascii="仿宋" w:hAnsi="仿宋" w:eastAsia="仿宋" w:cs="仿宋"/>
          <w:color w:val="auto"/>
          <w:szCs w:val="21"/>
          <w:highlight w:val="none"/>
        </w:rPr>
        <w:t>2.“实质性要求”是指采购需求中带“▲”的条款或者不能负偏离的条款或者已经指明不满足按响应文件作无效处理的条款。</w:t>
      </w:r>
    </w:p>
    <w:p w14:paraId="0D8A4408">
      <w:pPr>
        <w:spacing w:line="360" w:lineRule="auto"/>
        <w:ind w:firstLine="411" w:firstLineChars="196"/>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3.不需要供应商对采购需求响应为具体数值的，此采购需求的数值后将以◆号标注。</w:t>
      </w:r>
    </w:p>
    <w:p w14:paraId="25441A90">
      <w:pPr>
        <w:pStyle w:val="11"/>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r>
        <w:rPr>
          <w:rFonts w:hint="eastAsia" w:ascii="仿宋" w:hAnsi="仿宋" w:eastAsia="仿宋" w:cs="仿宋"/>
          <w:color w:val="auto"/>
          <w:highlight w:val="none"/>
        </w:rPr>
        <w:t>供应商必须自行为其磋商产品侵犯他人的知识产权或者专利成果的行为承担相应法律责任。</w:t>
      </w:r>
    </w:p>
    <w:p w14:paraId="70A9F3CD">
      <w:pPr>
        <w:pStyle w:val="11"/>
        <w:spacing w:line="360" w:lineRule="auto"/>
        <w:ind w:firstLine="420" w:firstLineChars="200"/>
        <w:rPr>
          <w:rFonts w:hint="eastAsia" w:ascii="仿宋" w:hAnsi="仿宋" w:eastAsia="仿宋" w:cs="仿宋"/>
          <w:b/>
          <w:bCs/>
          <w:color w:val="auto"/>
          <w:sz w:val="24"/>
          <w:highlight w:val="none"/>
        </w:rPr>
      </w:pPr>
      <w:r>
        <w:rPr>
          <w:rFonts w:hint="eastAsia" w:ascii="仿宋" w:hAnsi="仿宋" w:eastAsia="仿宋" w:cs="仿宋"/>
          <w:color w:val="auto"/>
          <w:szCs w:val="21"/>
          <w:highlight w:val="none"/>
        </w:rPr>
        <w:t>5.本项目</w:t>
      </w:r>
      <w:r>
        <w:rPr>
          <w:rFonts w:hint="eastAsia" w:ascii="仿宋" w:hAnsi="仿宋" w:eastAsia="仿宋" w:cs="仿宋"/>
          <w:color w:val="auto"/>
          <w:szCs w:val="21"/>
          <w:highlight w:val="none"/>
          <w:lang w:eastAsia="zh-CN"/>
        </w:rPr>
        <w:t>中小</w:t>
      </w:r>
      <w:r>
        <w:rPr>
          <w:rFonts w:hint="eastAsia" w:ascii="仿宋" w:hAnsi="仿宋" w:eastAsia="仿宋" w:cs="仿宋"/>
          <w:color w:val="auto"/>
          <w:szCs w:val="21"/>
          <w:highlight w:val="none"/>
        </w:rPr>
        <w:t>企业划分标准所属行业名称（行业名称及划分见本章附件2）：建筑业。</w:t>
      </w:r>
    </w:p>
    <w:tbl>
      <w:tblPr>
        <w:tblStyle w:val="28"/>
        <w:tblW w:w="98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2"/>
        <w:gridCol w:w="1547"/>
        <w:gridCol w:w="597"/>
        <w:gridCol w:w="666"/>
        <w:gridCol w:w="3840"/>
        <w:gridCol w:w="1281"/>
        <w:gridCol w:w="1178"/>
      </w:tblGrid>
      <w:tr w14:paraId="2C893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21" w:type="dxa"/>
            <w:gridSpan w:val="7"/>
            <w:tcBorders>
              <w:top w:val="single" w:color="auto" w:sz="4" w:space="0"/>
              <w:left w:val="single" w:color="auto" w:sz="4" w:space="0"/>
              <w:right w:val="single" w:color="auto" w:sz="4" w:space="0"/>
            </w:tcBorders>
            <w:noWrap w:val="0"/>
            <w:vAlign w:val="center"/>
          </w:tcPr>
          <w:p w14:paraId="0ED8464D">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 w:val="24"/>
                <w:szCs w:val="24"/>
                <w:highlight w:val="none"/>
              </w:rPr>
              <w:t>采购需求一览表</w:t>
            </w:r>
          </w:p>
        </w:tc>
      </w:tr>
      <w:tr w14:paraId="2369F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259" w:type="dxa"/>
            <w:gridSpan w:val="2"/>
            <w:tcBorders>
              <w:top w:val="single" w:color="auto" w:sz="4" w:space="0"/>
              <w:left w:val="single" w:color="auto" w:sz="4" w:space="0"/>
              <w:right w:val="single" w:color="auto" w:sz="4" w:space="0"/>
            </w:tcBorders>
            <w:noWrap w:val="0"/>
            <w:vAlign w:val="center"/>
          </w:tcPr>
          <w:p w14:paraId="06F7430B">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分标</w:t>
            </w:r>
          </w:p>
        </w:tc>
        <w:tc>
          <w:tcPr>
            <w:tcW w:w="7562" w:type="dxa"/>
            <w:gridSpan w:val="5"/>
            <w:tcBorders>
              <w:top w:val="single" w:color="auto" w:sz="4" w:space="0"/>
              <w:left w:val="single" w:color="auto" w:sz="4" w:space="0"/>
              <w:right w:val="single" w:color="auto" w:sz="4" w:space="0"/>
            </w:tcBorders>
            <w:noWrap w:val="0"/>
            <w:vAlign w:val="center"/>
          </w:tcPr>
          <w:p w14:paraId="6833DC46">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w:t>
            </w:r>
          </w:p>
        </w:tc>
      </w:tr>
      <w:tr w14:paraId="4432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12" w:type="dxa"/>
            <w:tcBorders>
              <w:top w:val="single" w:color="auto" w:sz="4" w:space="0"/>
              <w:left w:val="single" w:color="auto" w:sz="4" w:space="0"/>
              <w:bottom w:val="single" w:color="auto" w:sz="4" w:space="0"/>
              <w:right w:val="single" w:color="auto" w:sz="4" w:space="0"/>
            </w:tcBorders>
            <w:noWrap w:val="0"/>
            <w:vAlign w:val="center"/>
          </w:tcPr>
          <w:p w14:paraId="1623D19C">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序号</w:t>
            </w:r>
          </w:p>
        </w:tc>
        <w:tc>
          <w:tcPr>
            <w:tcW w:w="154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B4BA32">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标的名称</w:t>
            </w:r>
          </w:p>
        </w:tc>
        <w:tc>
          <w:tcPr>
            <w:tcW w:w="597" w:type="dxa"/>
            <w:tcBorders>
              <w:top w:val="single" w:color="auto" w:sz="4" w:space="0"/>
              <w:left w:val="single" w:color="auto" w:sz="4" w:space="0"/>
              <w:bottom w:val="single" w:color="auto" w:sz="4" w:space="0"/>
              <w:right w:val="single" w:color="auto" w:sz="4" w:space="0"/>
            </w:tcBorders>
            <w:noWrap w:val="0"/>
            <w:vAlign w:val="center"/>
          </w:tcPr>
          <w:p w14:paraId="11DDAB7A">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数量</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21FA7D43">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单位</w:t>
            </w:r>
          </w:p>
        </w:tc>
        <w:tc>
          <w:tcPr>
            <w:tcW w:w="3840" w:type="dxa"/>
            <w:tcBorders>
              <w:top w:val="single" w:color="auto" w:sz="4" w:space="0"/>
              <w:left w:val="single" w:color="auto" w:sz="4" w:space="0"/>
              <w:bottom w:val="single" w:color="auto" w:sz="4" w:space="0"/>
              <w:right w:val="single" w:color="auto" w:sz="4" w:space="0"/>
            </w:tcBorders>
            <w:noWrap w:val="0"/>
            <w:vAlign w:val="center"/>
          </w:tcPr>
          <w:p w14:paraId="111718E0">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项目要求</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262E830">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最高限价（元）</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FE7C1E5">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中小</w:t>
            </w:r>
            <w:r>
              <w:rPr>
                <w:rFonts w:hint="eastAsia" w:ascii="仿宋" w:hAnsi="仿宋" w:eastAsia="仿宋" w:cs="仿宋"/>
                <w:bCs/>
                <w:color w:val="auto"/>
                <w:szCs w:val="21"/>
                <w:highlight w:val="none"/>
              </w:rPr>
              <w:t>企业划分标准所属行业名称</w:t>
            </w:r>
          </w:p>
        </w:tc>
      </w:tr>
      <w:tr w14:paraId="7EAFC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12" w:type="dxa"/>
            <w:tcBorders>
              <w:top w:val="single" w:color="auto" w:sz="4" w:space="0"/>
              <w:left w:val="single" w:color="auto" w:sz="4" w:space="0"/>
              <w:bottom w:val="single" w:color="auto" w:sz="4" w:space="0"/>
              <w:right w:val="single" w:color="auto" w:sz="4" w:space="0"/>
            </w:tcBorders>
            <w:noWrap w:val="0"/>
            <w:vAlign w:val="center"/>
          </w:tcPr>
          <w:p w14:paraId="590B5301">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p>
        </w:tc>
        <w:tc>
          <w:tcPr>
            <w:tcW w:w="1547" w:type="dxa"/>
            <w:tcBorders>
              <w:top w:val="single" w:color="auto" w:sz="4" w:space="0"/>
              <w:left w:val="single" w:color="auto" w:sz="4" w:space="0"/>
              <w:right w:val="single" w:color="auto" w:sz="4" w:space="0"/>
            </w:tcBorders>
            <w:noWrap w:val="0"/>
            <w:vAlign w:val="center"/>
          </w:tcPr>
          <w:p w14:paraId="6437C4CD">
            <w:pPr>
              <w:spacing w:line="360" w:lineRule="auto"/>
              <w:jc w:val="center"/>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周鹿镇双联村龙勉、龙赖屯至龙卜屯硬化路及安防工程</w:t>
            </w:r>
          </w:p>
        </w:tc>
        <w:tc>
          <w:tcPr>
            <w:tcW w:w="597" w:type="dxa"/>
            <w:tcBorders>
              <w:top w:val="single" w:color="auto" w:sz="4" w:space="0"/>
              <w:left w:val="single" w:color="auto" w:sz="4" w:space="0"/>
              <w:right w:val="single" w:color="auto" w:sz="4" w:space="0"/>
            </w:tcBorders>
            <w:noWrap w:val="0"/>
            <w:vAlign w:val="center"/>
          </w:tcPr>
          <w:p w14:paraId="7D4AD927">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p>
        </w:tc>
        <w:tc>
          <w:tcPr>
            <w:tcW w:w="666" w:type="dxa"/>
            <w:tcBorders>
              <w:top w:val="single" w:color="auto" w:sz="4" w:space="0"/>
              <w:left w:val="single" w:color="auto" w:sz="4" w:space="0"/>
              <w:right w:val="single" w:color="auto" w:sz="4" w:space="0"/>
            </w:tcBorders>
            <w:noWrap w:val="0"/>
            <w:vAlign w:val="center"/>
          </w:tcPr>
          <w:p w14:paraId="462B37A8">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项</w:t>
            </w:r>
          </w:p>
        </w:tc>
        <w:tc>
          <w:tcPr>
            <w:tcW w:w="3840" w:type="dxa"/>
            <w:tcBorders>
              <w:top w:val="single" w:color="auto" w:sz="4" w:space="0"/>
              <w:left w:val="single" w:color="auto" w:sz="4" w:space="0"/>
              <w:right w:val="single" w:color="auto" w:sz="4" w:space="0"/>
            </w:tcBorders>
            <w:noWrap w:val="0"/>
            <w:vAlign w:val="top"/>
          </w:tcPr>
          <w:p w14:paraId="0540E0DD">
            <w:pPr>
              <w:spacing w:line="360" w:lineRule="auto"/>
              <w:jc w:val="both"/>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1</w:t>
            </w:r>
            <w:r>
              <w:rPr>
                <w:rFonts w:hint="eastAsia" w:ascii="仿宋" w:hAnsi="仿宋" w:eastAsia="仿宋" w:cs="仿宋"/>
                <w:bCs/>
                <w:color w:val="auto"/>
                <w:szCs w:val="21"/>
                <w:highlight w:val="none"/>
              </w:rPr>
              <w:t>、项目建设规模：</w:t>
            </w:r>
            <w:r>
              <w:rPr>
                <w:rFonts w:hint="eastAsia" w:ascii="仿宋" w:hAnsi="仿宋" w:eastAsia="仿宋" w:cs="仿宋"/>
                <w:bCs/>
                <w:color w:val="auto"/>
                <w:szCs w:val="21"/>
                <w:highlight w:val="none"/>
                <w:lang w:eastAsia="zh-CN"/>
              </w:rPr>
              <w:t>路拱修整7236㎡，整修边坡1.608km，挖石方4893m³，填方路基243m³，M7.5浆砌片石86m³，10cm厚级配碎石基层6546㎡，18cm厚水泥混凝土路面5742㎡，1-φ0.5米单孔钢筋混凝土圆管涵28米/4道，波形梁钢护栏1748米，单柱式交通标志10个，减速振动标线100.8㎡，路基4.5米，路面3.5米，路线总长2.495km，硬化长度1.608km。</w:t>
            </w:r>
            <w:r>
              <w:rPr>
                <w:rFonts w:hint="eastAsia" w:ascii="仿宋" w:hAnsi="仿宋" w:eastAsia="仿宋" w:cs="仿宋"/>
                <w:bCs/>
                <w:color w:val="auto"/>
                <w:szCs w:val="21"/>
                <w:highlight w:val="none"/>
              </w:rPr>
              <w:t>具体内容详见施工图纸及工程量清单。</w:t>
            </w:r>
          </w:p>
          <w:p w14:paraId="1F67B627">
            <w:pP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2</w:t>
            </w:r>
            <w:r>
              <w:rPr>
                <w:rFonts w:hint="eastAsia" w:ascii="仿宋" w:hAnsi="仿宋" w:eastAsia="仿宋" w:cs="仿宋"/>
                <w:bCs/>
                <w:color w:val="auto"/>
                <w:szCs w:val="21"/>
                <w:highlight w:val="none"/>
              </w:rPr>
              <w:t>、建设地点：南宁市马山县周鹿镇</w:t>
            </w:r>
            <w:r>
              <w:rPr>
                <w:rFonts w:hint="eastAsia" w:ascii="仿宋" w:hAnsi="仿宋" w:eastAsia="仿宋" w:cs="仿宋"/>
                <w:bCs/>
                <w:color w:val="auto"/>
                <w:szCs w:val="21"/>
                <w:highlight w:val="none"/>
                <w:lang w:eastAsia="zh-CN"/>
              </w:rPr>
              <w:t>。</w:t>
            </w:r>
          </w:p>
          <w:p w14:paraId="2EC62383">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、施工范围：</w:t>
            </w:r>
            <w:r>
              <w:rPr>
                <w:rFonts w:hint="eastAsia" w:ascii="仿宋" w:hAnsi="仿宋" w:eastAsia="仿宋" w:cs="仿宋"/>
                <w:bCs/>
                <w:color w:val="auto"/>
                <w:szCs w:val="21"/>
                <w:highlight w:val="none"/>
                <w:lang w:eastAsia="zh-CN"/>
              </w:rPr>
              <w:t>周鹿镇双联村龙勉、龙赖屯至龙卜屯硬化路及安防工程</w:t>
            </w:r>
            <w:r>
              <w:rPr>
                <w:rFonts w:hint="eastAsia" w:ascii="仿宋" w:hAnsi="仿宋" w:eastAsia="仿宋" w:cs="仿宋"/>
                <w:bCs/>
                <w:color w:val="auto"/>
                <w:szCs w:val="21"/>
                <w:highlight w:val="none"/>
              </w:rPr>
              <w:t>，按照施工图纸及工程量清单完成施工。</w:t>
            </w:r>
          </w:p>
          <w:p w14:paraId="45EFBF6B">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4</w:t>
            </w:r>
            <w:r>
              <w:rPr>
                <w:rFonts w:hint="eastAsia" w:ascii="仿宋" w:hAnsi="仿宋" w:eastAsia="仿宋" w:cs="仿宋"/>
                <w:bCs/>
                <w:color w:val="auto"/>
                <w:szCs w:val="21"/>
                <w:highlight w:val="none"/>
              </w:rPr>
              <w:t>、工程建设地点的现场条件：</w:t>
            </w:r>
          </w:p>
          <w:p w14:paraId="15626AD0">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（1）现场自然条件：满足施工要求。</w:t>
            </w:r>
          </w:p>
          <w:p w14:paraId="6FCAB36B">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（2）现场施工条件：符合施工要求。</w:t>
            </w:r>
          </w:p>
          <w:p w14:paraId="76BB0F25">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w:t>
            </w:r>
            <w:r>
              <w:rPr>
                <w:rFonts w:hint="eastAsia" w:ascii="仿宋" w:hAnsi="仿宋" w:eastAsia="仿宋" w:cs="仿宋"/>
                <w:bCs/>
                <w:color w:val="auto"/>
                <w:szCs w:val="21"/>
                <w:highlight w:val="none"/>
                <w:lang w:val="en-US" w:eastAsia="zh-CN"/>
              </w:rPr>
              <w:t>5</w:t>
            </w:r>
            <w:r>
              <w:rPr>
                <w:rFonts w:hint="eastAsia" w:ascii="仿宋" w:hAnsi="仿宋" w:eastAsia="仿宋" w:cs="仿宋"/>
                <w:bCs/>
                <w:color w:val="auto"/>
                <w:szCs w:val="21"/>
                <w:highlight w:val="none"/>
              </w:rPr>
              <w:t>、项目管理机构配备最低要求：</w:t>
            </w:r>
          </w:p>
          <w:p w14:paraId="5F5AF71B">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本项目管理机构配备人员至少为6人，其中：</w:t>
            </w:r>
          </w:p>
          <w:p w14:paraId="2C8D668B">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（1）项目经理1名，具有</w:t>
            </w:r>
            <w:r>
              <w:rPr>
                <w:rFonts w:hint="eastAsia" w:ascii="仿宋" w:hAnsi="仿宋" w:eastAsia="仿宋" w:cs="仿宋"/>
                <w:bCs/>
                <w:color w:val="auto"/>
                <w:szCs w:val="21"/>
                <w:highlight w:val="none"/>
                <w:lang w:eastAsia="zh-CN"/>
              </w:rPr>
              <w:t>公路工程贰级（含贰级）</w:t>
            </w:r>
            <w:r>
              <w:rPr>
                <w:rFonts w:hint="eastAsia" w:ascii="仿宋" w:hAnsi="仿宋" w:eastAsia="仿宋" w:cs="仿宋"/>
                <w:bCs/>
                <w:color w:val="auto"/>
                <w:szCs w:val="21"/>
                <w:highlight w:val="none"/>
              </w:rPr>
              <w:t>以上注册建造师执业资格，并具备有效的安全生产考核合格证书（B类）。</w:t>
            </w:r>
          </w:p>
          <w:p w14:paraId="097BA0B7">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（2）技术负责人1名，具有工程类中级以上（含中级）职称。</w:t>
            </w:r>
          </w:p>
          <w:p w14:paraId="62A2CBF7">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（3）施工员1名、质检（量）员1名、安全员1名、材料员1名，其中施工员、质检（量）员、安全员、材料员必需持证上岗且</w:t>
            </w:r>
            <w:r>
              <w:rPr>
                <w:rFonts w:hint="eastAsia" w:ascii="仿宋" w:hAnsi="仿宋" w:eastAsia="仿宋" w:cs="仿宋"/>
                <w:bCs/>
                <w:color w:val="auto"/>
                <w:szCs w:val="21"/>
                <w:highlight w:val="none"/>
                <w:lang w:eastAsia="zh-CN"/>
              </w:rPr>
              <w:t>在有效期内</w:t>
            </w:r>
            <w:r>
              <w:rPr>
                <w:rFonts w:hint="eastAsia" w:ascii="仿宋" w:hAnsi="仿宋" w:eastAsia="仿宋" w:cs="仿宋"/>
                <w:bCs/>
                <w:color w:val="auto"/>
                <w:szCs w:val="21"/>
                <w:highlight w:val="none"/>
              </w:rPr>
              <w:t>，安全员必须具有安全生产考核合格证书（C类）且在有效期内。</w:t>
            </w:r>
          </w:p>
          <w:p w14:paraId="176CFD32">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（4）以上拟投入人员均需提供供应商为其依法缴纳社会保险证明材料（</w:t>
            </w:r>
            <w:r>
              <w:rPr>
                <w:rFonts w:hint="eastAsia" w:ascii="仿宋" w:hAnsi="仿宋" w:eastAsia="仿宋" w:cs="仿宋"/>
                <w:bCs/>
                <w:color w:val="auto"/>
                <w:szCs w:val="21"/>
                <w:highlight w:val="none"/>
                <w:lang w:eastAsia="zh-CN"/>
              </w:rPr>
              <w:t>响应截止之日前半年</w:t>
            </w:r>
            <w:r>
              <w:rPr>
                <w:rFonts w:hint="eastAsia" w:ascii="仿宋" w:hAnsi="仿宋" w:eastAsia="仿宋" w:cs="仿宋"/>
                <w:bCs/>
                <w:color w:val="auto"/>
                <w:szCs w:val="21"/>
                <w:highlight w:val="none"/>
              </w:rPr>
              <w:t>内任意</w:t>
            </w:r>
            <w:r>
              <w:rPr>
                <w:rFonts w:hint="eastAsia" w:ascii="仿宋" w:hAnsi="仿宋" w:eastAsia="仿宋" w:cs="仿宋"/>
                <w:bCs/>
                <w:color w:val="auto"/>
                <w:szCs w:val="21"/>
                <w:highlight w:val="none"/>
                <w:lang w:val="en-US" w:eastAsia="zh-CN"/>
              </w:rPr>
              <w:t>1</w:t>
            </w:r>
            <w:r>
              <w:rPr>
                <w:rFonts w:hint="eastAsia" w:ascii="仿宋" w:hAnsi="仿宋" w:eastAsia="仿宋" w:cs="仿宋"/>
                <w:bCs/>
                <w:color w:val="auto"/>
                <w:szCs w:val="21"/>
                <w:highlight w:val="none"/>
              </w:rPr>
              <w:t>个月）。</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E35C06D">
            <w:pPr>
              <w:spacing w:line="360" w:lineRule="auto"/>
              <w:jc w:val="center"/>
              <w:rPr>
                <w:rFonts w:hint="eastAsia" w:ascii="仿宋" w:hAnsi="仿宋" w:eastAsia="仿宋" w:cs="仿宋"/>
                <w:bCs/>
                <w:color w:val="auto"/>
                <w:szCs w:val="21"/>
                <w:highlight w:val="none"/>
                <w:lang w:eastAsia="zh-CN"/>
              </w:rPr>
            </w:pPr>
            <w:r>
              <w:rPr>
                <w:rFonts w:hint="eastAsia" w:ascii="仿宋" w:hAnsi="仿宋" w:eastAsia="仿宋" w:cs="仿宋"/>
                <w:color w:val="auto"/>
                <w:sz w:val="21"/>
                <w:szCs w:val="21"/>
                <w:highlight w:val="none"/>
                <w:lang w:eastAsia="zh-CN"/>
              </w:rPr>
              <w:t>1492053.00</w:t>
            </w:r>
          </w:p>
        </w:tc>
        <w:tc>
          <w:tcPr>
            <w:tcW w:w="1178" w:type="dxa"/>
            <w:tcBorders>
              <w:top w:val="single" w:color="auto" w:sz="4" w:space="0"/>
              <w:left w:val="single" w:color="auto" w:sz="4" w:space="0"/>
              <w:right w:val="single" w:color="auto" w:sz="4" w:space="0"/>
            </w:tcBorders>
            <w:noWrap w:val="0"/>
            <w:vAlign w:val="center"/>
          </w:tcPr>
          <w:p w14:paraId="36D6BEE5">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建筑业</w:t>
            </w:r>
          </w:p>
        </w:tc>
      </w:tr>
      <w:tr w14:paraId="08B3F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12" w:type="dxa"/>
            <w:tcBorders>
              <w:top w:val="single" w:color="auto" w:sz="4" w:space="0"/>
              <w:left w:val="single" w:color="auto" w:sz="4" w:space="0"/>
              <w:bottom w:val="single" w:color="auto" w:sz="4" w:space="0"/>
              <w:right w:val="single" w:color="auto" w:sz="4" w:space="0"/>
            </w:tcBorders>
            <w:noWrap w:val="0"/>
            <w:vAlign w:val="center"/>
          </w:tcPr>
          <w:p w14:paraId="285F9502">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商务条款</w:t>
            </w:r>
          </w:p>
        </w:tc>
        <w:tc>
          <w:tcPr>
            <w:tcW w:w="9109" w:type="dxa"/>
            <w:gridSpan w:val="6"/>
            <w:tcBorders>
              <w:top w:val="single" w:color="auto" w:sz="4" w:space="0"/>
              <w:left w:val="single" w:color="auto" w:sz="4" w:space="0"/>
              <w:bottom w:val="single" w:color="auto" w:sz="4" w:space="0"/>
              <w:right w:val="single" w:color="auto" w:sz="4" w:space="0"/>
            </w:tcBorders>
            <w:noWrap w:val="0"/>
            <w:vAlign w:val="center"/>
          </w:tcPr>
          <w:p w14:paraId="02339998">
            <w:pPr>
              <w:spacing w:line="360" w:lineRule="auto"/>
              <w:rPr>
                <w:rFonts w:hint="eastAsia" w:ascii="仿宋" w:hAnsi="仿宋" w:eastAsia="仿宋" w:cs="仿宋"/>
                <w:bCs/>
                <w:color w:val="auto"/>
                <w:szCs w:val="21"/>
                <w:highlight w:val="none"/>
              </w:rPr>
            </w:pPr>
            <w:bookmarkStart w:id="28" w:name="_top"/>
            <w:bookmarkEnd w:id="28"/>
            <w:r>
              <w:rPr>
                <w:rFonts w:hint="eastAsia" w:ascii="仿宋" w:hAnsi="仿宋" w:eastAsia="仿宋" w:cs="仿宋"/>
                <w:bCs/>
                <w:color w:val="auto"/>
                <w:szCs w:val="21"/>
                <w:highlight w:val="none"/>
              </w:rPr>
              <w:t>一、合同签订期：自成交通知书发出之日起2</w:t>
            </w:r>
            <w:r>
              <w:rPr>
                <w:rFonts w:hint="eastAsia" w:ascii="仿宋" w:hAnsi="仿宋" w:eastAsia="仿宋" w:cs="仿宋"/>
                <w:bCs/>
                <w:color w:val="auto"/>
                <w:szCs w:val="21"/>
                <w:highlight w:val="none"/>
                <w:lang w:val="en-US" w:eastAsia="zh-CN"/>
              </w:rPr>
              <w:t>5</w:t>
            </w:r>
            <w:r>
              <w:rPr>
                <w:rFonts w:hint="eastAsia" w:ascii="仿宋" w:hAnsi="仿宋" w:eastAsia="仿宋" w:cs="仿宋"/>
                <w:bCs/>
                <w:color w:val="auto"/>
                <w:szCs w:val="21"/>
                <w:highlight w:val="none"/>
              </w:rPr>
              <w:t>日内。</w:t>
            </w:r>
          </w:p>
          <w:p w14:paraId="6DFE46A0">
            <w:pPr>
              <w:shd w:val="clea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▲二、合同履行期限</w:t>
            </w:r>
            <w:r>
              <w:rPr>
                <w:rFonts w:hint="eastAsia" w:ascii="仿宋" w:hAnsi="仿宋" w:eastAsia="仿宋" w:cs="仿宋"/>
                <w:bCs/>
                <w:color w:val="auto"/>
                <w:szCs w:val="21"/>
                <w:highlight w:val="none"/>
                <w:lang w:eastAsia="zh-CN"/>
              </w:rPr>
              <w:t>（施工工期）</w:t>
            </w:r>
            <w:r>
              <w:rPr>
                <w:rFonts w:hint="eastAsia" w:ascii="仿宋" w:hAnsi="仿宋" w:eastAsia="仿宋" w:cs="仿宋"/>
                <w:bCs/>
                <w:color w:val="auto"/>
                <w:szCs w:val="21"/>
                <w:highlight w:val="none"/>
              </w:rPr>
              <w:t>：</w:t>
            </w:r>
            <w:r>
              <w:rPr>
                <w:rFonts w:hint="eastAsia" w:ascii="仿宋" w:hAnsi="仿宋" w:eastAsia="仿宋" w:cs="仿宋"/>
                <w:bCs/>
                <w:color w:val="auto"/>
                <w:szCs w:val="21"/>
                <w:highlight w:val="none"/>
                <w:lang w:eastAsia="zh-CN"/>
              </w:rPr>
              <w:t>施工工期90日历天。</w:t>
            </w:r>
          </w:p>
          <w:p w14:paraId="5C1BBD90">
            <w:pPr>
              <w:shd w:val="clear"/>
              <w:spacing w:line="360" w:lineRule="auto"/>
              <w:rPr>
                <w:rFonts w:hint="eastAsia" w:ascii="方正仿宋_GB2312" w:hAnsi="方正仿宋_GB2312" w:eastAsia="方正仿宋_GB2312" w:cs="方正仿宋_GB2312"/>
                <w:bCs/>
                <w:color w:val="auto"/>
                <w:szCs w:val="21"/>
                <w:highlight w:val="none"/>
                <w:u w:val="none"/>
              </w:rPr>
            </w:pPr>
            <w:r>
              <w:rPr>
                <w:rFonts w:hint="eastAsia" w:ascii="方正仿宋_GB2312" w:hAnsi="方正仿宋_GB2312" w:eastAsia="方正仿宋_GB2312" w:cs="方正仿宋_GB2312"/>
                <w:bCs/>
                <w:color w:val="auto"/>
                <w:szCs w:val="21"/>
                <w:highlight w:val="none"/>
              </w:rPr>
              <w:t>▲三、验收标准、规范：</w:t>
            </w:r>
            <w:r>
              <w:rPr>
                <w:rFonts w:hint="eastAsia" w:ascii="方正仿宋_GB2312" w:hAnsi="方正仿宋_GB2312" w:eastAsia="方正仿宋_GB2312" w:cs="方正仿宋_GB2312"/>
                <w:bCs/>
                <w:color w:val="auto"/>
                <w:szCs w:val="21"/>
                <w:highlight w:val="none"/>
                <w:u w:val="none"/>
              </w:rPr>
              <w:t>达到国家施工验收规范合格标准。</w:t>
            </w:r>
          </w:p>
          <w:p w14:paraId="35B94BF1">
            <w:pPr>
              <w:shd w:val="clear"/>
              <w:spacing w:line="360" w:lineRule="auto"/>
              <w:rPr>
                <w:rFonts w:hint="eastAsia" w:ascii="方正仿宋_GB2312" w:hAnsi="方正仿宋_GB2312" w:eastAsia="方正仿宋_GB2312" w:cs="方正仿宋_GB2312"/>
                <w:bCs/>
                <w:color w:val="auto"/>
                <w:szCs w:val="21"/>
                <w:highlight w:val="none"/>
                <w:lang w:val="en-US" w:eastAsia="zh-CN"/>
              </w:rPr>
            </w:pPr>
            <w:r>
              <w:rPr>
                <w:rFonts w:hint="eastAsia" w:ascii="方正仿宋_GB2312" w:hAnsi="方正仿宋_GB2312" w:eastAsia="方正仿宋_GB2312" w:cs="方正仿宋_GB2312"/>
                <w:bCs/>
                <w:color w:val="auto"/>
                <w:szCs w:val="21"/>
                <w:highlight w:val="none"/>
              </w:rPr>
              <w:t>▲四、工程质量保修期：</w:t>
            </w:r>
            <w:r>
              <w:rPr>
                <w:rFonts w:hint="eastAsia" w:ascii="方正仿宋_GB2312" w:hAnsi="方正仿宋_GB2312" w:eastAsia="方正仿宋_GB2312" w:cs="方正仿宋_GB2312"/>
                <w:bCs/>
                <w:color w:val="auto"/>
                <w:szCs w:val="21"/>
                <w:highlight w:val="none"/>
                <w:shd w:val="clear"/>
                <w:lang w:eastAsia="zh-CN"/>
              </w:rPr>
              <w:t>自工程交工验收认定为合格工程之日起计时1年。</w:t>
            </w:r>
          </w:p>
          <w:p w14:paraId="252C8E7D">
            <w:pPr>
              <w:shd w:val="clea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五</w:t>
            </w:r>
            <w:r>
              <w:rPr>
                <w:rFonts w:hint="eastAsia" w:ascii="仿宋" w:hAnsi="仿宋" w:eastAsia="仿宋" w:cs="仿宋"/>
                <w:bCs/>
                <w:color w:val="auto"/>
                <w:szCs w:val="21"/>
                <w:highlight w:val="none"/>
                <w:lang w:eastAsia="zh-CN"/>
              </w:rPr>
              <w:t>、付款、支付方式</w:t>
            </w:r>
          </w:p>
          <w:p w14:paraId="31D16439">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（1）预付款：预付款为签约合同总额的30%，发包人与承包人签订施工合同且工程项目在实质性动工后，承包人可申请30%合同款价作为工程预付款。</w:t>
            </w:r>
          </w:p>
          <w:p w14:paraId="48FEABF5">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（2）进度款：按工程进度支付并抵扣预付款。工程</w:t>
            </w:r>
            <w:r>
              <w:rPr>
                <w:rFonts w:hint="eastAsia" w:ascii="仿宋" w:hAnsi="仿宋" w:eastAsia="仿宋" w:cs="仿宋"/>
                <w:bCs/>
                <w:color w:val="auto"/>
                <w:szCs w:val="21"/>
                <w:highlight w:val="none"/>
                <w:lang w:eastAsia="zh-CN"/>
              </w:rPr>
              <w:t>竣工</w:t>
            </w:r>
            <w:r>
              <w:rPr>
                <w:rFonts w:hint="eastAsia" w:ascii="仿宋" w:hAnsi="仿宋" w:eastAsia="仿宋" w:cs="仿宋"/>
                <w:bCs/>
                <w:color w:val="auto"/>
                <w:szCs w:val="21"/>
                <w:highlight w:val="none"/>
              </w:rPr>
              <w:t>验收合格后可拨付至合同价总额的90%（预付及按进度拨付的资金总额不超过合同价总额的90%）。</w:t>
            </w:r>
          </w:p>
          <w:p w14:paraId="6D17BA41">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（3）尾款：工程</w:t>
            </w:r>
            <w:r>
              <w:rPr>
                <w:rFonts w:hint="eastAsia" w:ascii="仿宋" w:hAnsi="仿宋" w:eastAsia="仿宋" w:cs="仿宋"/>
                <w:bCs/>
                <w:color w:val="auto"/>
                <w:szCs w:val="21"/>
                <w:highlight w:val="none"/>
                <w:lang w:eastAsia="zh-CN"/>
              </w:rPr>
              <w:t>竣工</w:t>
            </w:r>
            <w:r>
              <w:rPr>
                <w:rFonts w:hint="eastAsia" w:ascii="仿宋" w:hAnsi="仿宋" w:eastAsia="仿宋" w:cs="仿宋"/>
                <w:bCs/>
                <w:color w:val="auto"/>
                <w:szCs w:val="21"/>
                <w:highlight w:val="none"/>
              </w:rPr>
              <w:t>验收合格且工程价款结算经有关部门审定后，工程款支付至结算审定总价的97%（含已支付的预付款、进度款）。若承包人将工程质量保修金（结算审定总价的3%）存入发包人指定账户（户名：马山县财政国库支付管理中心，账号：20-044101040005567，开户行：农行马山县支行营业室），发包人则按结算审定总价全额支付工程款。</w:t>
            </w:r>
          </w:p>
          <w:p w14:paraId="4251512A">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（4）质保金：工程质量保修期满，发包人复验工程无质量问题后，签发工程缺陷责任期终止证书并退还承包方缴存的质保金（无息）。</w:t>
            </w:r>
          </w:p>
          <w:p w14:paraId="44A39458">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（5）支付方式：银行转账支付</w:t>
            </w:r>
          </w:p>
          <w:p w14:paraId="65F56ED5">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w:t>
            </w:r>
            <w:r>
              <w:rPr>
                <w:rFonts w:hint="eastAsia" w:ascii="仿宋" w:hAnsi="仿宋" w:eastAsia="仿宋" w:cs="仿宋"/>
                <w:bCs/>
                <w:color w:val="auto"/>
                <w:szCs w:val="21"/>
                <w:highlight w:val="none"/>
                <w:lang w:val="en-US" w:eastAsia="zh-CN"/>
              </w:rPr>
              <w:t>六</w:t>
            </w:r>
            <w:r>
              <w:rPr>
                <w:rFonts w:hint="eastAsia" w:ascii="仿宋" w:hAnsi="仿宋" w:eastAsia="仿宋" w:cs="仿宋"/>
                <w:bCs/>
                <w:color w:val="auto"/>
                <w:szCs w:val="21"/>
                <w:highlight w:val="none"/>
              </w:rPr>
              <w:t>、近3年内供应商及其法定代表人、项目经理不得有行贿犯罪行为。（须提供加盖电子公章的承诺书）</w:t>
            </w:r>
          </w:p>
          <w:p w14:paraId="1FB2B9F1">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w:t>
            </w:r>
            <w:r>
              <w:rPr>
                <w:rFonts w:hint="eastAsia" w:ascii="仿宋" w:hAnsi="仿宋" w:eastAsia="仿宋" w:cs="仿宋"/>
                <w:bCs/>
                <w:color w:val="auto"/>
                <w:szCs w:val="21"/>
                <w:highlight w:val="none"/>
                <w:lang w:eastAsia="zh-CN"/>
              </w:rPr>
              <w:t>八</w:t>
            </w:r>
            <w:r>
              <w:rPr>
                <w:rFonts w:hint="eastAsia" w:ascii="仿宋" w:hAnsi="仿宋" w:eastAsia="仿宋" w:cs="仿宋"/>
                <w:bCs/>
                <w:color w:val="auto"/>
                <w:szCs w:val="21"/>
                <w:highlight w:val="none"/>
              </w:rPr>
              <w:t>、其他</w:t>
            </w:r>
          </w:p>
          <w:p w14:paraId="186A2ED4">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报价方式：采用工程量清单报价方式，投标报价不得高于最高限价，否则竞标无效。报价必须包含为完成本次施工项目全部采购需求所应实施的全部内容，以及所需的工程材料和设备（如有）的价格；包含施工劳务、工程材料、施工机械使用费，以及运输（含保险）、现场安装（如有）、调试、检验、技术服务、培训、税费等所有费用。</w:t>
            </w:r>
          </w:p>
          <w:p w14:paraId="0DF98A84">
            <w:pPr>
              <w:spacing w:line="360" w:lineRule="auto"/>
              <w:jc w:val="left"/>
              <w:rPr>
                <w:rFonts w:hint="eastAsia" w:ascii="仿宋" w:hAnsi="仿宋" w:eastAsia="仿宋" w:cs="仿宋"/>
                <w:bCs/>
                <w:color w:val="auto"/>
                <w:szCs w:val="21"/>
                <w:highlight w:val="none"/>
              </w:rPr>
            </w:pPr>
            <w:r>
              <w:rPr>
                <w:rFonts w:hint="eastAsia" w:ascii="仿宋" w:hAnsi="仿宋" w:eastAsia="仿宋" w:cs="仿宋"/>
                <w:b/>
                <w:bCs w:val="0"/>
                <w:color w:val="auto"/>
                <w:szCs w:val="21"/>
                <w:highlight w:val="none"/>
              </w:rPr>
              <w:t>本项目采用二次报价方式，竞标人的最终报价如有变动，则必须以工程量清单报价表的格式编制提交，竞标人须提前做好相关准备并按时递交最终报价文件，否则报价无效。</w:t>
            </w:r>
          </w:p>
          <w:p w14:paraId="3F865262">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（2）发包方式：包工包料。</w:t>
            </w:r>
            <w:r>
              <w:rPr>
                <w:rFonts w:hint="eastAsia" w:ascii="仿宋" w:hAnsi="仿宋" w:eastAsia="仿宋" w:cs="仿宋"/>
                <w:b w:val="0"/>
                <w:bCs/>
                <w:color w:val="auto"/>
                <w:szCs w:val="21"/>
                <w:highlight w:val="none"/>
              </w:rPr>
              <w:t>承包方必须严格按照工程设计要求和技术标准完成合同工程量，不得擅自增减施工工程量，不得偷工减料。经过充分认证后确需增减工程量的，须有项目所在地村委签认的受益群众申请材料，并经发包单位、设计单位及监理单位审批会签后方可增减，并作为审计结算的依据。如无获批准的签证导致工程造价增加的，只能按合同内工程量进行审计结算。合同内、合同外的工程量及造价均以财政或审计部门审定后的造价为准。</w:t>
            </w:r>
          </w:p>
        </w:tc>
      </w:tr>
      <w:tr w14:paraId="2E16F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12" w:type="dxa"/>
            <w:tcBorders>
              <w:top w:val="single" w:color="auto" w:sz="4" w:space="0"/>
              <w:left w:val="single" w:color="auto" w:sz="4" w:space="0"/>
              <w:bottom w:val="single" w:color="auto" w:sz="4" w:space="0"/>
              <w:right w:val="single" w:color="auto" w:sz="4" w:space="0"/>
            </w:tcBorders>
            <w:noWrap w:val="0"/>
            <w:vAlign w:val="center"/>
          </w:tcPr>
          <w:p w14:paraId="2084CC47">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其他说明</w:t>
            </w:r>
          </w:p>
        </w:tc>
        <w:tc>
          <w:tcPr>
            <w:tcW w:w="9109" w:type="dxa"/>
            <w:gridSpan w:val="6"/>
            <w:tcBorders>
              <w:top w:val="single" w:color="auto" w:sz="4" w:space="0"/>
              <w:left w:val="single" w:color="auto" w:sz="4" w:space="0"/>
              <w:bottom w:val="single" w:color="auto" w:sz="4" w:space="0"/>
              <w:right w:val="single" w:color="auto" w:sz="4" w:space="0"/>
            </w:tcBorders>
            <w:noWrap w:val="0"/>
            <w:vAlign w:val="center"/>
          </w:tcPr>
          <w:p w14:paraId="17154A4F">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一、进口产品说明</w:t>
            </w:r>
          </w:p>
          <w:p w14:paraId="4AE852F0">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本项目不涉及进口产品。</w:t>
            </w:r>
          </w:p>
          <w:p w14:paraId="4EA4328D">
            <w:pPr>
              <w:spacing w:line="360" w:lineRule="auto"/>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二、其他：具备响应资格的磋商供应商</w:t>
            </w:r>
            <w:r>
              <w:rPr>
                <w:rFonts w:hint="eastAsia" w:ascii="仿宋" w:hAnsi="仿宋" w:eastAsia="仿宋" w:cs="仿宋"/>
                <w:bCs/>
                <w:color w:val="auto"/>
                <w:szCs w:val="21"/>
                <w:highlight w:val="none"/>
                <w:lang w:val="en-US" w:eastAsia="zh-CN"/>
              </w:rPr>
              <w:t>可自行决定是否</w:t>
            </w:r>
            <w:r>
              <w:rPr>
                <w:rFonts w:hint="eastAsia" w:ascii="仿宋" w:hAnsi="仿宋" w:eastAsia="仿宋" w:cs="仿宋"/>
                <w:bCs/>
                <w:color w:val="auto"/>
                <w:szCs w:val="21"/>
                <w:highlight w:val="none"/>
              </w:rPr>
              <w:t>到项目所在地进行现场勘察，否则由于对现场情况不了解或了解不透彻导致响应失误的后果由磋商供应商自行承担。</w:t>
            </w:r>
          </w:p>
        </w:tc>
      </w:tr>
    </w:tbl>
    <w:p w14:paraId="46614DCC">
      <w:pPr>
        <w:tabs>
          <w:tab w:val="left" w:pos="180"/>
          <w:tab w:val="left" w:pos="1620"/>
        </w:tabs>
        <w:spacing w:line="360" w:lineRule="auto"/>
        <w:ind w:firstLine="482" w:firstLineChars="200"/>
        <w:rPr>
          <w:rFonts w:hint="eastAsia" w:ascii="仿宋" w:hAnsi="仿宋" w:eastAsia="仿宋" w:cs="仿宋"/>
          <w:b/>
          <w:bCs/>
          <w:color w:val="auto"/>
          <w:sz w:val="24"/>
          <w:highlight w:val="none"/>
        </w:rPr>
      </w:pPr>
    </w:p>
    <w:p w14:paraId="3E7E71F1">
      <w:pPr>
        <w:tabs>
          <w:tab w:val="left" w:pos="180"/>
          <w:tab w:val="left" w:pos="1620"/>
        </w:tabs>
        <w:spacing w:line="360" w:lineRule="auto"/>
        <w:ind w:firstLine="482" w:firstLineChars="200"/>
        <w:rPr>
          <w:rFonts w:hint="eastAsia" w:ascii="仿宋" w:hAnsi="仿宋" w:eastAsia="仿宋" w:cs="仿宋"/>
          <w:b/>
          <w:bCs/>
          <w:color w:val="auto"/>
          <w:sz w:val="24"/>
          <w:highlight w:val="none"/>
        </w:rPr>
      </w:pPr>
    </w:p>
    <w:p w14:paraId="32951E3F">
      <w:pPr>
        <w:tabs>
          <w:tab w:val="left" w:pos="180"/>
          <w:tab w:val="left" w:pos="1620"/>
        </w:tabs>
        <w:spacing w:line="360" w:lineRule="auto"/>
        <w:rPr>
          <w:rFonts w:hint="eastAsia" w:ascii="仿宋" w:hAnsi="仿宋" w:eastAsia="仿宋" w:cs="仿宋"/>
          <w:b/>
          <w:bCs/>
          <w:color w:val="auto"/>
          <w:sz w:val="18"/>
          <w:szCs w:val="18"/>
          <w:highlight w:val="none"/>
        </w:rPr>
        <w:sectPr>
          <w:footerReference r:id="rId8" w:type="default"/>
          <w:pgSz w:w="11905" w:h="16838"/>
          <w:pgMar w:top="1440" w:right="1080" w:bottom="1440" w:left="1080" w:header="720" w:footer="720" w:gutter="0"/>
          <w:pgNumType w:fmt="decimal" w:start="1"/>
          <w:cols w:space="720" w:num="1"/>
          <w:docGrid w:type="lines" w:linePitch="331" w:charSpace="0"/>
        </w:sectPr>
      </w:pPr>
    </w:p>
    <w:p w14:paraId="772E62C7">
      <w:pPr>
        <w:spacing w:line="428" w:lineRule="exact"/>
        <w:ind w:left="11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附件1：</w:t>
      </w:r>
    </w:p>
    <w:p w14:paraId="32BE96C9">
      <w:pPr>
        <w:spacing w:before="7"/>
        <w:rPr>
          <w:rFonts w:hint="eastAsia" w:ascii="仿宋" w:hAnsi="仿宋" w:eastAsia="仿宋" w:cs="仿宋"/>
          <w:color w:val="auto"/>
          <w:sz w:val="17"/>
          <w:szCs w:val="17"/>
          <w:highlight w:val="none"/>
        </w:rPr>
      </w:pPr>
    </w:p>
    <w:p w14:paraId="1B0A38E8">
      <w:pPr>
        <w:spacing w:line="528" w:lineRule="exact"/>
        <w:ind w:left="1868" w:hanging="1868" w:hangingChars="467"/>
        <w:jc w:val="cente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t>节能产品政府采购品目清单</w:t>
      </w:r>
    </w:p>
    <w:tbl>
      <w:tblPr>
        <w:tblStyle w:val="28"/>
        <w:tblW w:w="0" w:type="auto"/>
        <w:tblInd w:w="93" w:type="dxa"/>
        <w:tblLayout w:type="fixed"/>
        <w:tblCellMar>
          <w:top w:w="0" w:type="dxa"/>
          <w:left w:w="108" w:type="dxa"/>
          <w:bottom w:w="0" w:type="dxa"/>
          <w:right w:w="108" w:type="dxa"/>
        </w:tblCellMar>
      </w:tblPr>
      <w:tblGrid>
        <w:gridCol w:w="641"/>
        <w:gridCol w:w="1116"/>
        <w:gridCol w:w="1516"/>
        <w:gridCol w:w="1612"/>
        <w:gridCol w:w="4930"/>
      </w:tblGrid>
      <w:tr w14:paraId="25211B41">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37D4495E">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68D29A59">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名称</w:t>
            </w:r>
          </w:p>
        </w:tc>
        <w:tc>
          <w:tcPr>
            <w:tcW w:w="4930" w:type="dxa"/>
            <w:tcBorders>
              <w:top w:val="single" w:color="000000" w:sz="8" w:space="0"/>
              <w:left w:val="nil"/>
              <w:bottom w:val="single" w:color="000000" w:sz="8" w:space="0"/>
              <w:right w:val="single" w:color="000000" w:sz="8" w:space="0"/>
            </w:tcBorders>
            <w:noWrap w:val="0"/>
            <w:vAlign w:val="center"/>
          </w:tcPr>
          <w:p w14:paraId="4DBDC0F3">
            <w:pPr>
              <w:widowControl/>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依据的标准</w:t>
            </w:r>
          </w:p>
        </w:tc>
      </w:tr>
      <w:tr w14:paraId="78C2DF2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EDCFF4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0102EF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68DA33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67093BD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6A5D6A7C">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77B4A4F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0D9EEDB">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2EB37CA">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997417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7E5A3A5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0DD1A5E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4FAF965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F27DB0D">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4D3EED5">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D3A91F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14E311B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4E35610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《微型计算机能效限定值及能效等级》（GB28380）</w:t>
            </w:r>
          </w:p>
        </w:tc>
      </w:tr>
      <w:tr w14:paraId="01E366AB">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0B319C4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51B7DC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32F98D1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06D0C01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A0201060101喷墨打印机</w:t>
            </w:r>
          </w:p>
        </w:tc>
        <w:tc>
          <w:tcPr>
            <w:tcW w:w="4930" w:type="dxa"/>
            <w:tcBorders>
              <w:top w:val="nil"/>
              <w:left w:val="nil"/>
              <w:bottom w:val="single" w:color="000000" w:sz="8" w:space="0"/>
              <w:right w:val="single" w:color="000000" w:sz="8" w:space="0"/>
            </w:tcBorders>
            <w:noWrap w:val="0"/>
            <w:vAlign w:val="center"/>
          </w:tcPr>
          <w:p w14:paraId="7B7B1517">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26FDF04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BFEE57B">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9BEA38B">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9A15851">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609B31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★A0201060102激光打印机</w:t>
            </w:r>
          </w:p>
        </w:tc>
        <w:tc>
          <w:tcPr>
            <w:tcW w:w="4930" w:type="dxa"/>
            <w:tcBorders>
              <w:top w:val="nil"/>
              <w:left w:val="nil"/>
              <w:bottom w:val="single" w:color="000000" w:sz="8" w:space="0"/>
              <w:right w:val="single" w:color="000000" w:sz="8" w:space="0"/>
            </w:tcBorders>
            <w:noWrap w:val="0"/>
            <w:vAlign w:val="center"/>
          </w:tcPr>
          <w:p w14:paraId="17B5612F">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35ABEF0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7078969">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94858BE">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6964481">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FF3349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★A0201060104针式打印机</w:t>
            </w:r>
          </w:p>
        </w:tc>
        <w:tc>
          <w:tcPr>
            <w:tcW w:w="4930" w:type="dxa"/>
            <w:tcBorders>
              <w:top w:val="nil"/>
              <w:left w:val="nil"/>
              <w:bottom w:val="single" w:color="000000" w:sz="8" w:space="0"/>
              <w:right w:val="single" w:color="000000" w:sz="8" w:space="0"/>
            </w:tcBorders>
            <w:noWrap w:val="0"/>
            <w:vAlign w:val="center"/>
          </w:tcPr>
          <w:p w14:paraId="0967A962">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1769DEC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FB116A1">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F97A3B4">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6A5EDD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29B5C45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★A0201060401液晶显示器</w:t>
            </w:r>
          </w:p>
        </w:tc>
        <w:tc>
          <w:tcPr>
            <w:tcW w:w="4930" w:type="dxa"/>
            <w:tcBorders>
              <w:top w:val="nil"/>
              <w:left w:val="nil"/>
              <w:bottom w:val="single" w:color="000000" w:sz="8" w:space="0"/>
              <w:right w:val="single" w:color="000000" w:sz="8" w:space="0"/>
            </w:tcBorders>
            <w:noWrap w:val="0"/>
            <w:vAlign w:val="center"/>
          </w:tcPr>
          <w:p w14:paraId="62BD69E2">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《计算机显示器能效限定值及能效等级》（GB21520）</w:t>
            </w:r>
          </w:p>
        </w:tc>
      </w:tr>
      <w:tr w14:paraId="2873856C">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40B5140">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9D70605">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2F74FE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4C3AF62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A0201060901扫描仪</w:t>
            </w:r>
          </w:p>
        </w:tc>
        <w:tc>
          <w:tcPr>
            <w:tcW w:w="4930" w:type="dxa"/>
            <w:tcBorders>
              <w:top w:val="nil"/>
              <w:left w:val="nil"/>
              <w:bottom w:val="single" w:color="000000" w:sz="8" w:space="0"/>
              <w:right w:val="single" w:color="000000" w:sz="8" w:space="0"/>
            </w:tcBorders>
            <w:noWrap w:val="0"/>
            <w:vAlign w:val="center"/>
          </w:tcPr>
          <w:p w14:paraId="5E9D224B">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08A8B56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1C55E1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468315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45CC4C2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10A90B7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67173F1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《投影机能效限定值及能效等级》（GB32028）</w:t>
            </w:r>
          </w:p>
        </w:tc>
      </w:tr>
      <w:tr w14:paraId="15170D4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1E0342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7C094DA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4EC24FA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21AA4E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6B3C230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《复印机、打印机和传真机能效限定值及能效等级》（GB21521）</w:t>
            </w:r>
          </w:p>
        </w:tc>
      </w:tr>
      <w:tr w14:paraId="58299039">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11536A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2C9BD95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11C44EE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5F12E47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F3EF58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《清水离心泵能效限定值及节能评价值》（GB19762）</w:t>
            </w:r>
          </w:p>
        </w:tc>
      </w:tr>
      <w:tr w14:paraId="772DE6AE">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17B766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7624C9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06608B6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56C1CB0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冷水机组</w:t>
            </w:r>
          </w:p>
        </w:tc>
        <w:tc>
          <w:tcPr>
            <w:tcW w:w="4930" w:type="dxa"/>
            <w:tcBorders>
              <w:top w:val="nil"/>
              <w:left w:val="nil"/>
              <w:bottom w:val="single" w:color="000000" w:sz="8" w:space="0"/>
              <w:right w:val="single" w:color="000000" w:sz="8" w:space="0"/>
            </w:tcBorders>
            <w:noWrap w:val="0"/>
            <w:vAlign w:val="center"/>
          </w:tcPr>
          <w:p w14:paraId="0285FE5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《冷水机组能效限定值及能效等级》（GB19577），《低环境温度空气源热泵（冷水）机组能效限定值及能效等级》（GB37480）</w:t>
            </w:r>
          </w:p>
        </w:tc>
      </w:tr>
      <w:tr w14:paraId="7D79552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8392F87">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157840B">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0DA5B0E">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8E66A4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水源热泵机组</w:t>
            </w:r>
          </w:p>
        </w:tc>
        <w:tc>
          <w:tcPr>
            <w:tcW w:w="4930" w:type="dxa"/>
            <w:tcBorders>
              <w:top w:val="nil"/>
              <w:left w:val="nil"/>
              <w:bottom w:val="single" w:color="000000" w:sz="8" w:space="0"/>
              <w:right w:val="single" w:color="000000" w:sz="8" w:space="0"/>
            </w:tcBorders>
            <w:noWrap w:val="0"/>
            <w:vAlign w:val="center"/>
          </w:tcPr>
          <w:p w14:paraId="1D0DAE59">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《水（地）源热泵机组能效限定值及能效等级》（GB30721）</w:t>
            </w:r>
          </w:p>
        </w:tc>
      </w:tr>
      <w:tr w14:paraId="729990D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8DC7BAB">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C80369C">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F0F7331">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8020E1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溴化锂吸收式冷水机组</w:t>
            </w:r>
          </w:p>
        </w:tc>
        <w:tc>
          <w:tcPr>
            <w:tcW w:w="4930" w:type="dxa"/>
            <w:tcBorders>
              <w:top w:val="nil"/>
              <w:left w:val="nil"/>
              <w:bottom w:val="single" w:color="000000" w:sz="8" w:space="0"/>
              <w:right w:val="single" w:color="000000" w:sz="8" w:space="0"/>
            </w:tcBorders>
            <w:noWrap w:val="0"/>
            <w:vAlign w:val="center"/>
          </w:tcPr>
          <w:p w14:paraId="015FE9A0">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《溴化锂吸收式冷水机组能效限定值及能效等级》（GB29540）</w:t>
            </w:r>
          </w:p>
        </w:tc>
      </w:tr>
      <w:tr w14:paraId="52E3B47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FE77210">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4B87B72">
            <w:pPr>
              <w:widowControl/>
              <w:jc w:val="left"/>
              <w:rPr>
                <w:rFonts w:hint="eastAsia" w:ascii="仿宋" w:hAnsi="仿宋" w:eastAsia="仿宋" w:cs="仿宋"/>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43990D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50B3286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多联式空调（热泵）机组(制冷量&gt;14000W)</w:t>
            </w:r>
          </w:p>
        </w:tc>
        <w:tc>
          <w:tcPr>
            <w:tcW w:w="4930" w:type="dxa"/>
            <w:tcBorders>
              <w:top w:val="nil"/>
              <w:left w:val="nil"/>
              <w:bottom w:val="single" w:color="000000" w:sz="8" w:space="0"/>
              <w:right w:val="single" w:color="000000" w:sz="8" w:space="0"/>
            </w:tcBorders>
            <w:noWrap w:val="0"/>
            <w:vAlign w:val="center"/>
          </w:tcPr>
          <w:p w14:paraId="53431597">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《多联式空调（热泵）机组能效限定值及能源效率等级》（GB21454）</w:t>
            </w:r>
          </w:p>
        </w:tc>
      </w:tr>
      <w:tr w14:paraId="339804F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687A2D1">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55CE131">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6A177DF">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1D02C4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单元式空气调节机(制冷量&gt;14000W</w:t>
            </w:r>
          </w:p>
        </w:tc>
        <w:tc>
          <w:tcPr>
            <w:tcW w:w="4930" w:type="dxa"/>
            <w:tcBorders>
              <w:top w:val="nil"/>
              <w:left w:val="nil"/>
              <w:bottom w:val="single" w:color="000000" w:sz="8" w:space="0"/>
              <w:right w:val="single" w:color="000000" w:sz="8" w:space="0"/>
            </w:tcBorders>
            <w:noWrap w:val="0"/>
            <w:vAlign w:val="center"/>
          </w:tcPr>
          <w:p w14:paraId="01FFA5C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《单元式空气调节机能效限定值及能效等级》（GB19576）《风管送风式空调机组能效限定值及能效等级》（GB37479）</w:t>
            </w:r>
          </w:p>
        </w:tc>
      </w:tr>
      <w:tr w14:paraId="1438523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F58F24F">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B39B331">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61203B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6CACEEF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机房空调</w:t>
            </w:r>
          </w:p>
        </w:tc>
        <w:tc>
          <w:tcPr>
            <w:tcW w:w="4930" w:type="dxa"/>
            <w:tcBorders>
              <w:top w:val="nil"/>
              <w:left w:val="nil"/>
              <w:bottom w:val="single" w:color="000000" w:sz="8" w:space="0"/>
              <w:right w:val="single" w:color="000000" w:sz="8" w:space="0"/>
            </w:tcBorders>
            <w:noWrap w:val="0"/>
            <w:vAlign w:val="center"/>
          </w:tcPr>
          <w:p w14:paraId="0BC9B9F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《单元式空气调节机能效限定值及能效等级》（GB19576）</w:t>
            </w:r>
          </w:p>
        </w:tc>
      </w:tr>
      <w:tr w14:paraId="60CD2DE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4D83D17">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865C5E1">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075B6A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02CBAE7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冷却塔</w:t>
            </w:r>
          </w:p>
        </w:tc>
        <w:tc>
          <w:tcPr>
            <w:tcW w:w="4930" w:type="dxa"/>
            <w:tcBorders>
              <w:top w:val="nil"/>
              <w:left w:val="nil"/>
              <w:bottom w:val="single" w:color="000000" w:sz="8" w:space="0"/>
              <w:right w:val="single" w:color="000000" w:sz="8" w:space="0"/>
            </w:tcBorders>
            <w:noWrap w:val="0"/>
            <w:vAlign w:val="center"/>
          </w:tcPr>
          <w:p w14:paraId="0E3305C4">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《机械通风冷却塔第1部分：中小型开式冷却塔》（GB/T7190.1）；《机械通风冷却塔第2部分：大型开式冷却塔》（GB/T7190.2）</w:t>
            </w:r>
          </w:p>
        </w:tc>
      </w:tr>
      <w:tr w14:paraId="24947E5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9A4CAF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229663C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121FC67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B96CE4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50B480D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《中小型三相异步电动机能效限定值及能效等级》（GB18613）</w:t>
            </w:r>
          </w:p>
        </w:tc>
      </w:tr>
      <w:tr w14:paraId="231CAAD9">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5478C31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134C8CC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170CAC7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37696E2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70557F36">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《三相配电变压器能效限定值及能效等级》（GB20052）</w:t>
            </w:r>
          </w:p>
        </w:tc>
      </w:tr>
      <w:tr w14:paraId="1942A0B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A91039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63ECDFB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480D984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3038030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DB682DC">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《管形荧光灯镇流器能效限定值及能效等级》（GB17896）</w:t>
            </w:r>
          </w:p>
        </w:tc>
      </w:tr>
      <w:tr w14:paraId="4D5AD8A1">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D61357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65DAD6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1F0EF89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05CFD4B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22A345F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《家用电冰箱耗电量限定值及能效等级》（GB 12021.2）</w:t>
            </w:r>
          </w:p>
        </w:tc>
      </w:tr>
      <w:tr w14:paraId="7B500CA9">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5EEFFC3">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52B8BE0">
            <w:pPr>
              <w:widowControl/>
              <w:jc w:val="left"/>
              <w:rPr>
                <w:rFonts w:hint="eastAsia" w:ascii="仿宋" w:hAnsi="仿宋" w:eastAsia="仿宋" w:cs="仿宋"/>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1C0EF15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592BCE8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房间空气调节器</w:t>
            </w:r>
          </w:p>
        </w:tc>
        <w:tc>
          <w:tcPr>
            <w:tcW w:w="4930" w:type="dxa"/>
            <w:tcBorders>
              <w:top w:val="nil"/>
              <w:left w:val="nil"/>
              <w:bottom w:val="single" w:color="000000" w:sz="8" w:space="0"/>
              <w:right w:val="single" w:color="000000" w:sz="8" w:space="0"/>
            </w:tcBorders>
            <w:noWrap w:val="0"/>
            <w:vAlign w:val="center"/>
          </w:tcPr>
          <w:p w14:paraId="65AEBF1A">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5CDCE94D">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F6737CB">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3CF72CA">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F610AA9">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70DD8A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多联式空调（热泵）机组（制冷量≤ 14000W）</w:t>
            </w:r>
          </w:p>
        </w:tc>
        <w:tc>
          <w:tcPr>
            <w:tcW w:w="4930" w:type="dxa"/>
            <w:tcBorders>
              <w:top w:val="nil"/>
              <w:left w:val="nil"/>
              <w:bottom w:val="single" w:color="000000" w:sz="8" w:space="0"/>
              <w:right w:val="single" w:color="000000" w:sz="8" w:space="0"/>
            </w:tcBorders>
            <w:noWrap w:val="0"/>
            <w:vAlign w:val="center"/>
          </w:tcPr>
          <w:p w14:paraId="1CA03FE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《多联式空调（热泵）机组能效限定值及能源效率等级》（GB21454）</w:t>
            </w:r>
          </w:p>
        </w:tc>
      </w:tr>
      <w:tr w14:paraId="5E186989">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78D34AF">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433B634">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7F45093">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72BDD6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单元式空气调节机(制冷量≤14000W)</w:t>
            </w:r>
          </w:p>
        </w:tc>
        <w:tc>
          <w:tcPr>
            <w:tcW w:w="4930" w:type="dxa"/>
            <w:tcBorders>
              <w:top w:val="nil"/>
              <w:left w:val="nil"/>
              <w:bottom w:val="single" w:color="000000" w:sz="8" w:space="0"/>
              <w:right w:val="single" w:color="000000" w:sz="8" w:space="0"/>
            </w:tcBorders>
            <w:noWrap w:val="0"/>
            <w:vAlign w:val="center"/>
          </w:tcPr>
          <w:p w14:paraId="181117BA">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《单元式空气调节机能效限定值及能源效率等级》（GB19576）《风管送风式空调机组能效限定值及能效等级》（GB37479）</w:t>
            </w:r>
          </w:p>
        </w:tc>
      </w:tr>
      <w:tr w14:paraId="31BCED6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79B2978">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1326889">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1BFDA6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52B4CFB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F8D43E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《电动洗衣机能效水效限定值及等级》（GB12021.4）</w:t>
            </w:r>
          </w:p>
        </w:tc>
      </w:tr>
      <w:tr w14:paraId="1090A0C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901E8A8">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128A923">
            <w:pPr>
              <w:widowControl/>
              <w:jc w:val="left"/>
              <w:rPr>
                <w:rFonts w:hint="eastAsia" w:ascii="仿宋" w:hAnsi="仿宋" w:eastAsia="仿宋" w:cs="仿宋"/>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FF45FF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0781939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★电热水器</w:t>
            </w:r>
          </w:p>
        </w:tc>
        <w:tc>
          <w:tcPr>
            <w:tcW w:w="4930" w:type="dxa"/>
            <w:tcBorders>
              <w:top w:val="nil"/>
              <w:left w:val="nil"/>
              <w:bottom w:val="single" w:color="000000" w:sz="8" w:space="0"/>
              <w:right w:val="single" w:color="000000" w:sz="8" w:space="0"/>
            </w:tcBorders>
            <w:noWrap w:val="0"/>
            <w:vAlign w:val="center"/>
          </w:tcPr>
          <w:p w14:paraId="11878E9E">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《储水式电热水器能效限定值及能效等级》（GB21519）</w:t>
            </w:r>
          </w:p>
        </w:tc>
      </w:tr>
      <w:tr w14:paraId="3EA7D97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08B82F43">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D6E6D49">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6993322">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56F740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燃气热水器</w:t>
            </w:r>
          </w:p>
        </w:tc>
        <w:tc>
          <w:tcPr>
            <w:tcW w:w="4930" w:type="dxa"/>
            <w:tcBorders>
              <w:top w:val="nil"/>
              <w:left w:val="nil"/>
              <w:bottom w:val="single" w:color="000000" w:sz="8" w:space="0"/>
              <w:right w:val="single" w:color="000000" w:sz="8" w:space="0"/>
            </w:tcBorders>
            <w:noWrap w:val="0"/>
            <w:vAlign w:val="center"/>
          </w:tcPr>
          <w:p w14:paraId="54EAA940">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《家用燃气快速热水器和燃气采暖热水炉能效限定值及能效等级》（GB20665）</w:t>
            </w:r>
          </w:p>
        </w:tc>
      </w:tr>
      <w:tr w14:paraId="040E3A2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1653B73">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A1FF77C">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9831CB4">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84F0EF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热泵热水器</w:t>
            </w:r>
          </w:p>
        </w:tc>
        <w:tc>
          <w:tcPr>
            <w:tcW w:w="4930" w:type="dxa"/>
            <w:tcBorders>
              <w:top w:val="nil"/>
              <w:left w:val="nil"/>
              <w:bottom w:val="single" w:color="000000" w:sz="8" w:space="0"/>
              <w:right w:val="single" w:color="000000" w:sz="8" w:space="0"/>
            </w:tcBorders>
            <w:noWrap w:val="0"/>
            <w:vAlign w:val="center"/>
          </w:tcPr>
          <w:p w14:paraId="3D1D350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《热泵热水机（器）能效限定值及能效等级》（GB29541）</w:t>
            </w:r>
          </w:p>
        </w:tc>
      </w:tr>
      <w:tr w14:paraId="3CA1D8A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FB61C7B">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A6EA2E7">
            <w:pPr>
              <w:widowControl/>
              <w:jc w:val="left"/>
              <w:rPr>
                <w:rFonts w:hint="eastAsia" w:ascii="仿宋" w:hAnsi="仿宋" w:eastAsia="仿宋" w:cs="仿宋"/>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ECF2B87">
            <w:pPr>
              <w:widowControl/>
              <w:jc w:val="left"/>
              <w:rPr>
                <w:rFonts w:hint="eastAsia" w:ascii="仿宋" w:hAnsi="仿宋" w:eastAsia="仿宋" w:cs="仿宋"/>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69B288B">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太阳能热水系统</w:t>
            </w:r>
          </w:p>
        </w:tc>
        <w:tc>
          <w:tcPr>
            <w:tcW w:w="4930" w:type="dxa"/>
            <w:tcBorders>
              <w:top w:val="nil"/>
              <w:left w:val="nil"/>
              <w:bottom w:val="single" w:color="000000" w:sz="8" w:space="0"/>
              <w:right w:val="single" w:color="000000" w:sz="8" w:space="0"/>
            </w:tcBorders>
            <w:noWrap w:val="0"/>
            <w:vAlign w:val="center"/>
          </w:tcPr>
          <w:p w14:paraId="5476A99C">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《家用太阳能热水系统能效限定值及能效等级》（GB26969）</w:t>
            </w:r>
          </w:p>
        </w:tc>
      </w:tr>
      <w:tr w14:paraId="5865BCB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768FD4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329195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413B593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11161F1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3D1FA7D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《普通照明用双端荧光灯能效限定值及能效等级》（GB19043）</w:t>
            </w:r>
          </w:p>
        </w:tc>
      </w:tr>
      <w:tr w14:paraId="4962B33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0D5830A">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8EDA35E">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B5D3D9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22F3CA1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08AF97FB">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《道路和隧道照明用LED灯具能效限定值及能效等级》（GB37478）</w:t>
            </w:r>
          </w:p>
        </w:tc>
      </w:tr>
      <w:tr w14:paraId="7479E03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707CA45">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B100B6F">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6DD505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113A7C7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5FB01A65">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《室内照明用LED产品能效限定值及能效等级》（GB30255）</w:t>
            </w:r>
          </w:p>
        </w:tc>
      </w:tr>
      <w:tr w14:paraId="5F0A79A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8ED1DD9">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484631F">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99165B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10D8FE2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510707C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《室内照明用LED产品能效限定值及能效等级》（GB30255）</w:t>
            </w:r>
          </w:p>
        </w:tc>
      </w:tr>
      <w:tr w14:paraId="54E3DC4E">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6FB8755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6D0CEDD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08A70ED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27C0709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57D645B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《平板电视能效限定值及能效等级》（GB24850）</w:t>
            </w:r>
          </w:p>
        </w:tc>
      </w:tr>
      <w:tr w14:paraId="13AD81F6">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604CAB3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4B80E7F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3282D36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065FAE77">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监视器</w:t>
            </w:r>
          </w:p>
        </w:tc>
        <w:tc>
          <w:tcPr>
            <w:tcW w:w="4930" w:type="dxa"/>
            <w:tcBorders>
              <w:top w:val="nil"/>
              <w:left w:val="nil"/>
              <w:bottom w:val="single" w:color="000000" w:sz="8" w:space="0"/>
              <w:right w:val="single" w:color="000000" w:sz="8" w:space="0"/>
            </w:tcBorders>
            <w:noWrap w:val="0"/>
            <w:vAlign w:val="center"/>
          </w:tcPr>
          <w:p w14:paraId="0AD4B74D">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562498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66109C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3BF27FE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40FDBDDC">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572EF11E">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39D87311">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《商用燃气灶具能效限定值及能效等级》（GB30531）</w:t>
            </w:r>
          </w:p>
        </w:tc>
      </w:tr>
      <w:tr w14:paraId="69DA8BE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09FFA66">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4AAAD0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1DEB867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6C70605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040412A">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《坐便器水效限定值及水效等级》（GB25502）</w:t>
            </w:r>
          </w:p>
        </w:tc>
      </w:tr>
      <w:tr w14:paraId="36BB40E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D5AA616">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EC0AE92">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5F6B77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00024DB5">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69D1C378">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《蹲便器用水效率限定值及用水效率等级》（GB30717）</w:t>
            </w:r>
          </w:p>
        </w:tc>
      </w:tr>
      <w:tr w14:paraId="5A2EA456">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65EE13F">
            <w:pPr>
              <w:widowControl/>
              <w:jc w:val="left"/>
              <w:rPr>
                <w:rFonts w:hint="eastAsia" w:ascii="仿宋" w:hAnsi="仿宋" w:eastAsia="仿宋" w:cs="仿宋"/>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A0596A0">
            <w:pPr>
              <w:widowControl/>
              <w:jc w:val="left"/>
              <w:rPr>
                <w:rFonts w:hint="eastAsia" w:ascii="仿宋" w:hAnsi="仿宋" w:eastAsia="仿宋" w:cs="仿宋"/>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6D28D74">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64D86ADF">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3969CD7A">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《小便器用水效率限定值及用水效率等级》（GB28377）</w:t>
            </w:r>
          </w:p>
        </w:tc>
      </w:tr>
      <w:tr w14:paraId="1E0B565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F953F9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3DD8AB92">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0F4A1E8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116A5A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4B3A2CA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《水嘴用水效率限定值及用水效率等级》（GB 25501）</w:t>
            </w:r>
          </w:p>
        </w:tc>
      </w:tr>
      <w:tr w14:paraId="03FFCD8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5DBB7A10">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4F063EBD">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280DE4F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091C68A">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C5FB8C3">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《便器冲洗阀用水效率限定值及用水效率等级》（GB28379）</w:t>
            </w:r>
          </w:p>
        </w:tc>
      </w:tr>
      <w:tr w14:paraId="0A0D27EB">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9155CE1">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615998D8">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6D6E7B13">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54F1639">
            <w:pPr>
              <w:widowControl/>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w:t>
            </w:r>
          </w:p>
        </w:tc>
        <w:tc>
          <w:tcPr>
            <w:tcW w:w="4930" w:type="dxa"/>
            <w:tcBorders>
              <w:top w:val="nil"/>
              <w:left w:val="nil"/>
              <w:bottom w:val="single" w:color="000000" w:sz="8" w:space="0"/>
              <w:right w:val="single" w:color="000000" w:sz="8" w:space="0"/>
            </w:tcBorders>
            <w:noWrap w:val="0"/>
            <w:vAlign w:val="center"/>
          </w:tcPr>
          <w:p w14:paraId="15155677">
            <w:pPr>
              <w:widowControl/>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《淋浴器用水效率限定值及用水效率等级》（GB28378）</w:t>
            </w:r>
          </w:p>
        </w:tc>
      </w:tr>
    </w:tbl>
    <w:p w14:paraId="0C52F29E">
      <w:pPr>
        <w:pStyle w:val="13"/>
        <w:spacing w:line="360" w:lineRule="auto"/>
        <w:rPr>
          <w:rFonts w:hint="eastAsia" w:ascii="仿宋" w:hAnsi="仿宋" w:eastAsia="仿宋" w:cs="仿宋"/>
          <w:color w:val="auto"/>
          <w:szCs w:val="21"/>
          <w:highlight w:val="none"/>
        </w:rPr>
      </w:pPr>
      <w:r>
        <w:rPr>
          <w:rFonts w:hint="eastAsia" w:ascii="仿宋" w:hAnsi="仿宋" w:eastAsia="仿宋" w:cs="仿宋"/>
          <w:color w:val="auto"/>
          <w:spacing w:val="-3"/>
          <w:szCs w:val="21"/>
          <w:highlight w:val="none"/>
        </w:rPr>
        <w:t>注：</w:t>
      </w:r>
      <w:r>
        <w:rPr>
          <w:rFonts w:hint="eastAsia" w:ascii="仿宋" w:hAnsi="仿宋" w:eastAsia="仿宋" w:cs="仿宋"/>
          <w:color w:val="auto"/>
          <w:szCs w:val="21"/>
          <w:highlight w:val="none"/>
        </w:rPr>
        <w:t>1.节能产品认证应依据相关国家标准的最新版本，依据国家标准中二级能效（水效）指标。</w:t>
      </w:r>
    </w:p>
    <w:p w14:paraId="1595C33F">
      <w:pPr>
        <w:pStyle w:val="26"/>
        <w:jc w:val="left"/>
        <w:rPr>
          <w:rFonts w:hint="eastAsia" w:ascii="仿宋" w:hAnsi="仿宋" w:eastAsia="仿宋" w:cs="仿宋"/>
          <w:color w:val="auto"/>
          <w:sz w:val="32"/>
          <w:szCs w:val="32"/>
          <w:highlight w:val="none"/>
        </w:rPr>
      </w:pPr>
      <w:r>
        <w:rPr>
          <w:rFonts w:hint="eastAsia" w:ascii="仿宋" w:hAnsi="仿宋" w:eastAsia="仿宋" w:cs="仿宋"/>
          <w:color w:val="auto"/>
          <w:sz w:val="21"/>
          <w:szCs w:val="21"/>
          <w:highlight w:val="none"/>
        </w:rPr>
        <w:t xml:space="preserve">    2.以“★”标注的为政府强制采购产品。</w:t>
      </w:r>
      <w:r>
        <w:rPr>
          <w:rFonts w:hint="eastAsia" w:ascii="仿宋" w:hAnsi="仿宋" w:eastAsia="仿宋" w:cs="仿宋"/>
          <w:color w:val="auto"/>
          <w:highlight w:val="none"/>
        </w:rPr>
        <w:br w:type="page"/>
      </w:r>
      <w:r>
        <w:rPr>
          <w:rFonts w:hint="eastAsia" w:ascii="仿宋" w:hAnsi="仿宋" w:eastAsia="仿宋" w:cs="仿宋"/>
          <w:color w:val="auto"/>
          <w:sz w:val="32"/>
          <w:szCs w:val="32"/>
          <w:highlight w:val="none"/>
        </w:rPr>
        <w:t>附件2：</w:t>
      </w:r>
    </w:p>
    <w:p w14:paraId="559A00F0">
      <w:pPr>
        <w:spacing w:line="528" w:lineRule="exact"/>
        <w:ind w:left="1868" w:hanging="1868" w:hangingChars="467"/>
        <w:jc w:val="cente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t>中小微企业划型标准</w:t>
      </w:r>
    </w:p>
    <w:tbl>
      <w:tblPr>
        <w:tblStyle w:val="28"/>
        <w:tblW w:w="0" w:type="auto"/>
        <w:jc w:val="center"/>
        <w:tblLayout w:type="fixed"/>
        <w:tblCellMar>
          <w:top w:w="0" w:type="dxa"/>
          <w:left w:w="108" w:type="dxa"/>
          <w:bottom w:w="0" w:type="dxa"/>
          <w:right w:w="108" w:type="dxa"/>
        </w:tblCellMar>
      </w:tblPr>
      <w:tblGrid>
        <w:gridCol w:w="2822"/>
        <w:gridCol w:w="1499"/>
        <w:gridCol w:w="988"/>
        <w:gridCol w:w="1755"/>
        <w:gridCol w:w="1560"/>
        <w:gridCol w:w="1333"/>
      </w:tblGrid>
      <w:tr w14:paraId="4D5E6930">
        <w:tblPrEx>
          <w:tblCellMar>
            <w:top w:w="0" w:type="dxa"/>
            <w:left w:w="108" w:type="dxa"/>
            <w:bottom w:w="0" w:type="dxa"/>
            <w:right w:w="108" w:type="dxa"/>
          </w:tblCellMar>
        </w:tblPrEx>
        <w:trPr>
          <w:trHeight w:val="1273" w:hRule="atLeast"/>
          <w:jc w:val="center"/>
        </w:trPr>
        <w:tc>
          <w:tcPr>
            <w:tcW w:w="2822" w:type="dxa"/>
            <w:tcBorders>
              <w:top w:val="single" w:color="auto" w:sz="4" w:space="0"/>
              <w:left w:val="single" w:color="auto" w:sz="4" w:space="0"/>
              <w:bottom w:val="single" w:color="auto" w:sz="4" w:space="0"/>
              <w:right w:val="single" w:color="auto" w:sz="4" w:space="0"/>
            </w:tcBorders>
            <w:noWrap w:val="0"/>
            <w:vAlign w:val="center"/>
          </w:tcPr>
          <w:p w14:paraId="5F53D1F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499" w:type="dxa"/>
            <w:tcBorders>
              <w:top w:val="single" w:color="auto" w:sz="4" w:space="0"/>
              <w:left w:val="nil"/>
              <w:bottom w:val="single" w:color="auto" w:sz="4" w:space="0"/>
              <w:right w:val="single" w:color="auto" w:sz="4" w:space="0"/>
            </w:tcBorders>
            <w:noWrap w:val="0"/>
            <w:vAlign w:val="center"/>
          </w:tcPr>
          <w:p w14:paraId="02FAE89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988" w:type="dxa"/>
            <w:tcBorders>
              <w:top w:val="single" w:color="auto" w:sz="4" w:space="0"/>
              <w:left w:val="nil"/>
              <w:bottom w:val="single" w:color="auto" w:sz="4" w:space="0"/>
              <w:right w:val="single" w:color="auto" w:sz="4" w:space="0"/>
            </w:tcBorders>
            <w:noWrap w:val="0"/>
            <w:vAlign w:val="center"/>
          </w:tcPr>
          <w:p w14:paraId="36CBD660">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755" w:type="dxa"/>
            <w:tcBorders>
              <w:top w:val="single" w:color="auto" w:sz="4" w:space="0"/>
              <w:left w:val="nil"/>
              <w:bottom w:val="single" w:color="auto" w:sz="4" w:space="0"/>
              <w:right w:val="single" w:color="auto" w:sz="4" w:space="0"/>
            </w:tcBorders>
            <w:noWrap w:val="0"/>
            <w:vAlign w:val="center"/>
          </w:tcPr>
          <w:p w14:paraId="233B22AD">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560" w:type="dxa"/>
            <w:tcBorders>
              <w:top w:val="single" w:color="auto" w:sz="4" w:space="0"/>
              <w:left w:val="nil"/>
              <w:bottom w:val="single" w:color="auto" w:sz="4" w:space="0"/>
              <w:right w:val="single" w:color="auto" w:sz="4" w:space="0"/>
            </w:tcBorders>
            <w:noWrap w:val="0"/>
            <w:vAlign w:val="center"/>
          </w:tcPr>
          <w:p w14:paraId="6CF3EF30">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333" w:type="dxa"/>
            <w:tcBorders>
              <w:top w:val="single" w:color="auto" w:sz="4" w:space="0"/>
              <w:left w:val="nil"/>
              <w:bottom w:val="single" w:color="auto" w:sz="4" w:space="0"/>
              <w:right w:val="single" w:color="auto" w:sz="4" w:space="0"/>
            </w:tcBorders>
            <w:noWrap w:val="0"/>
            <w:vAlign w:val="center"/>
          </w:tcPr>
          <w:p w14:paraId="1DBE4393">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552225BE">
        <w:tblPrEx>
          <w:tblCellMar>
            <w:top w:w="0" w:type="dxa"/>
            <w:left w:w="108" w:type="dxa"/>
            <w:bottom w:w="0" w:type="dxa"/>
            <w:right w:w="108" w:type="dxa"/>
          </w:tblCellMar>
        </w:tblPrEx>
        <w:trPr>
          <w:trHeight w:val="326" w:hRule="atLeast"/>
          <w:jc w:val="center"/>
        </w:trPr>
        <w:tc>
          <w:tcPr>
            <w:tcW w:w="2822" w:type="dxa"/>
            <w:tcBorders>
              <w:top w:val="nil"/>
              <w:left w:val="single" w:color="auto" w:sz="4" w:space="0"/>
              <w:bottom w:val="single" w:color="auto" w:sz="4" w:space="0"/>
              <w:right w:val="single" w:color="auto" w:sz="4" w:space="0"/>
            </w:tcBorders>
            <w:noWrap w:val="0"/>
            <w:vAlign w:val="bottom"/>
          </w:tcPr>
          <w:p w14:paraId="453A7CA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499" w:type="dxa"/>
            <w:tcBorders>
              <w:top w:val="nil"/>
              <w:left w:val="nil"/>
              <w:bottom w:val="single" w:color="auto" w:sz="4" w:space="0"/>
              <w:right w:val="single" w:color="auto" w:sz="4" w:space="0"/>
            </w:tcBorders>
            <w:noWrap w:val="0"/>
            <w:vAlign w:val="center"/>
          </w:tcPr>
          <w:p w14:paraId="793ED55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418E825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3819261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560" w:type="dxa"/>
            <w:tcBorders>
              <w:top w:val="nil"/>
              <w:left w:val="nil"/>
              <w:bottom w:val="single" w:color="auto" w:sz="4" w:space="0"/>
              <w:right w:val="single" w:color="auto" w:sz="4" w:space="0"/>
            </w:tcBorders>
            <w:noWrap w:val="0"/>
            <w:vAlign w:val="center"/>
          </w:tcPr>
          <w:p w14:paraId="1BCD9DD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333" w:type="dxa"/>
            <w:tcBorders>
              <w:top w:val="nil"/>
              <w:left w:val="nil"/>
              <w:bottom w:val="single" w:color="auto" w:sz="4" w:space="0"/>
              <w:right w:val="single" w:color="auto" w:sz="4" w:space="0"/>
            </w:tcBorders>
            <w:noWrap w:val="0"/>
            <w:vAlign w:val="center"/>
          </w:tcPr>
          <w:p w14:paraId="5786A17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3A7F4A0C">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29067DD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499" w:type="dxa"/>
            <w:tcBorders>
              <w:top w:val="nil"/>
              <w:left w:val="nil"/>
              <w:bottom w:val="single" w:color="auto" w:sz="4" w:space="0"/>
              <w:right w:val="single" w:color="auto" w:sz="4" w:space="0"/>
            </w:tcBorders>
            <w:noWrap w:val="0"/>
            <w:vAlign w:val="center"/>
          </w:tcPr>
          <w:p w14:paraId="132EA2C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77CDC2F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4EEEA43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560" w:type="dxa"/>
            <w:tcBorders>
              <w:top w:val="nil"/>
              <w:left w:val="nil"/>
              <w:bottom w:val="single" w:color="auto" w:sz="4" w:space="0"/>
              <w:right w:val="single" w:color="auto" w:sz="4" w:space="0"/>
            </w:tcBorders>
            <w:noWrap w:val="0"/>
            <w:vAlign w:val="center"/>
          </w:tcPr>
          <w:p w14:paraId="2ECD21C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333" w:type="dxa"/>
            <w:tcBorders>
              <w:top w:val="nil"/>
              <w:left w:val="nil"/>
              <w:bottom w:val="single" w:color="auto" w:sz="4" w:space="0"/>
              <w:right w:val="single" w:color="auto" w:sz="4" w:space="0"/>
            </w:tcBorders>
            <w:noWrap w:val="0"/>
            <w:vAlign w:val="center"/>
          </w:tcPr>
          <w:p w14:paraId="5A5CFE9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909AA64">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1F05C701">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7B4E841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0261223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4B83D6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560" w:type="dxa"/>
            <w:tcBorders>
              <w:top w:val="nil"/>
              <w:left w:val="nil"/>
              <w:bottom w:val="single" w:color="auto" w:sz="4" w:space="0"/>
              <w:right w:val="single" w:color="auto" w:sz="4" w:space="0"/>
            </w:tcBorders>
            <w:noWrap w:val="0"/>
            <w:vAlign w:val="center"/>
          </w:tcPr>
          <w:p w14:paraId="2167BA3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333" w:type="dxa"/>
            <w:tcBorders>
              <w:top w:val="nil"/>
              <w:left w:val="nil"/>
              <w:bottom w:val="single" w:color="auto" w:sz="4" w:space="0"/>
              <w:right w:val="single" w:color="auto" w:sz="4" w:space="0"/>
            </w:tcBorders>
            <w:noWrap w:val="0"/>
            <w:vAlign w:val="center"/>
          </w:tcPr>
          <w:p w14:paraId="1FFC637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212E7D3">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4FC5EB9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499" w:type="dxa"/>
            <w:tcBorders>
              <w:top w:val="nil"/>
              <w:left w:val="nil"/>
              <w:bottom w:val="single" w:color="auto" w:sz="4" w:space="0"/>
              <w:right w:val="single" w:color="auto" w:sz="4" w:space="0"/>
            </w:tcBorders>
            <w:noWrap w:val="0"/>
            <w:vAlign w:val="center"/>
          </w:tcPr>
          <w:p w14:paraId="05C623D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22654D3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208F160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560" w:type="dxa"/>
            <w:tcBorders>
              <w:top w:val="nil"/>
              <w:left w:val="nil"/>
              <w:bottom w:val="single" w:color="auto" w:sz="4" w:space="0"/>
              <w:right w:val="single" w:color="auto" w:sz="4" w:space="0"/>
            </w:tcBorders>
            <w:noWrap w:val="0"/>
            <w:vAlign w:val="center"/>
          </w:tcPr>
          <w:p w14:paraId="391A503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333" w:type="dxa"/>
            <w:tcBorders>
              <w:top w:val="nil"/>
              <w:left w:val="nil"/>
              <w:bottom w:val="single" w:color="auto" w:sz="4" w:space="0"/>
              <w:right w:val="single" w:color="auto" w:sz="4" w:space="0"/>
            </w:tcBorders>
            <w:noWrap w:val="0"/>
            <w:vAlign w:val="center"/>
          </w:tcPr>
          <w:p w14:paraId="6483264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DF0B1C0">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00F2E48A">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3A69242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988" w:type="dxa"/>
            <w:tcBorders>
              <w:top w:val="nil"/>
              <w:left w:val="nil"/>
              <w:bottom w:val="single" w:color="auto" w:sz="4" w:space="0"/>
              <w:right w:val="single" w:color="auto" w:sz="4" w:space="0"/>
            </w:tcBorders>
            <w:noWrap w:val="0"/>
            <w:vAlign w:val="center"/>
          </w:tcPr>
          <w:p w14:paraId="373E6C5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30C69A4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560" w:type="dxa"/>
            <w:tcBorders>
              <w:top w:val="nil"/>
              <w:left w:val="nil"/>
              <w:bottom w:val="single" w:color="auto" w:sz="4" w:space="0"/>
              <w:right w:val="single" w:color="auto" w:sz="4" w:space="0"/>
            </w:tcBorders>
            <w:noWrap w:val="0"/>
            <w:vAlign w:val="center"/>
          </w:tcPr>
          <w:p w14:paraId="20FD081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333" w:type="dxa"/>
            <w:tcBorders>
              <w:top w:val="nil"/>
              <w:left w:val="nil"/>
              <w:bottom w:val="single" w:color="auto" w:sz="4" w:space="0"/>
              <w:right w:val="single" w:color="auto" w:sz="4" w:space="0"/>
            </w:tcBorders>
            <w:noWrap w:val="0"/>
            <w:vAlign w:val="center"/>
          </w:tcPr>
          <w:p w14:paraId="3CF323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0DE2C6C3">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1A07AC4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499" w:type="dxa"/>
            <w:tcBorders>
              <w:top w:val="nil"/>
              <w:left w:val="nil"/>
              <w:bottom w:val="single" w:color="auto" w:sz="4" w:space="0"/>
              <w:right w:val="single" w:color="auto" w:sz="4" w:space="0"/>
            </w:tcBorders>
            <w:noWrap w:val="0"/>
            <w:vAlign w:val="center"/>
          </w:tcPr>
          <w:p w14:paraId="3B44880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00088BB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49ADDCC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560" w:type="dxa"/>
            <w:tcBorders>
              <w:top w:val="nil"/>
              <w:left w:val="nil"/>
              <w:bottom w:val="single" w:color="auto" w:sz="4" w:space="0"/>
              <w:right w:val="single" w:color="auto" w:sz="4" w:space="0"/>
            </w:tcBorders>
            <w:noWrap w:val="0"/>
            <w:vAlign w:val="center"/>
          </w:tcPr>
          <w:p w14:paraId="56E3D53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333" w:type="dxa"/>
            <w:tcBorders>
              <w:top w:val="nil"/>
              <w:left w:val="nil"/>
              <w:bottom w:val="single" w:color="auto" w:sz="4" w:space="0"/>
              <w:right w:val="single" w:color="auto" w:sz="4" w:space="0"/>
            </w:tcBorders>
            <w:noWrap w:val="0"/>
            <w:vAlign w:val="center"/>
          </w:tcPr>
          <w:p w14:paraId="4CB224F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553A3200">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13E15DFE">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3BABD44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31D012D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57C8742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560" w:type="dxa"/>
            <w:tcBorders>
              <w:top w:val="nil"/>
              <w:left w:val="nil"/>
              <w:bottom w:val="single" w:color="auto" w:sz="4" w:space="0"/>
              <w:right w:val="single" w:color="auto" w:sz="4" w:space="0"/>
            </w:tcBorders>
            <w:noWrap w:val="0"/>
            <w:vAlign w:val="center"/>
          </w:tcPr>
          <w:p w14:paraId="6C1A25E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333" w:type="dxa"/>
            <w:tcBorders>
              <w:top w:val="nil"/>
              <w:left w:val="nil"/>
              <w:bottom w:val="single" w:color="auto" w:sz="4" w:space="0"/>
              <w:right w:val="single" w:color="auto" w:sz="4" w:space="0"/>
            </w:tcBorders>
            <w:noWrap w:val="0"/>
            <w:vAlign w:val="center"/>
          </w:tcPr>
          <w:p w14:paraId="559B312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0E4A533A">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1A299A9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499" w:type="dxa"/>
            <w:tcBorders>
              <w:top w:val="nil"/>
              <w:left w:val="nil"/>
              <w:bottom w:val="single" w:color="auto" w:sz="4" w:space="0"/>
              <w:right w:val="single" w:color="auto" w:sz="4" w:space="0"/>
            </w:tcBorders>
            <w:noWrap w:val="0"/>
            <w:vAlign w:val="center"/>
          </w:tcPr>
          <w:p w14:paraId="0A8E3CF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70F93FD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31AF83C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560" w:type="dxa"/>
            <w:tcBorders>
              <w:top w:val="nil"/>
              <w:left w:val="nil"/>
              <w:bottom w:val="single" w:color="auto" w:sz="4" w:space="0"/>
              <w:right w:val="single" w:color="auto" w:sz="4" w:space="0"/>
            </w:tcBorders>
            <w:noWrap w:val="0"/>
            <w:vAlign w:val="center"/>
          </w:tcPr>
          <w:p w14:paraId="1883B50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333" w:type="dxa"/>
            <w:tcBorders>
              <w:top w:val="nil"/>
              <w:left w:val="nil"/>
              <w:bottom w:val="single" w:color="auto" w:sz="4" w:space="0"/>
              <w:right w:val="single" w:color="auto" w:sz="4" w:space="0"/>
            </w:tcBorders>
            <w:noWrap w:val="0"/>
            <w:vAlign w:val="center"/>
          </w:tcPr>
          <w:p w14:paraId="1FE757C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F7AE1C0">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44B40D53">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7218AAE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3A16D94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6F68183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560" w:type="dxa"/>
            <w:tcBorders>
              <w:top w:val="nil"/>
              <w:left w:val="nil"/>
              <w:bottom w:val="single" w:color="auto" w:sz="4" w:space="0"/>
              <w:right w:val="single" w:color="auto" w:sz="4" w:space="0"/>
            </w:tcBorders>
            <w:noWrap w:val="0"/>
            <w:vAlign w:val="center"/>
          </w:tcPr>
          <w:p w14:paraId="7C271FA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333" w:type="dxa"/>
            <w:tcBorders>
              <w:top w:val="nil"/>
              <w:left w:val="nil"/>
              <w:bottom w:val="single" w:color="auto" w:sz="4" w:space="0"/>
              <w:right w:val="single" w:color="auto" w:sz="4" w:space="0"/>
            </w:tcBorders>
            <w:noWrap w:val="0"/>
            <w:vAlign w:val="center"/>
          </w:tcPr>
          <w:p w14:paraId="140F4DC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F7106C7">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04B20C0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499" w:type="dxa"/>
            <w:tcBorders>
              <w:top w:val="nil"/>
              <w:left w:val="nil"/>
              <w:bottom w:val="single" w:color="auto" w:sz="4" w:space="0"/>
              <w:right w:val="single" w:color="auto" w:sz="4" w:space="0"/>
            </w:tcBorders>
            <w:noWrap w:val="0"/>
            <w:vAlign w:val="center"/>
          </w:tcPr>
          <w:p w14:paraId="7082CDF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2D6A6EB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4F847DA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560" w:type="dxa"/>
            <w:tcBorders>
              <w:top w:val="nil"/>
              <w:left w:val="nil"/>
              <w:bottom w:val="single" w:color="auto" w:sz="4" w:space="0"/>
              <w:right w:val="single" w:color="auto" w:sz="4" w:space="0"/>
            </w:tcBorders>
            <w:noWrap w:val="0"/>
            <w:vAlign w:val="center"/>
          </w:tcPr>
          <w:p w14:paraId="53092C8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333" w:type="dxa"/>
            <w:tcBorders>
              <w:top w:val="nil"/>
              <w:left w:val="nil"/>
              <w:bottom w:val="single" w:color="auto" w:sz="4" w:space="0"/>
              <w:right w:val="single" w:color="auto" w:sz="4" w:space="0"/>
            </w:tcBorders>
            <w:noWrap w:val="0"/>
            <w:vAlign w:val="center"/>
          </w:tcPr>
          <w:p w14:paraId="4EAB2CB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55FF1CE">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490B69C2">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4532CC8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40D7D24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35FAF1D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560" w:type="dxa"/>
            <w:tcBorders>
              <w:top w:val="nil"/>
              <w:left w:val="nil"/>
              <w:bottom w:val="single" w:color="auto" w:sz="4" w:space="0"/>
              <w:right w:val="single" w:color="auto" w:sz="4" w:space="0"/>
            </w:tcBorders>
            <w:noWrap w:val="0"/>
            <w:vAlign w:val="center"/>
          </w:tcPr>
          <w:p w14:paraId="745BC76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333" w:type="dxa"/>
            <w:tcBorders>
              <w:top w:val="nil"/>
              <w:left w:val="nil"/>
              <w:bottom w:val="single" w:color="auto" w:sz="4" w:space="0"/>
              <w:right w:val="single" w:color="auto" w:sz="4" w:space="0"/>
            </w:tcBorders>
            <w:noWrap w:val="0"/>
            <w:vAlign w:val="center"/>
          </w:tcPr>
          <w:p w14:paraId="47E99F4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79BBE43D">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558A218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499" w:type="dxa"/>
            <w:tcBorders>
              <w:top w:val="nil"/>
              <w:left w:val="nil"/>
              <w:bottom w:val="single" w:color="auto" w:sz="4" w:space="0"/>
              <w:right w:val="single" w:color="auto" w:sz="4" w:space="0"/>
            </w:tcBorders>
            <w:noWrap w:val="0"/>
            <w:vAlign w:val="center"/>
          </w:tcPr>
          <w:p w14:paraId="190DF8B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7E55D6E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18F85CC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560" w:type="dxa"/>
            <w:tcBorders>
              <w:top w:val="nil"/>
              <w:left w:val="nil"/>
              <w:bottom w:val="single" w:color="auto" w:sz="4" w:space="0"/>
              <w:right w:val="single" w:color="auto" w:sz="4" w:space="0"/>
            </w:tcBorders>
            <w:noWrap w:val="0"/>
            <w:vAlign w:val="center"/>
          </w:tcPr>
          <w:p w14:paraId="79C70F9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333" w:type="dxa"/>
            <w:tcBorders>
              <w:top w:val="nil"/>
              <w:left w:val="nil"/>
              <w:bottom w:val="single" w:color="auto" w:sz="4" w:space="0"/>
              <w:right w:val="single" w:color="auto" w:sz="4" w:space="0"/>
            </w:tcBorders>
            <w:noWrap w:val="0"/>
            <w:vAlign w:val="center"/>
          </w:tcPr>
          <w:p w14:paraId="65E7A6F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5948459">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50703D2F">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2CB1DBF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7BE2570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6054F59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560" w:type="dxa"/>
            <w:tcBorders>
              <w:top w:val="nil"/>
              <w:left w:val="nil"/>
              <w:bottom w:val="single" w:color="auto" w:sz="4" w:space="0"/>
              <w:right w:val="single" w:color="auto" w:sz="4" w:space="0"/>
            </w:tcBorders>
            <w:noWrap w:val="0"/>
            <w:vAlign w:val="center"/>
          </w:tcPr>
          <w:p w14:paraId="366F6E8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333" w:type="dxa"/>
            <w:tcBorders>
              <w:top w:val="nil"/>
              <w:left w:val="nil"/>
              <w:bottom w:val="single" w:color="auto" w:sz="4" w:space="0"/>
              <w:right w:val="single" w:color="auto" w:sz="4" w:space="0"/>
            </w:tcBorders>
            <w:noWrap w:val="0"/>
            <w:vAlign w:val="center"/>
          </w:tcPr>
          <w:p w14:paraId="0AA8A53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A998475">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4A1836D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499" w:type="dxa"/>
            <w:tcBorders>
              <w:top w:val="nil"/>
              <w:left w:val="nil"/>
              <w:bottom w:val="single" w:color="auto" w:sz="4" w:space="0"/>
              <w:right w:val="single" w:color="auto" w:sz="4" w:space="0"/>
            </w:tcBorders>
            <w:noWrap w:val="0"/>
            <w:vAlign w:val="center"/>
          </w:tcPr>
          <w:p w14:paraId="6986896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054DEC9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618EAF2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560" w:type="dxa"/>
            <w:tcBorders>
              <w:top w:val="nil"/>
              <w:left w:val="nil"/>
              <w:bottom w:val="single" w:color="auto" w:sz="4" w:space="0"/>
              <w:right w:val="single" w:color="auto" w:sz="4" w:space="0"/>
            </w:tcBorders>
            <w:noWrap w:val="0"/>
            <w:vAlign w:val="center"/>
          </w:tcPr>
          <w:p w14:paraId="1281759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333" w:type="dxa"/>
            <w:tcBorders>
              <w:top w:val="nil"/>
              <w:left w:val="nil"/>
              <w:bottom w:val="single" w:color="auto" w:sz="4" w:space="0"/>
              <w:right w:val="single" w:color="auto" w:sz="4" w:space="0"/>
            </w:tcBorders>
            <w:noWrap w:val="0"/>
            <w:vAlign w:val="center"/>
          </w:tcPr>
          <w:p w14:paraId="5A4D12B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98B6E34">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545960DF">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2243B38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121C16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4585F71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560" w:type="dxa"/>
            <w:tcBorders>
              <w:top w:val="nil"/>
              <w:left w:val="nil"/>
              <w:bottom w:val="single" w:color="auto" w:sz="4" w:space="0"/>
              <w:right w:val="single" w:color="auto" w:sz="4" w:space="0"/>
            </w:tcBorders>
            <w:noWrap w:val="0"/>
            <w:vAlign w:val="center"/>
          </w:tcPr>
          <w:p w14:paraId="183F409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333" w:type="dxa"/>
            <w:tcBorders>
              <w:top w:val="nil"/>
              <w:left w:val="nil"/>
              <w:bottom w:val="single" w:color="auto" w:sz="4" w:space="0"/>
              <w:right w:val="single" w:color="auto" w:sz="4" w:space="0"/>
            </w:tcBorders>
            <w:noWrap w:val="0"/>
            <w:vAlign w:val="center"/>
          </w:tcPr>
          <w:p w14:paraId="4F017CC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DC175FD">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5059FB1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499" w:type="dxa"/>
            <w:tcBorders>
              <w:top w:val="nil"/>
              <w:left w:val="nil"/>
              <w:bottom w:val="single" w:color="auto" w:sz="4" w:space="0"/>
              <w:right w:val="single" w:color="auto" w:sz="4" w:space="0"/>
            </w:tcBorders>
            <w:noWrap w:val="0"/>
            <w:vAlign w:val="center"/>
          </w:tcPr>
          <w:p w14:paraId="63C60C4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382096A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52E832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560" w:type="dxa"/>
            <w:tcBorders>
              <w:top w:val="nil"/>
              <w:left w:val="nil"/>
              <w:bottom w:val="single" w:color="auto" w:sz="4" w:space="0"/>
              <w:right w:val="single" w:color="auto" w:sz="4" w:space="0"/>
            </w:tcBorders>
            <w:noWrap w:val="0"/>
            <w:vAlign w:val="center"/>
          </w:tcPr>
          <w:p w14:paraId="603127D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3A119DB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1255CD2">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248B888A">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2872F7D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281BD51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593A82E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560" w:type="dxa"/>
            <w:tcBorders>
              <w:top w:val="nil"/>
              <w:left w:val="nil"/>
              <w:bottom w:val="single" w:color="auto" w:sz="4" w:space="0"/>
              <w:right w:val="single" w:color="auto" w:sz="4" w:space="0"/>
            </w:tcBorders>
            <w:noWrap w:val="0"/>
            <w:vAlign w:val="center"/>
          </w:tcPr>
          <w:p w14:paraId="4A8A29A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333" w:type="dxa"/>
            <w:tcBorders>
              <w:top w:val="nil"/>
              <w:left w:val="nil"/>
              <w:bottom w:val="single" w:color="auto" w:sz="4" w:space="0"/>
              <w:right w:val="single" w:color="auto" w:sz="4" w:space="0"/>
            </w:tcBorders>
            <w:noWrap w:val="0"/>
            <w:vAlign w:val="center"/>
          </w:tcPr>
          <w:p w14:paraId="2765868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068D027">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5384055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499" w:type="dxa"/>
            <w:tcBorders>
              <w:top w:val="nil"/>
              <w:left w:val="nil"/>
              <w:bottom w:val="single" w:color="auto" w:sz="4" w:space="0"/>
              <w:right w:val="single" w:color="auto" w:sz="4" w:space="0"/>
            </w:tcBorders>
            <w:noWrap w:val="0"/>
            <w:vAlign w:val="center"/>
          </w:tcPr>
          <w:p w14:paraId="0FB95D1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6ECAF7B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63CEABB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560" w:type="dxa"/>
            <w:tcBorders>
              <w:top w:val="nil"/>
              <w:left w:val="nil"/>
              <w:bottom w:val="single" w:color="auto" w:sz="4" w:space="0"/>
              <w:right w:val="single" w:color="auto" w:sz="4" w:space="0"/>
            </w:tcBorders>
            <w:noWrap w:val="0"/>
            <w:vAlign w:val="center"/>
          </w:tcPr>
          <w:p w14:paraId="3EEC2ED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0BBA8F6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AFC9793">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0A9E6EC3">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3F50A70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7814396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60C7C0E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560" w:type="dxa"/>
            <w:tcBorders>
              <w:top w:val="nil"/>
              <w:left w:val="nil"/>
              <w:bottom w:val="single" w:color="auto" w:sz="4" w:space="0"/>
              <w:right w:val="single" w:color="auto" w:sz="4" w:space="0"/>
            </w:tcBorders>
            <w:noWrap w:val="0"/>
            <w:vAlign w:val="center"/>
          </w:tcPr>
          <w:p w14:paraId="07A36E5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333" w:type="dxa"/>
            <w:tcBorders>
              <w:top w:val="nil"/>
              <w:left w:val="nil"/>
              <w:bottom w:val="single" w:color="auto" w:sz="4" w:space="0"/>
              <w:right w:val="single" w:color="auto" w:sz="4" w:space="0"/>
            </w:tcBorders>
            <w:noWrap w:val="0"/>
            <w:vAlign w:val="center"/>
          </w:tcPr>
          <w:p w14:paraId="28E7BAC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8DBEB41">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01F1CE2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499" w:type="dxa"/>
            <w:tcBorders>
              <w:top w:val="nil"/>
              <w:left w:val="nil"/>
              <w:bottom w:val="single" w:color="auto" w:sz="4" w:space="0"/>
              <w:right w:val="single" w:color="auto" w:sz="4" w:space="0"/>
            </w:tcBorders>
            <w:noWrap w:val="0"/>
            <w:vAlign w:val="center"/>
          </w:tcPr>
          <w:p w14:paraId="6A8DB42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7F493A5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2E2129D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560" w:type="dxa"/>
            <w:tcBorders>
              <w:top w:val="nil"/>
              <w:left w:val="nil"/>
              <w:bottom w:val="single" w:color="auto" w:sz="4" w:space="0"/>
              <w:right w:val="single" w:color="auto" w:sz="4" w:space="0"/>
            </w:tcBorders>
            <w:noWrap w:val="0"/>
            <w:vAlign w:val="center"/>
          </w:tcPr>
          <w:p w14:paraId="71049FB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759B5F6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D3796B0">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1B75DC48">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3930E1A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6593444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0BF8510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560" w:type="dxa"/>
            <w:tcBorders>
              <w:top w:val="nil"/>
              <w:left w:val="nil"/>
              <w:bottom w:val="single" w:color="auto" w:sz="4" w:space="0"/>
              <w:right w:val="single" w:color="auto" w:sz="4" w:space="0"/>
            </w:tcBorders>
            <w:noWrap w:val="0"/>
            <w:vAlign w:val="center"/>
          </w:tcPr>
          <w:p w14:paraId="3B07C8A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333" w:type="dxa"/>
            <w:tcBorders>
              <w:top w:val="nil"/>
              <w:left w:val="nil"/>
              <w:bottom w:val="single" w:color="auto" w:sz="4" w:space="0"/>
              <w:right w:val="single" w:color="auto" w:sz="4" w:space="0"/>
            </w:tcBorders>
            <w:noWrap w:val="0"/>
            <w:vAlign w:val="center"/>
          </w:tcPr>
          <w:p w14:paraId="319221B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EA39F48">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04861F1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499" w:type="dxa"/>
            <w:tcBorders>
              <w:top w:val="nil"/>
              <w:left w:val="nil"/>
              <w:bottom w:val="single" w:color="auto" w:sz="4" w:space="0"/>
              <w:right w:val="single" w:color="auto" w:sz="4" w:space="0"/>
            </w:tcBorders>
            <w:noWrap w:val="0"/>
            <w:vAlign w:val="center"/>
          </w:tcPr>
          <w:p w14:paraId="1C4B075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7A2AE66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15BA502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560" w:type="dxa"/>
            <w:tcBorders>
              <w:top w:val="nil"/>
              <w:left w:val="nil"/>
              <w:bottom w:val="single" w:color="auto" w:sz="4" w:space="0"/>
              <w:right w:val="single" w:color="auto" w:sz="4" w:space="0"/>
            </w:tcBorders>
            <w:noWrap w:val="0"/>
            <w:vAlign w:val="center"/>
          </w:tcPr>
          <w:p w14:paraId="7CB7C3A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637EA7A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928CCA6">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0316FC63">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05B024D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5B3DEBE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34159B0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560" w:type="dxa"/>
            <w:tcBorders>
              <w:top w:val="nil"/>
              <w:left w:val="nil"/>
              <w:bottom w:val="single" w:color="auto" w:sz="4" w:space="0"/>
              <w:right w:val="single" w:color="auto" w:sz="4" w:space="0"/>
            </w:tcBorders>
            <w:noWrap w:val="0"/>
            <w:vAlign w:val="center"/>
          </w:tcPr>
          <w:p w14:paraId="25C8EAE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333" w:type="dxa"/>
            <w:tcBorders>
              <w:top w:val="nil"/>
              <w:left w:val="nil"/>
              <w:bottom w:val="single" w:color="auto" w:sz="4" w:space="0"/>
              <w:right w:val="single" w:color="auto" w:sz="4" w:space="0"/>
            </w:tcBorders>
            <w:noWrap w:val="0"/>
            <w:vAlign w:val="center"/>
          </w:tcPr>
          <w:p w14:paraId="385F39C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1FF43626">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40C0916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499" w:type="dxa"/>
            <w:tcBorders>
              <w:top w:val="nil"/>
              <w:left w:val="nil"/>
              <w:bottom w:val="single" w:color="auto" w:sz="4" w:space="0"/>
              <w:right w:val="single" w:color="auto" w:sz="4" w:space="0"/>
            </w:tcBorders>
            <w:noWrap w:val="0"/>
            <w:vAlign w:val="center"/>
          </w:tcPr>
          <w:p w14:paraId="0DDEEDD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29BAB56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3EB1E21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560" w:type="dxa"/>
            <w:tcBorders>
              <w:top w:val="nil"/>
              <w:left w:val="nil"/>
              <w:bottom w:val="single" w:color="auto" w:sz="4" w:space="0"/>
              <w:right w:val="single" w:color="auto" w:sz="4" w:space="0"/>
            </w:tcBorders>
            <w:noWrap w:val="0"/>
            <w:vAlign w:val="center"/>
          </w:tcPr>
          <w:p w14:paraId="5CA3FA1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333" w:type="dxa"/>
            <w:tcBorders>
              <w:top w:val="nil"/>
              <w:left w:val="nil"/>
              <w:bottom w:val="single" w:color="auto" w:sz="4" w:space="0"/>
              <w:right w:val="single" w:color="auto" w:sz="4" w:space="0"/>
            </w:tcBorders>
            <w:noWrap w:val="0"/>
            <w:vAlign w:val="center"/>
          </w:tcPr>
          <w:p w14:paraId="0D2244A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3B931E7B">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117B66F7">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0ACBD4C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988" w:type="dxa"/>
            <w:tcBorders>
              <w:top w:val="nil"/>
              <w:left w:val="nil"/>
              <w:bottom w:val="single" w:color="auto" w:sz="4" w:space="0"/>
              <w:right w:val="single" w:color="auto" w:sz="4" w:space="0"/>
            </w:tcBorders>
            <w:noWrap w:val="0"/>
            <w:vAlign w:val="center"/>
          </w:tcPr>
          <w:p w14:paraId="1D7A5B7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4CFDD02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560" w:type="dxa"/>
            <w:tcBorders>
              <w:top w:val="nil"/>
              <w:left w:val="nil"/>
              <w:bottom w:val="single" w:color="auto" w:sz="4" w:space="0"/>
              <w:right w:val="single" w:color="auto" w:sz="4" w:space="0"/>
            </w:tcBorders>
            <w:noWrap w:val="0"/>
            <w:vAlign w:val="center"/>
          </w:tcPr>
          <w:p w14:paraId="1797429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333" w:type="dxa"/>
            <w:tcBorders>
              <w:top w:val="nil"/>
              <w:left w:val="nil"/>
              <w:bottom w:val="single" w:color="auto" w:sz="4" w:space="0"/>
              <w:right w:val="single" w:color="auto" w:sz="4" w:space="0"/>
            </w:tcBorders>
            <w:noWrap w:val="0"/>
            <w:vAlign w:val="center"/>
          </w:tcPr>
          <w:p w14:paraId="061D831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15758A4A">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3F480B2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499" w:type="dxa"/>
            <w:tcBorders>
              <w:top w:val="nil"/>
              <w:left w:val="nil"/>
              <w:bottom w:val="single" w:color="auto" w:sz="4" w:space="0"/>
              <w:right w:val="single" w:color="auto" w:sz="4" w:space="0"/>
            </w:tcBorders>
            <w:noWrap w:val="0"/>
            <w:vAlign w:val="center"/>
          </w:tcPr>
          <w:p w14:paraId="2604C3D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014BCEB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04AD161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560" w:type="dxa"/>
            <w:tcBorders>
              <w:top w:val="nil"/>
              <w:left w:val="nil"/>
              <w:bottom w:val="single" w:color="auto" w:sz="4" w:space="0"/>
              <w:right w:val="single" w:color="auto" w:sz="4" w:space="0"/>
            </w:tcBorders>
            <w:noWrap w:val="0"/>
            <w:vAlign w:val="center"/>
          </w:tcPr>
          <w:p w14:paraId="306EA09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333" w:type="dxa"/>
            <w:tcBorders>
              <w:top w:val="nil"/>
              <w:left w:val="nil"/>
              <w:bottom w:val="single" w:color="auto" w:sz="4" w:space="0"/>
              <w:right w:val="single" w:color="auto" w:sz="4" w:space="0"/>
            </w:tcBorders>
            <w:noWrap w:val="0"/>
            <w:vAlign w:val="center"/>
          </w:tcPr>
          <w:p w14:paraId="2291C18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2CEFDD7F">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77B2194B">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4A0D7F0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988" w:type="dxa"/>
            <w:tcBorders>
              <w:top w:val="nil"/>
              <w:left w:val="nil"/>
              <w:bottom w:val="single" w:color="auto" w:sz="4" w:space="0"/>
              <w:right w:val="single" w:color="auto" w:sz="4" w:space="0"/>
            </w:tcBorders>
            <w:noWrap w:val="0"/>
            <w:vAlign w:val="center"/>
          </w:tcPr>
          <w:p w14:paraId="057350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10896B2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560" w:type="dxa"/>
            <w:tcBorders>
              <w:top w:val="nil"/>
              <w:left w:val="nil"/>
              <w:bottom w:val="single" w:color="auto" w:sz="4" w:space="0"/>
              <w:right w:val="single" w:color="auto" w:sz="4" w:space="0"/>
            </w:tcBorders>
            <w:noWrap w:val="0"/>
            <w:vAlign w:val="center"/>
          </w:tcPr>
          <w:p w14:paraId="1886C03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333" w:type="dxa"/>
            <w:tcBorders>
              <w:top w:val="nil"/>
              <w:left w:val="nil"/>
              <w:bottom w:val="single" w:color="auto" w:sz="4" w:space="0"/>
              <w:right w:val="single" w:color="auto" w:sz="4" w:space="0"/>
            </w:tcBorders>
            <w:noWrap w:val="0"/>
            <w:vAlign w:val="center"/>
          </w:tcPr>
          <w:p w14:paraId="6768E57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283BFE0B">
        <w:tblPrEx>
          <w:tblCellMar>
            <w:top w:w="0" w:type="dxa"/>
            <w:left w:w="108" w:type="dxa"/>
            <w:bottom w:w="0" w:type="dxa"/>
            <w:right w:w="108" w:type="dxa"/>
          </w:tblCellMar>
        </w:tblPrEx>
        <w:trPr>
          <w:trHeight w:val="326" w:hRule="atLeast"/>
          <w:jc w:val="center"/>
        </w:trPr>
        <w:tc>
          <w:tcPr>
            <w:tcW w:w="2822" w:type="dxa"/>
            <w:vMerge w:val="restart"/>
            <w:tcBorders>
              <w:top w:val="nil"/>
              <w:left w:val="single" w:color="auto" w:sz="4" w:space="0"/>
              <w:bottom w:val="single" w:color="auto" w:sz="4" w:space="0"/>
              <w:right w:val="single" w:color="auto" w:sz="4" w:space="0"/>
            </w:tcBorders>
            <w:noWrap w:val="0"/>
            <w:vAlign w:val="center"/>
          </w:tcPr>
          <w:p w14:paraId="708AC35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499" w:type="dxa"/>
            <w:tcBorders>
              <w:top w:val="nil"/>
              <w:left w:val="nil"/>
              <w:bottom w:val="single" w:color="auto" w:sz="4" w:space="0"/>
              <w:right w:val="single" w:color="auto" w:sz="4" w:space="0"/>
            </w:tcBorders>
            <w:noWrap w:val="0"/>
            <w:vAlign w:val="center"/>
          </w:tcPr>
          <w:p w14:paraId="3D74822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374A5C3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33DE803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560" w:type="dxa"/>
            <w:tcBorders>
              <w:top w:val="nil"/>
              <w:left w:val="nil"/>
              <w:bottom w:val="single" w:color="auto" w:sz="4" w:space="0"/>
              <w:right w:val="single" w:color="auto" w:sz="4" w:space="0"/>
            </w:tcBorders>
            <w:noWrap w:val="0"/>
            <w:vAlign w:val="center"/>
          </w:tcPr>
          <w:p w14:paraId="79480A0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28307CC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A4D5E4F">
        <w:tblPrEx>
          <w:tblCellMar>
            <w:top w:w="0" w:type="dxa"/>
            <w:left w:w="108" w:type="dxa"/>
            <w:bottom w:w="0" w:type="dxa"/>
            <w:right w:w="108" w:type="dxa"/>
          </w:tblCellMar>
        </w:tblPrEx>
        <w:trPr>
          <w:trHeight w:val="326" w:hRule="atLeast"/>
          <w:jc w:val="center"/>
        </w:trPr>
        <w:tc>
          <w:tcPr>
            <w:tcW w:w="2822" w:type="dxa"/>
            <w:vMerge w:val="continue"/>
            <w:tcBorders>
              <w:top w:val="nil"/>
              <w:left w:val="single" w:color="auto" w:sz="4" w:space="0"/>
              <w:bottom w:val="single" w:color="auto" w:sz="4" w:space="0"/>
              <w:right w:val="single" w:color="auto" w:sz="4" w:space="0"/>
            </w:tcBorders>
            <w:noWrap w:val="0"/>
            <w:vAlign w:val="center"/>
          </w:tcPr>
          <w:p w14:paraId="2E5DC00E">
            <w:pPr>
              <w:jc w:val="center"/>
              <w:rPr>
                <w:rFonts w:hint="eastAsia" w:ascii="仿宋" w:hAnsi="仿宋" w:eastAsia="仿宋" w:cs="仿宋"/>
                <w:color w:val="auto"/>
                <w:sz w:val="20"/>
                <w:szCs w:val="20"/>
                <w:highlight w:val="none"/>
              </w:rPr>
            </w:pPr>
          </w:p>
        </w:tc>
        <w:tc>
          <w:tcPr>
            <w:tcW w:w="1499" w:type="dxa"/>
            <w:tcBorders>
              <w:top w:val="nil"/>
              <w:left w:val="nil"/>
              <w:bottom w:val="single" w:color="auto" w:sz="4" w:space="0"/>
              <w:right w:val="single" w:color="auto" w:sz="4" w:space="0"/>
            </w:tcBorders>
            <w:noWrap w:val="0"/>
            <w:vAlign w:val="center"/>
          </w:tcPr>
          <w:p w14:paraId="2BB6C1A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988" w:type="dxa"/>
            <w:tcBorders>
              <w:top w:val="nil"/>
              <w:left w:val="nil"/>
              <w:bottom w:val="single" w:color="auto" w:sz="4" w:space="0"/>
              <w:right w:val="single" w:color="auto" w:sz="4" w:space="0"/>
            </w:tcBorders>
            <w:noWrap w:val="0"/>
            <w:vAlign w:val="center"/>
          </w:tcPr>
          <w:p w14:paraId="2E3060C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55" w:type="dxa"/>
            <w:tcBorders>
              <w:top w:val="nil"/>
              <w:left w:val="nil"/>
              <w:bottom w:val="single" w:color="auto" w:sz="4" w:space="0"/>
              <w:right w:val="single" w:color="auto" w:sz="4" w:space="0"/>
            </w:tcBorders>
            <w:noWrap w:val="0"/>
            <w:vAlign w:val="center"/>
          </w:tcPr>
          <w:p w14:paraId="4216BB2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560" w:type="dxa"/>
            <w:tcBorders>
              <w:top w:val="nil"/>
              <w:left w:val="nil"/>
              <w:bottom w:val="single" w:color="auto" w:sz="4" w:space="0"/>
              <w:right w:val="single" w:color="auto" w:sz="4" w:space="0"/>
            </w:tcBorders>
            <w:noWrap w:val="0"/>
            <w:vAlign w:val="center"/>
          </w:tcPr>
          <w:p w14:paraId="4AD964B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333" w:type="dxa"/>
            <w:tcBorders>
              <w:top w:val="nil"/>
              <w:left w:val="nil"/>
              <w:bottom w:val="single" w:color="auto" w:sz="4" w:space="0"/>
              <w:right w:val="single" w:color="auto" w:sz="4" w:space="0"/>
            </w:tcBorders>
            <w:noWrap w:val="0"/>
            <w:vAlign w:val="center"/>
          </w:tcPr>
          <w:p w14:paraId="7767C1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1A93806">
        <w:tblPrEx>
          <w:tblCellMar>
            <w:top w:w="0" w:type="dxa"/>
            <w:left w:w="108" w:type="dxa"/>
            <w:bottom w:w="0" w:type="dxa"/>
            <w:right w:w="108" w:type="dxa"/>
          </w:tblCellMar>
        </w:tblPrEx>
        <w:trPr>
          <w:trHeight w:val="335" w:hRule="atLeast"/>
          <w:jc w:val="center"/>
        </w:trPr>
        <w:tc>
          <w:tcPr>
            <w:tcW w:w="2822" w:type="dxa"/>
            <w:tcBorders>
              <w:top w:val="nil"/>
              <w:left w:val="single" w:color="auto" w:sz="4" w:space="0"/>
              <w:bottom w:val="single" w:color="auto" w:sz="4" w:space="0"/>
              <w:right w:val="single" w:color="auto" w:sz="4" w:space="0"/>
            </w:tcBorders>
            <w:noWrap w:val="0"/>
            <w:vAlign w:val="center"/>
          </w:tcPr>
          <w:p w14:paraId="518D3BF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499" w:type="dxa"/>
            <w:tcBorders>
              <w:top w:val="nil"/>
              <w:left w:val="nil"/>
              <w:bottom w:val="single" w:color="auto" w:sz="4" w:space="0"/>
              <w:right w:val="single" w:color="auto" w:sz="4" w:space="0"/>
            </w:tcBorders>
            <w:noWrap w:val="0"/>
            <w:vAlign w:val="center"/>
          </w:tcPr>
          <w:p w14:paraId="6DAEE6C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988" w:type="dxa"/>
            <w:tcBorders>
              <w:top w:val="nil"/>
              <w:left w:val="nil"/>
              <w:bottom w:val="single" w:color="auto" w:sz="4" w:space="0"/>
              <w:right w:val="single" w:color="auto" w:sz="4" w:space="0"/>
            </w:tcBorders>
            <w:noWrap w:val="0"/>
            <w:vAlign w:val="center"/>
          </w:tcPr>
          <w:p w14:paraId="6F90454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55" w:type="dxa"/>
            <w:tcBorders>
              <w:top w:val="nil"/>
              <w:left w:val="nil"/>
              <w:bottom w:val="single" w:color="auto" w:sz="4" w:space="0"/>
              <w:right w:val="single" w:color="auto" w:sz="4" w:space="0"/>
            </w:tcBorders>
            <w:noWrap w:val="0"/>
            <w:vAlign w:val="center"/>
          </w:tcPr>
          <w:p w14:paraId="129CB17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560" w:type="dxa"/>
            <w:tcBorders>
              <w:top w:val="nil"/>
              <w:left w:val="nil"/>
              <w:bottom w:val="single" w:color="auto" w:sz="4" w:space="0"/>
              <w:right w:val="single" w:color="auto" w:sz="4" w:space="0"/>
            </w:tcBorders>
            <w:noWrap w:val="0"/>
            <w:vAlign w:val="center"/>
          </w:tcPr>
          <w:p w14:paraId="7B6338D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333" w:type="dxa"/>
            <w:tcBorders>
              <w:top w:val="nil"/>
              <w:left w:val="nil"/>
              <w:bottom w:val="single" w:color="auto" w:sz="4" w:space="0"/>
              <w:right w:val="single" w:color="auto" w:sz="4" w:space="0"/>
            </w:tcBorders>
            <w:noWrap w:val="0"/>
            <w:vAlign w:val="center"/>
          </w:tcPr>
          <w:p w14:paraId="1126B32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1A62CFD7">
      <w:pPr>
        <w:spacing w:line="360" w:lineRule="auto"/>
        <w:ind w:firstLine="500" w:firstLineChars="250"/>
        <w:rPr>
          <w:rFonts w:hint="eastAsia" w:ascii="仿宋" w:hAnsi="仿宋" w:eastAsia="仿宋" w:cs="仿宋"/>
          <w:color w:val="auto"/>
          <w:sz w:val="20"/>
          <w:szCs w:val="22"/>
          <w:highlight w:val="none"/>
        </w:rPr>
      </w:pPr>
      <w:r>
        <w:rPr>
          <w:rFonts w:hint="eastAsia" w:ascii="仿宋" w:hAnsi="仿宋" w:eastAsia="仿宋" w:cs="仿宋"/>
          <w:color w:val="auto"/>
          <w:sz w:val="20"/>
          <w:szCs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75221B8">
      <w:pPr>
        <w:pStyle w:val="2"/>
        <w:spacing w:before="0" w:after="0" w:line="360" w:lineRule="auto"/>
        <w:jc w:val="center"/>
        <w:rPr>
          <w:rFonts w:hint="eastAsia" w:ascii="仿宋" w:hAnsi="仿宋" w:eastAsia="仿宋" w:cs="仿宋"/>
          <w:color w:val="auto"/>
          <w:highlight w:val="none"/>
        </w:rPr>
      </w:pPr>
      <w:bookmarkStart w:id="29" w:name="_Toc4524"/>
      <w:bookmarkStart w:id="30" w:name="_Toc25027"/>
      <w:bookmarkStart w:id="31" w:name="_Toc26461"/>
      <w:r>
        <w:rPr>
          <w:rFonts w:hint="eastAsia" w:ascii="仿宋" w:hAnsi="仿宋" w:eastAsia="仿宋" w:cs="仿宋"/>
          <w:bCs w:val="0"/>
          <w:color w:val="auto"/>
          <w:highlight w:val="none"/>
        </w:rPr>
        <w:t>第三章 供应商须知</w:t>
      </w:r>
      <w:bookmarkEnd w:id="29"/>
      <w:bookmarkEnd w:id="30"/>
      <w:bookmarkEnd w:id="31"/>
    </w:p>
    <w:p w14:paraId="0B717D25">
      <w:pPr>
        <w:pStyle w:val="3"/>
        <w:spacing w:before="0" w:after="0"/>
        <w:jc w:val="center"/>
        <w:rPr>
          <w:rFonts w:hint="eastAsia" w:ascii="仿宋" w:hAnsi="仿宋" w:eastAsia="仿宋" w:cs="仿宋"/>
          <w:b w:val="0"/>
          <w:color w:val="auto"/>
          <w:highlight w:val="none"/>
        </w:rPr>
      </w:pPr>
      <w:bookmarkStart w:id="32" w:name="_Toc3167"/>
      <w:bookmarkStart w:id="33" w:name="_Toc10694"/>
      <w:bookmarkStart w:id="34" w:name="_Toc21713"/>
      <w:bookmarkStart w:id="35" w:name="_Toc1096143390"/>
      <w:r>
        <w:rPr>
          <w:rFonts w:hint="eastAsia" w:ascii="仿宋" w:hAnsi="仿宋" w:eastAsia="仿宋" w:cs="仿宋"/>
          <w:b w:val="0"/>
          <w:color w:val="auto"/>
          <w:highlight w:val="none"/>
        </w:rPr>
        <w:t>第一节 供应商须知前附表</w:t>
      </w:r>
      <w:bookmarkEnd w:id="32"/>
      <w:bookmarkEnd w:id="33"/>
      <w:bookmarkEnd w:id="34"/>
      <w:bookmarkEnd w:id="35"/>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9"/>
        <w:gridCol w:w="2427"/>
        <w:gridCol w:w="6644"/>
      </w:tblGrid>
      <w:tr w14:paraId="57481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859" w:type="dxa"/>
            <w:noWrap w:val="0"/>
            <w:vAlign w:val="center"/>
          </w:tcPr>
          <w:p w14:paraId="27D6C72E">
            <w:pPr>
              <w:spacing w:line="44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2427" w:type="dxa"/>
            <w:noWrap w:val="0"/>
            <w:vAlign w:val="center"/>
          </w:tcPr>
          <w:p w14:paraId="187BEE08">
            <w:pPr>
              <w:spacing w:line="44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条款内容</w:t>
            </w:r>
          </w:p>
        </w:tc>
        <w:tc>
          <w:tcPr>
            <w:tcW w:w="6644" w:type="dxa"/>
            <w:noWrap w:val="0"/>
            <w:vAlign w:val="center"/>
          </w:tcPr>
          <w:p w14:paraId="11A85079">
            <w:pPr>
              <w:spacing w:line="44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具体要求</w:t>
            </w:r>
          </w:p>
        </w:tc>
      </w:tr>
      <w:tr w14:paraId="2A50B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247A87F7">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w:t>
            </w:r>
          </w:p>
        </w:tc>
        <w:tc>
          <w:tcPr>
            <w:tcW w:w="2427" w:type="dxa"/>
            <w:noWrap w:val="0"/>
            <w:vAlign w:val="center"/>
          </w:tcPr>
          <w:p w14:paraId="63C42066">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供应商资格条件</w:t>
            </w:r>
          </w:p>
        </w:tc>
        <w:tc>
          <w:tcPr>
            <w:tcW w:w="6644" w:type="dxa"/>
            <w:noWrap w:val="0"/>
            <w:vAlign w:val="top"/>
          </w:tcPr>
          <w:p w14:paraId="7B0865A4">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详见竞争性磋商公告。</w:t>
            </w:r>
          </w:p>
        </w:tc>
      </w:tr>
      <w:tr w14:paraId="520EA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551E46C5">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5.1</w:t>
            </w:r>
          </w:p>
        </w:tc>
        <w:tc>
          <w:tcPr>
            <w:tcW w:w="2427" w:type="dxa"/>
            <w:noWrap w:val="0"/>
            <w:vAlign w:val="center"/>
          </w:tcPr>
          <w:p w14:paraId="7FB980B4">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是否接受联合体竞标</w:t>
            </w:r>
          </w:p>
        </w:tc>
        <w:tc>
          <w:tcPr>
            <w:tcW w:w="6644" w:type="dxa"/>
            <w:noWrap w:val="0"/>
            <w:vAlign w:val="center"/>
          </w:tcPr>
          <w:p w14:paraId="3EC22BFC">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详见竞争性磋商公告。</w:t>
            </w:r>
          </w:p>
        </w:tc>
      </w:tr>
      <w:tr w14:paraId="52E08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101732E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5.2</w:t>
            </w:r>
          </w:p>
        </w:tc>
        <w:tc>
          <w:tcPr>
            <w:tcW w:w="2427" w:type="dxa"/>
            <w:noWrap w:val="0"/>
            <w:vAlign w:val="center"/>
          </w:tcPr>
          <w:p w14:paraId="23F4CAF5">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联合体竞标要求</w:t>
            </w:r>
          </w:p>
        </w:tc>
        <w:tc>
          <w:tcPr>
            <w:tcW w:w="6644" w:type="dxa"/>
            <w:noWrap w:val="0"/>
            <w:vAlign w:val="center"/>
          </w:tcPr>
          <w:p w14:paraId="4760786F">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详见竞争性磋商公告。</w:t>
            </w:r>
          </w:p>
        </w:tc>
      </w:tr>
      <w:tr w14:paraId="28845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53B842F0">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6.1</w:t>
            </w:r>
          </w:p>
        </w:tc>
        <w:tc>
          <w:tcPr>
            <w:tcW w:w="2427" w:type="dxa"/>
            <w:noWrap w:val="0"/>
            <w:vAlign w:val="center"/>
          </w:tcPr>
          <w:p w14:paraId="11EE9C8D">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是否允许分包</w:t>
            </w:r>
          </w:p>
        </w:tc>
        <w:tc>
          <w:tcPr>
            <w:tcW w:w="6644" w:type="dxa"/>
            <w:noWrap w:val="0"/>
            <w:vAlign w:val="center"/>
          </w:tcPr>
          <w:p w14:paraId="5BC5EDD3">
            <w:pPr>
              <w:pStyle w:val="11"/>
              <w:spacing w:line="440" w:lineRule="exact"/>
              <w:rPr>
                <w:rFonts w:hint="eastAsia" w:ascii="仿宋" w:hAnsi="仿宋" w:eastAsia="仿宋" w:cs="仿宋"/>
                <w:color w:val="auto"/>
                <w:szCs w:val="21"/>
                <w:highlight w:val="none"/>
              </w:rPr>
            </w:pPr>
            <w:bookmarkStart w:id="36" w:name="PO_3000001868_PM044"/>
            <w:r>
              <w:rPr>
                <w:rFonts w:hint="eastAsia" w:ascii="仿宋" w:hAnsi="仿宋" w:eastAsia="仿宋" w:cs="仿宋"/>
                <w:color w:val="auto"/>
                <w:szCs w:val="21"/>
                <w:highlight w:val="none"/>
              </w:rPr>
              <w:t>不允许分包</w:t>
            </w:r>
            <w:bookmarkEnd w:id="36"/>
            <w:r>
              <w:rPr>
                <w:rFonts w:hint="eastAsia" w:ascii="仿宋" w:hAnsi="仿宋" w:eastAsia="仿宋" w:cs="仿宋"/>
                <w:color w:val="auto"/>
                <w:szCs w:val="21"/>
                <w:highlight w:val="none"/>
              </w:rPr>
              <w:t>。</w:t>
            </w:r>
          </w:p>
        </w:tc>
      </w:tr>
      <w:tr w14:paraId="4F3F2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4" w:hRule="atLeast"/>
          <w:jc w:val="center"/>
        </w:trPr>
        <w:tc>
          <w:tcPr>
            <w:tcW w:w="859" w:type="dxa"/>
            <w:noWrap w:val="0"/>
            <w:vAlign w:val="center"/>
          </w:tcPr>
          <w:p w14:paraId="43F59C93">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w:t>
            </w:r>
          </w:p>
        </w:tc>
        <w:tc>
          <w:tcPr>
            <w:tcW w:w="2427" w:type="dxa"/>
            <w:noWrap w:val="0"/>
            <w:vAlign w:val="center"/>
          </w:tcPr>
          <w:p w14:paraId="2724C271">
            <w:pPr>
              <w:snapToGrid w:val="0"/>
              <w:spacing w:line="44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资格证明文件组成</w:t>
            </w:r>
          </w:p>
          <w:p w14:paraId="4519DB3A">
            <w:pPr>
              <w:spacing w:line="440" w:lineRule="exact"/>
              <w:jc w:val="center"/>
              <w:rPr>
                <w:rFonts w:hint="eastAsia" w:ascii="仿宋" w:hAnsi="仿宋" w:eastAsia="仿宋" w:cs="仿宋"/>
                <w:color w:val="auto"/>
                <w:szCs w:val="21"/>
                <w:highlight w:val="none"/>
              </w:rPr>
            </w:pPr>
          </w:p>
        </w:tc>
        <w:tc>
          <w:tcPr>
            <w:tcW w:w="6644" w:type="dxa"/>
            <w:noWrap w:val="0"/>
            <w:vAlign w:val="center"/>
          </w:tcPr>
          <w:p w14:paraId="79F746E9">
            <w:pPr>
              <w:pStyle w:val="11"/>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3044D784">
            <w:pPr>
              <w:snapToGrid w:val="0"/>
              <w:spacing w:line="440" w:lineRule="exact"/>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2.供应商依法缴纳税收的相关材料：[</w:t>
            </w:r>
            <w:r>
              <w:rPr>
                <w:rFonts w:hint="eastAsia" w:ascii="仿宋" w:hAnsi="仿宋" w:eastAsia="仿宋" w:cs="仿宋"/>
                <w:color w:val="auto"/>
                <w:szCs w:val="21"/>
                <w:highlight w:val="none"/>
                <w:u w:val="single"/>
                <w:lang w:eastAsia="zh-CN"/>
              </w:rPr>
              <w:t>响应截止之日前半年</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内</w:t>
            </w:r>
            <w:r>
              <w:rPr>
                <w:rFonts w:hint="eastAsia" w:ascii="仿宋" w:hAnsi="仿宋" w:eastAsia="仿宋" w:cs="仿宋"/>
                <w:color w:val="auto"/>
                <w:szCs w:val="21"/>
                <w:highlight w:val="none"/>
              </w:rPr>
              <w:t>任意</w:t>
            </w:r>
            <w:r>
              <w:rPr>
                <w:rFonts w:hint="eastAsia" w:ascii="仿宋" w:hAnsi="仿宋" w:eastAsia="仿宋" w:cs="仿宋"/>
                <w:color w:val="auto"/>
                <w:szCs w:val="21"/>
                <w:highlight w:val="none"/>
                <w:u w:val="single"/>
                <w:lang w:val="en-US" w:eastAsia="zh-CN"/>
              </w:rPr>
              <w:t>1</w:t>
            </w:r>
            <w:r>
              <w:rPr>
                <w:rFonts w:hint="eastAsia" w:ascii="仿宋" w:hAnsi="仿宋" w:eastAsia="仿宋" w:cs="仿宋"/>
                <w:color w:val="auto"/>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仿宋" w:hAnsi="仿宋" w:eastAsia="仿宋" w:cs="仿宋"/>
                <w:b/>
                <w:color w:val="auto"/>
                <w:szCs w:val="21"/>
                <w:highlight w:val="none"/>
              </w:rPr>
              <w:t>必须提供，否则作无效竞标处理</w:t>
            </w:r>
            <w:r>
              <w:rPr>
                <w:rFonts w:hint="eastAsia" w:ascii="仿宋" w:hAnsi="仿宋" w:eastAsia="仿宋" w:cs="仿宋"/>
                <w:color w:val="auto"/>
                <w:szCs w:val="21"/>
                <w:highlight w:val="none"/>
              </w:rPr>
              <w:t>）</w:t>
            </w:r>
          </w:p>
          <w:p w14:paraId="2EA7F27A">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3.供应商依法缴纳社会保障资金的相关材料：[</w:t>
            </w:r>
            <w:r>
              <w:rPr>
                <w:rFonts w:hint="eastAsia" w:ascii="仿宋" w:hAnsi="仿宋" w:eastAsia="仿宋" w:cs="仿宋"/>
                <w:color w:val="auto"/>
                <w:szCs w:val="21"/>
                <w:highlight w:val="none"/>
                <w:u w:val="single"/>
                <w:lang w:eastAsia="zh-CN"/>
              </w:rPr>
              <w:t>响应截止之日前半年</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内</w:t>
            </w:r>
            <w:r>
              <w:rPr>
                <w:rFonts w:hint="eastAsia" w:ascii="仿宋" w:hAnsi="仿宋" w:eastAsia="仿宋" w:cs="仿宋"/>
                <w:color w:val="auto"/>
                <w:szCs w:val="21"/>
                <w:highlight w:val="none"/>
              </w:rPr>
              <w:t>任意</w:t>
            </w:r>
            <w:r>
              <w:rPr>
                <w:rFonts w:hint="eastAsia" w:ascii="仿宋" w:hAnsi="仿宋" w:eastAsia="仿宋" w:cs="仿宋"/>
                <w:color w:val="auto"/>
                <w:szCs w:val="21"/>
                <w:highlight w:val="none"/>
                <w:u w:val="single"/>
                <w:lang w:val="en-US" w:eastAsia="zh-CN"/>
              </w:rPr>
              <w:t>1</w:t>
            </w:r>
            <w:r>
              <w:rPr>
                <w:rFonts w:hint="eastAsia" w:ascii="仿宋" w:hAnsi="仿宋" w:eastAsia="仿宋" w:cs="仿宋"/>
                <w:color w:val="auto"/>
                <w:szCs w:val="21"/>
                <w:highlight w:val="none"/>
              </w:rPr>
              <w:t>个月的依法缴纳社会保障资金的缴费凭证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仿宋" w:hAnsi="仿宋" w:eastAsia="仿宋" w:cs="仿宋"/>
                <w:b/>
                <w:color w:val="auto"/>
                <w:szCs w:val="21"/>
                <w:highlight w:val="none"/>
              </w:rPr>
              <w:t>必须提供，否则作无效竞标处理</w:t>
            </w:r>
            <w:r>
              <w:rPr>
                <w:rFonts w:hint="eastAsia" w:ascii="仿宋" w:hAnsi="仿宋" w:eastAsia="仿宋" w:cs="仿宋"/>
                <w:color w:val="auto"/>
                <w:szCs w:val="21"/>
                <w:highlight w:val="none"/>
              </w:rPr>
              <w:t>）</w:t>
            </w:r>
          </w:p>
          <w:p w14:paraId="242F869B">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4.供应商财务状况报告：[</w:t>
            </w:r>
            <w:r>
              <w:rPr>
                <w:rFonts w:hint="eastAsia" w:ascii="仿宋" w:hAnsi="仿宋" w:eastAsia="仿宋" w:cs="仿宋"/>
                <w:color w:val="auto"/>
                <w:szCs w:val="21"/>
                <w:highlight w:val="none"/>
                <w:u w:val="single"/>
                <w:lang w:val="en-US" w:eastAsia="zh-CN"/>
              </w:rPr>
              <w:t>2025年度</w:t>
            </w:r>
            <w:r>
              <w:rPr>
                <w:rFonts w:hint="eastAsia" w:ascii="仿宋" w:hAnsi="仿宋" w:eastAsia="仿宋" w:cs="仿宋"/>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仿宋" w:hAnsi="仿宋" w:eastAsia="仿宋" w:cs="仿宋"/>
                <w:b/>
                <w:color w:val="auto"/>
                <w:szCs w:val="21"/>
                <w:highlight w:val="none"/>
              </w:rPr>
              <w:t>必须提供，否则作无效竞标处理</w:t>
            </w:r>
            <w:r>
              <w:rPr>
                <w:rFonts w:hint="eastAsia" w:ascii="仿宋" w:hAnsi="仿宋" w:eastAsia="仿宋" w:cs="仿宋"/>
                <w:color w:val="auto"/>
                <w:szCs w:val="21"/>
                <w:highlight w:val="none"/>
              </w:rPr>
              <w:t>）</w:t>
            </w:r>
          </w:p>
          <w:p w14:paraId="128CB341">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5.供应商直接控股、管理关系信息表；（</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5174CC65">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6.资格声明函；（</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0D0E9B1C">
            <w:pPr>
              <w:shd w:val="clea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7.本项目的特定资格要求：①国内注册（指按国家有关规定要求注册的）具备法人资格，具有</w:t>
            </w:r>
            <w:r>
              <w:rPr>
                <w:rFonts w:hint="eastAsia" w:ascii="仿宋" w:hAnsi="仿宋" w:eastAsia="仿宋" w:cs="仿宋"/>
                <w:color w:val="auto"/>
                <w:szCs w:val="21"/>
                <w:highlight w:val="none"/>
                <w:lang w:eastAsia="zh-CN"/>
              </w:rPr>
              <w:t>公路工程施工总承包叁级以上(含叁级)</w:t>
            </w:r>
            <w:r>
              <w:rPr>
                <w:rFonts w:hint="eastAsia" w:ascii="仿宋" w:hAnsi="仿宋" w:eastAsia="仿宋" w:cs="仿宋"/>
                <w:color w:val="auto"/>
                <w:szCs w:val="21"/>
                <w:highlight w:val="none"/>
              </w:rPr>
              <w:t xml:space="preserve">以上资质，并在人员、设备、资金等方面具有相应能力的施工企业；  </w:t>
            </w:r>
          </w:p>
          <w:p w14:paraId="0334DC68">
            <w:pPr>
              <w:shd w:val="clea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②拟投入本工程的项目经理必须具有</w:t>
            </w:r>
            <w:r>
              <w:rPr>
                <w:rFonts w:hint="eastAsia" w:ascii="仿宋" w:hAnsi="仿宋" w:eastAsia="仿宋" w:cs="仿宋"/>
                <w:color w:val="auto"/>
                <w:szCs w:val="21"/>
                <w:highlight w:val="none"/>
                <w:lang w:eastAsia="zh-CN"/>
              </w:rPr>
              <w:t>公路工程贰级</w:t>
            </w:r>
            <w:r>
              <w:rPr>
                <w:rFonts w:hint="eastAsia" w:ascii="仿宋" w:hAnsi="仿宋" w:eastAsia="仿宋" w:cs="仿宋"/>
                <w:color w:val="auto"/>
                <w:szCs w:val="21"/>
                <w:highlight w:val="none"/>
              </w:rPr>
              <w:t>（含贰级）以上注册建造师执业资格，并具备有效的安全生产考核合格证书（B类）。（</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53907E92">
            <w:pPr>
              <w:shd w:val="clea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8.中小企业声明函或残疾人福利性单位声明函或供应商属于监狱企业的证明材料；（</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784AA6C8">
            <w:pPr>
              <w:shd w:val="clea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9.除磋商文件规定必须提供以外，供应商认为需要提供的其他证明材料。</w:t>
            </w:r>
            <w:r>
              <w:rPr>
                <w:rFonts w:hint="eastAsia" w:ascii="仿宋" w:hAnsi="仿宋" w:eastAsia="仿宋" w:cs="仿宋"/>
                <w:b/>
                <w:color w:val="auto"/>
                <w:szCs w:val="21"/>
                <w:highlight w:val="none"/>
              </w:rPr>
              <w:t>（如有，请提供）</w:t>
            </w:r>
          </w:p>
          <w:p w14:paraId="461722F6">
            <w:pPr>
              <w:shd w:val="clear"/>
              <w:snapToGrid w:val="0"/>
              <w:spacing w:line="44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w:t>
            </w:r>
          </w:p>
          <w:p w14:paraId="6399666B">
            <w:pPr>
              <w:pStyle w:val="11"/>
              <w:spacing w:line="44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1.以上标明“必须提供”的材料属于复印件的扫描件的，必须加盖供应商电子公章，否则响应文件按无效响应处理。</w:t>
            </w:r>
          </w:p>
        </w:tc>
      </w:tr>
      <w:tr w14:paraId="1B2EF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34B5E835">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2427" w:type="dxa"/>
            <w:noWrap w:val="0"/>
            <w:vAlign w:val="center"/>
          </w:tcPr>
          <w:p w14:paraId="29599B16">
            <w:pPr>
              <w:spacing w:line="440" w:lineRule="exact"/>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商务技术文件</w:t>
            </w:r>
          </w:p>
        </w:tc>
        <w:tc>
          <w:tcPr>
            <w:tcW w:w="6644" w:type="dxa"/>
            <w:noWrap w:val="0"/>
            <w:vAlign w:val="center"/>
          </w:tcPr>
          <w:p w14:paraId="0AC4C33D">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1.无串通竞标行为的承诺函；（</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2CF34639">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2.法定代表人身份证明书及法定代表人有效身份证正反面复印件；（</w:t>
            </w:r>
            <w:r>
              <w:rPr>
                <w:rFonts w:hint="eastAsia" w:ascii="仿宋" w:hAnsi="仿宋" w:eastAsia="仿宋" w:cs="仿宋"/>
                <w:b/>
                <w:bCs/>
                <w:color w:val="auto"/>
                <w:szCs w:val="21"/>
                <w:highlight w:val="none"/>
              </w:rPr>
              <w:t>除自然人竞标外</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3A3E99DD">
            <w:pPr>
              <w:spacing w:line="440" w:lineRule="exact"/>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3.法定代表人授权委托书及委托代理人有效身份证正反面复印件；（</w:t>
            </w:r>
            <w:r>
              <w:rPr>
                <w:rFonts w:hint="eastAsia" w:ascii="仿宋" w:hAnsi="仿宋" w:eastAsia="仿宋" w:cs="仿宋"/>
                <w:b/>
                <w:color w:val="auto"/>
                <w:szCs w:val="21"/>
                <w:highlight w:val="none"/>
              </w:rPr>
              <w:t>委托时必须提供，否则响应文件按无效响应处理</w:t>
            </w:r>
            <w:r>
              <w:rPr>
                <w:rFonts w:hint="eastAsia" w:ascii="仿宋" w:hAnsi="仿宋" w:eastAsia="仿宋" w:cs="仿宋"/>
                <w:color w:val="auto"/>
                <w:szCs w:val="21"/>
                <w:highlight w:val="none"/>
              </w:rPr>
              <w:t>）</w:t>
            </w:r>
          </w:p>
          <w:p w14:paraId="26AE322F">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4.商务条款偏离表；（</w:t>
            </w:r>
            <w:r>
              <w:rPr>
                <w:rFonts w:hint="eastAsia" w:ascii="仿宋" w:hAnsi="仿宋" w:eastAsia="仿宋" w:cs="仿宋"/>
                <w:b/>
                <w:color w:val="auto"/>
                <w:szCs w:val="21"/>
                <w:highlight w:val="none"/>
              </w:rPr>
              <w:t>必须提供，否则响应文件按无效响应处理</w:t>
            </w:r>
            <w:r>
              <w:rPr>
                <w:rFonts w:hint="eastAsia" w:ascii="仿宋" w:hAnsi="仿宋" w:eastAsia="仿宋" w:cs="仿宋"/>
                <w:color w:val="auto"/>
                <w:szCs w:val="21"/>
                <w:highlight w:val="none"/>
              </w:rPr>
              <w:t>）</w:t>
            </w:r>
          </w:p>
          <w:p w14:paraId="7D3FAA8E">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5.竞标人情况介绍；</w:t>
            </w:r>
            <w:r>
              <w:rPr>
                <w:rFonts w:hint="eastAsia" w:ascii="仿宋" w:hAnsi="仿宋" w:eastAsia="仿宋" w:cs="仿宋"/>
                <w:b/>
                <w:bCs/>
                <w:color w:val="auto"/>
                <w:szCs w:val="21"/>
                <w:highlight w:val="none"/>
              </w:rPr>
              <w:t>（必须提供，否则响应文件按无效响应处理</w:t>
            </w:r>
            <w:r>
              <w:rPr>
                <w:rFonts w:hint="eastAsia" w:ascii="仿宋" w:hAnsi="仿宋" w:eastAsia="仿宋" w:cs="仿宋"/>
                <w:color w:val="auto"/>
                <w:szCs w:val="21"/>
                <w:highlight w:val="none"/>
              </w:rPr>
              <w:t>）</w:t>
            </w:r>
          </w:p>
          <w:p w14:paraId="2D464C41">
            <w:pPr>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6.</w:t>
            </w:r>
            <w:r>
              <w:rPr>
                <w:rFonts w:hint="eastAsia" w:ascii="仿宋" w:hAnsi="仿宋" w:eastAsia="仿宋" w:cs="仿宋"/>
                <w:color w:val="auto"/>
                <w:szCs w:val="21"/>
                <w:highlight w:val="none"/>
                <w:lang w:val="zh-CN"/>
              </w:rPr>
              <w:t>供应商类似的业绩证明文件；</w:t>
            </w:r>
            <w:r>
              <w:rPr>
                <w:rFonts w:hint="eastAsia" w:ascii="仿宋" w:hAnsi="仿宋" w:eastAsia="仿宋" w:cs="仿宋"/>
                <w:b/>
                <w:color w:val="auto"/>
                <w:szCs w:val="21"/>
                <w:highlight w:val="none"/>
              </w:rPr>
              <w:t>（如有，请提供）</w:t>
            </w:r>
          </w:p>
          <w:p w14:paraId="10B426AB">
            <w:pPr>
              <w:spacing w:line="440" w:lineRule="exact"/>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7.技术需求偏离表；</w:t>
            </w:r>
            <w:r>
              <w:rPr>
                <w:rFonts w:hint="eastAsia" w:ascii="仿宋" w:hAnsi="仿宋" w:eastAsia="仿宋" w:cs="仿宋"/>
                <w:b/>
                <w:color w:val="auto"/>
                <w:szCs w:val="21"/>
                <w:highlight w:val="none"/>
              </w:rPr>
              <w:t>（必须提供，否则响应文件按无效响应处理）</w:t>
            </w:r>
          </w:p>
          <w:p w14:paraId="0682B31C">
            <w:pPr>
              <w:spacing w:line="440" w:lineRule="exact"/>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8.施工组织设计；</w:t>
            </w:r>
            <w:r>
              <w:rPr>
                <w:rFonts w:hint="eastAsia" w:ascii="仿宋" w:hAnsi="仿宋" w:eastAsia="仿宋" w:cs="仿宋"/>
                <w:b/>
                <w:color w:val="auto"/>
                <w:szCs w:val="21"/>
                <w:highlight w:val="none"/>
              </w:rPr>
              <w:t>（必须提供，否则响应文件按无效响应处理）</w:t>
            </w:r>
          </w:p>
          <w:p w14:paraId="29BDFDD9">
            <w:pPr>
              <w:spacing w:line="440" w:lineRule="exact"/>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9.项目管理机构；</w:t>
            </w:r>
            <w:r>
              <w:rPr>
                <w:rFonts w:hint="eastAsia" w:ascii="仿宋" w:hAnsi="仿宋" w:eastAsia="仿宋" w:cs="仿宋"/>
                <w:b/>
                <w:color w:val="auto"/>
                <w:szCs w:val="21"/>
                <w:highlight w:val="none"/>
              </w:rPr>
              <w:t>（必须提供，否则响应文件按无效响应处理）</w:t>
            </w:r>
          </w:p>
          <w:p w14:paraId="347B4857">
            <w:pPr>
              <w:spacing w:line="44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10.供应商认为需要提供的其他有关资料。</w:t>
            </w:r>
            <w:r>
              <w:rPr>
                <w:rFonts w:hint="eastAsia" w:ascii="仿宋" w:hAnsi="仿宋" w:eastAsia="仿宋" w:cs="仿宋"/>
                <w:b/>
                <w:color w:val="auto"/>
                <w:szCs w:val="21"/>
                <w:highlight w:val="none"/>
              </w:rPr>
              <w:t>（如有，请提供）</w:t>
            </w:r>
          </w:p>
          <w:p w14:paraId="7F064179">
            <w:pPr>
              <w:snapToGrid w:val="0"/>
              <w:spacing w:line="44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 xml:space="preserve">注： </w:t>
            </w:r>
          </w:p>
          <w:p w14:paraId="248CC4C3">
            <w:pPr>
              <w:snapToGrid w:val="0"/>
              <w:spacing w:line="440" w:lineRule="exact"/>
              <w:ind w:firstLine="413"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1.法定代表人授权委托书必须由法定代表人及委托代理人签字，并加盖供应商公章，否则响应文件按无效响应处理。</w:t>
            </w:r>
          </w:p>
          <w:p w14:paraId="2C988C4A">
            <w:pPr>
              <w:spacing w:line="440" w:lineRule="exact"/>
              <w:ind w:firstLine="413" w:firstLineChars="196"/>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2.以上标明“必须提供”的材料属于复印件的，必须加盖供应商电子公章，否则响应文件按无效响应处理。</w:t>
            </w:r>
          </w:p>
        </w:tc>
      </w:tr>
      <w:tr w14:paraId="781BA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0242F3BF">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12.1.3</w:t>
            </w:r>
          </w:p>
        </w:tc>
        <w:tc>
          <w:tcPr>
            <w:tcW w:w="2427" w:type="dxa"/>
            <w:noWrap w:val="0"/>
            <w:vAlign w:val="center"/>
          </w:tcPr>
          <w:p w14:paraId="4CDBA9C0">
            <w:pPr>
              <w:spacing w:line="440" w:lineRule="exact"/>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报价文件</w:t>
            </w:r>
          </w:p>
        </w:tc>
        <w:tc>
          <w:tcPr>
            <w:tcW w:w="6644" w:type="dxa"/>
            <w:noWrap w:val="0"/>
            <w:vAlign w:val="center"/>
          </w:tcPr>
          <w:p w14:paraId="3A601FC9">
            <w:pPr>
              <w:spacing w:line="440" w:lineRule="exac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1.响应函；</w:t>
            </w:r>
            <w:r>
              <w:rPr>
                <w:rFonts w:hint="eastAsia" w:ascii="仿宋" w:hAnsi="仿宋" w:eastAsia="仿宋" w:cs="仿宋"/>
                <w:b/>
                <w:bCs/>
                <w:color w:val="auto"/>
                <w:szCs w:val="21"/>
                <w:highlight w:val="none"/>
              </w:rPr>
              <w:t>（必须提供，否则作无效响应处理）</w:t>
            </w:r>
          </w:p>
          <w:p w14:paraId="66ECA0D7">
            <w:pPr>
              <w:spacing w:line="440" w:lineRule="exac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2.响应报价表；</w:t>
            </w:r>
            <w:r>
              <w:rPr>
                <w:rFonts w:hint="eastAsia" w:ascii="仿宋" w:hAnsi="仿宋" w:eastAsia="仿宋" w:cs="仿宋"/>
                <w:b/>
                <w:bCs/>
                <w:color w:val="auto"/>
                <w:szCs w:val="21"/>
                <w:highlight w:val="none"/>
              </w:rPr>
              <w:t>（必须提供，否则作无效响应处理）</w:t>
            </w:r>
          </w:p>
          <w:p w14:paraId="33940401">
            <w:pPr>
              <w:spacing w:line="440" w:lineRule="exac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3.已标价工程量清单。</w:t>
            </w:r>
            <w:r>
              <w:rPr>
                <w:rFonts w:hint="eastAsia" w:ascii="仿宋" w:hAnsi="仿宋" w:eastAsia="仿宋" w:cs="仿宋"/>
                <w:b/>
                <w:bCs/>
                <w:color w:val="auto"/>
                <w:szCs w:val="21"/>
                <w:highlight w:val="none"/>
              </w:rPr>
              <w:t>（必须提供，否则响应文件按无效响应处理）</w:t>
            </w:r>
          </w:p>
          <w:p w14:paraId="31B2A3F0">
            <w:pPr>
              <w:spacing w:line="44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3DAEA372">
            <w:pPr>
              <w:spacing w:line="44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1.</w:t>
            </w:r>
            <w:r>
              <w:rPr>
                <w:rFonts w:hint="eastAsia" w:ascii="仿宋" w:hAnsi="仿宋" w:eastAsia="仿宋" w:cs="仿宋"/>
                <w:b/>
                <w:bCs/>
                <w:color w:val="auto"/>
                <w:szCs w:val="21"/>
                <w:highlight w:val="none"/>
              </w:rPr>
              <w:t>上述材料必须在规定盖章处加盖供应商电子公章，否则作无效响应处理。</w:t>
            </w:r>
          </w:p>
        </w:tc>
      </w:tr>
      <w:tr w14:paraId="361BF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6" w:hRule="atLeast"/>
          <w:jc w:val="center"/>
        </w:trPr>
        <w:tc>
          <w:tcPr>
            <w:tcW w:w="859" w:type="dxa"/>
            <w:noWrap w:val="0"/>
            <w:vAlign w:val="center"/>
          </w:tcPr>
          <w:p w14:paraId="08CDC8C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w:t>
            </w:r>
          </w:p>
        </w:tc>
        <w:tc>
          <w:tcPr>
            <w:tcW w:w="2427" w:type="dxa"/>
            <w:noWrap w:val="0"/>
            <w:vAlign w:val="center"/>
          </w:tcPr>
          <w:p w14:paraId="68016588">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响应文件电子版要求</w:t>
            </w:r>
          </w:p>
        </w:tc>
        <w:tc>
          <w:tcPr>
            <w:tcW w:w="6644" w:type="dxa"/>
            <w:noWrap w:val="0"/>
            <w:vAlign w:val="center"/>
          </w:tcPr>
          <w:p w14:paraId="04213492">
            <w:pPr>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1.响应文件电子版要求：按照本采购文件“第五章 响应文件格式”编写（第五章未附格式的，由供应商自行拟定），不可涂改并在规定加盖公章处加盖电子公章，否则响应文件按无效响应处理。</w:t>
            </w:r>
          </w:p>
          <w:p w14:paraId="450A6494">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2.响应文件电子版密封方式：电子响应文件通过平台有效CA加密后在“广西政府采购云”平台投送。（操作方式见公告附件“电子响应文件制作与投送教程” ）</w:t>
            </w:r>
          </w:p>
        </w:tc>
      </w:tr>
      <w:tr w14:paraId="34A30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7" w:hRule="atLeast"/>
          <w:jc w:val="center"/>
        </w:trPr>
        <w:tc>
          <w:tcPr>
            <w:tcW w:w="859" w:type="dxa"/>
            <w:noWrap w:val="0"/>
            <w:vAlign w:val="center"/>
          </w:tcPr>
          <w:p w14:paraId="318F69E0">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w:t>
            </w:r>
          </w:p>
        </w:tc>
        <w:tc>
          <w:tcPr>
            <w:tcW w:w="2427" w:type="dxa"/>
            <w:noWrap w:val="0"/>
            <w:vAlign w:val="center"/>
          </w:tcPr>
          <w:p w14:paraId="60068DA2">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响应报价要求</w:t>
            </w:r>
          </w:p>
        </w:tc>
        <w:tc>
          <w:tcPr>
            <w:tcW w:w="6644" w:type="dxa"/>
            <w:noWrap w:val="0"/>
            <w:vAlign w:val="center"/>
          </w:tcPr>
          <w:p w14:paraId="4D8C92C7">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报价必须包含为完成本次施工项目全部采购需求所应实施的全部内容，以及所需的工程材料和设备（如有）的价格；包含施工劳务、工程材料、施工机械使用费，以及运输（含保险）、现场安装（如有）、调试、检验、技术服务、培训、税费等所有费用。</w:t>
            </w:r>
          </w:p>
        </w:tc>
      </w:tr>
      <w:tr w14:paraId="79CC6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78570C90">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w:t>
            </w:r>
          </w:p>
        </w:tc>
        <w:tc>
          <w:tcPr>
            <w:tcW w:w="2427" w:type="dxa"/>
            <w:noWrap w:val="0"/>
            <w:vAlign w:val="center"/>
          </w:tcPr>
          <w:p w14:paraId="7B4F1F16">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竞标有效期</w:t>
            </w:r>
          </w:p>
        </w:tc>
        <w:tc>
          <w:tcPr>
            <w:tcW w:w="6644" w:type="dxa"/>
            <w:noWrap w:val="0"/>
            <w:vAlign w:val="center"/>
          </w:tcPr>
          <w:p w14:paraId="15B02A7C">
            <w:pPr>
              <w:pStyle w:val="10"/>
              <w:widowControl w:val="0"/>
              <w:tabs>
                <w:tab w:val="clear" w:pos="454"/>
              </w:tabs>
              <w:snapToGrid w:val="0"/>
              <w:spacing w:after="0" w:afterLines="0" w:line="440" w:lineRule="exact"/>
              <w:ind w:left="283" w:hanging="283" w:hangingChars="135"/>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自首次响应文件提交截止之日起</w:t>
            </w:r>
            <w:bookmarkStart w:id="37" w:name="PO_3000001868_PM046"/>
            <w:r>
              <w:rPr>
                <w:rFonts w:hint="eastAsia" w:ascii="仿宋" w:hAnsi="仿宋" w:eastAsia="仿宋" w:cs="仿宋"/>
                <w:color w:val="auto"/>
                <w:kern w:val="2"/>
                <w:sz w:val="21"/>
                <w:szCs w:val="21"/>
                <w:highlight w:val="none"/>
                <w:u w:val="single"/>
              </w:rPr>
              <w:t>60日历天</w:t>
            </w:r>
            <w:bookmarkEnd w:id="37"/>
            <w:r>
              <w:rPr>
                <w:rFonts w:hint="eastAsia" w:ascii="仿宋" w:hAnsi="仿宋" w:eastAsia="仿宋" w:cs="仿宋"/>
                <w:color w:val="auto"/>
                <w:kern w:val="2"/>
                <w:sz w:val="21"/>
                <w:szCs w:val="21"/>
                <w:highlight w:val="none"/>
              </w:rPr>
              <w:t>。</w:t>
            </w:r>
          </w:p>
        </w:tc>
      </w:tr>
      <w:tr w14:paraId="22BA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4ECCDD63">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17.1</w:t>
            </w:r>
          </w:p>
        </w:tc>
        <w:tc>
          <w:tcPr>
            <w:tcW w:w="2427" w:type="dxa"/>
            <w:noWrap w:val="0"/>
            <w:vAlign w:val="center"/>
          </w:tcPr>
          <w:p w14:paraId="0E36C63D">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磋商保证金</w:t>
            </w:r>
          </w:p>
        </w:tc>
        <w:tc>
          <w:tcPr>
            <w:tcW w:w="6644" w:type="dxa"/>
            <w:noWrap w:val="0"/>
            <w:vAlign w:val="center"/>
          </w:tcPr>
          <w:p w14:paraId="0370ECCC">
            <w:pPr>
              <w:widowControl/>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本项目不收取磋商保证金。</w:t>
            </w:r>
          </w:p>
        </w:tc>
      </w:tr>
      <w:tr w14:paraId="60184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9" w:type="dxa"/>
            <w:vMerge w:val="restart"/>
            <w:noWrap w:val="0"/>
            <w:vAlign w:val="center"/>
          </w:tcPr>
          <w:p w14:paraId="2A282BA4">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w:t>
            </w:r>
          </w:p>
        </w:tc>
        <w:tc>
          <w:tcPr>
            <w:tcW w:w="2427" w:type="dxa"/>
            <w:noWrap w:val="0"/>
            <w:vAlign w:val="center"/>
          </w:tcPr>
          <w:p w14:paraId="5FADE41E">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首次响应文件提交起止时间</w:t>
            </w:r>
          </w:p>
        </w:tc>
        <w:tc>
          <w:tcPr>
            <w:tcW w:w="6644" w:type="dxa"/>
            <w:noWrap w:val="0"/>
            <w:vAlign w:val="center"/>
          </w:tcPr>
          <w:p w14:paraId="0F7F5F57">
            <w:pPr>
              <w:snapToGrid w:val="0"/>
              <w:spacing w:line="44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3A5D0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9" w:type="dxa"/>
            <w:vMerge w:val="continue"/>
            <w:noWrap w:val="0"/>
            <w:vAlign w:val="center"/>
          </w:tcPr>
          <w:p w14:paraId="1DAF0A43">
            <w:pPr>
              <w:spacing w:line="440" w:lineRule="exact"/>
              <w:jc w:val="center"/>
              <w:rPr>
                <w:rFonts w:hint="eastAsia" w:ascii="仿宋" w:hAnsi="仿宋" w:eastAsia="仿宋" w:cs="仿宋"/>
                <w:color w:val="auto"/>
                <w:szCs w:val="21"/>
                <w:highlight w:val="none"/>
              </w:rPr>
            </w:pPr>
          </w:p>
        </w:tc>
        <w:tc>
          <w:tcPr>
            <w:tcW w:w="2427" w:type="dxa"/>
            <w:noWrap w:val="0"/>
            <w:vAlign w:val="center"/>
          </w:tcPr>
          <w:p w14:paraId="055E3F9E">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首次响应文件提交地点</w:t>
            </w:r>
          </w:p>
        </w:tc>
        <w:tc>
          <w:tcPr>
            <w:tcW w:w="6644" w:type="dxa"/>
            <w:noWrap w:val="0"/>
            <w:vAlign w:val="center"/>
          </w:tcPr>
          <w:p w14:paraId="6767BDC6">
            <w:pPr>
              <w:snapToGrid w:val="0"/>
              <w:spacing w:line="44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3C9F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9" w:type="dxa"/>
            <w:noWrap w:val="0"/>
            <w:vAlign w:val="center"/>
          </w:tcPr>
          <w:p w14:paraId="4A9888A0">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20.6</w:t>
            </w:r>
          </w:p>
        </w:tc>
        <w:tc>
          <w:tcPr>
            <w:tcW w:w="2427" w:type="dxa"/>
            <w:noWrap w:val="0"/>
            <w:vAlign w:val="center"/>
          </w:tcPr>
          <w:p w14:paraId="088A362F">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备份响应文件</w:t>
            </w:r>
          </w:p>
        </w:tc>
        <w:tc>
          <w:tcPr>
            <w:tcW w:w="6644" w:type="dxa"/>
            <w:noWrap w:val="0"/>
            <w:vAlign w:val="center"/>
          </w:tcPr>
          <w:p w14:paraId="43E9B231">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本项目不接受备份响应文件。</w:t>
            </w:r>
          </w:p>
        </w:tc>
      </w:tr>
      <w:tr w14:paraId="2A42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9" w:type="dxa"/>
            <w:noWrap w:val="0"/>
            <w:vAlign w:val="center"/>
          </w:tcPr>
          <w:p w14:paraId="4CB72C90">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21</w:t>
            </w:r>
          </w:p>
        </w:tc>
        <w:tc>
          <w:tcPr>
            <w:tcW w:w="2427" w:type="dxa"/>
            <w:noWrap w:val="0"/>
            <w:vAlign w:val="center"/>
          </w:tcPr>
          <w:p w14:paraId="3E15143A">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首次响应文件的退回</w:t>
            </w:r>
          </w:p>
        </w:tc>
        <w:tc>
          <w:tcPr>
            <w:tcW w:w="6644" w:type="dxa"/>
            <w:noWrap w:val="0"/>
            <w:vAlign w:val="center"/>
          </w:tcPr>
          <w:p w14:paraId="0E4BAD22">
            <w:pPr>
              <w:snapToGrid w:val="0"/>
              <w:spacing w:line="44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详见竞争性磋商公告。</w:t>
            </w:r>
          </w:p>
        </w:tc>
      </w:tr>
      <w:tr w14:paraId="29C4D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59" w:type="dxa"/>
            <w:vMerge w:val="restart"/>
            <w:noWrap w:val="0"/>
            <w:vAlign w:val="center"/>
          </w:tcPr>
          <w:p w14:paraId="595543F6">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26.2</w:t>
            </w:r>
          </w:p>
        </w:tc>
        <w:tc>
          <w:tcPr>
            <w:tcW w:w="2427" w:type="dxa"/>
            <w:noWrap w:val="0"/>
            <w:vAlign w:val="center"/>
          </w:tcPr>
          <w:p w14:paraId="14A52FC3">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负偏离要求</w:t>
            </w:r>
          </w:p>
        </w:tc>
        <w:tc>
          <w:tcPr>
            <w:tcW w:w="6644" w:type="dxa"/>
            <w:noWrap w:val="0"/>
            <w:vAlign w:val="center"/>
          </w:tcPr>
          <w:p w14:paraId="36A89F5C">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商务条款评审中允许负偏离的条款数为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p w14:paraId="513C997A">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技术需求评审中允许负偏离的条款数为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tc>
      </w:tr>
      <w:tr w14:paraId="69215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vMerge w:val="continue"/>
            <w:noWrap w:val="0"/>
            <w:vAlign w:val="center"/>
          </w:tcPr>
          <w:p w14:paraId="1339D11F">
            <w:pPr>
              <w:spacing w:line="440" w:lineRule="exact"/>
              <w:jc w:val="center"/>
              <w:rPr>
                <w:rFonts w:hint="eastAsia" w:ascii="仿宋" w:hAnsi="仿宋" w:eastAsia="仿宋" w:cs="仿宋"/>
                <w:color w:val="auto"/>
                <w:szCs w:val="21"/>
                <w:highlight w:val="none"/>
              </w:rPr>
            </w:pPr>
          </w:p>
        </w:tc>
        <w:tc>
          <w:tcPr>
            <w:tcW w:w="2427" w:type="dxa"/>
            <w:noWrap w:val="0"/>
            <w:vAlign w:val="center"/>
          </w:tcPr>
          <w:p w14:paraId="22CE9488">
            <w:pPr>
              <w:snapToGrid w:val="0"/>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磋商的顺序</w:t>
            </w:r>
          </w:p>
        </w:tc>
        <w:tc>
          <w:tcPr>
            <w:tcW w:w="6644" w:type="dxa"/>
            <w:noWrap w:val="0"/>
            <w:vAlign w:val="center"/>
          </w:tcPr>
          <w:p w14:paraId="3FD0A718">
            <w:pPr>
              <w:pStyle w:val="11"/>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□按照提交首次响应文件的顺序，通知磋商时，若某供应商不在通知现场时，该供应商排序到最后磋商，按照签到的顺序由其下一位供应商先参与磋商。</w:t>
            </w:r>
          </w:p>
          <w:p w14:paraId="382FF631">
            <w:pPr>
              <w:snapToGrid w:val="0"/>
              <w:spacing w:line="440" w:lineRule="exact"/>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随机排序。</w:t>
            </w:r>
          </w:p>
        </w:tc>
      </w:tr>
      <w:tr w14:paraId="4A734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6AC325C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28</w:t>
            </w:r>
          </w:p>
        </w:tc>
        <w:tc>
          <w:tcPr>
            <w:tcW w:w="2427" w:type="dxa"/>
            <w:noWrap w:val="0"/>
            <w:vAlign w:val="center"/>
          </w:tcPr>
          <w:p w14:paraId="24C5D438">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w:t>
            </w:r>
          </w:p>
        </w:tc>
        <w:tc>
          <w:tcPr>
            <w:tcW w:w="6644" w:type="dxa"/>
            <w:noWrap w:val="0"/>
            <w:vAlign w:val="center"/>
          </w:tcPr>
          <w:p w14:paraId="76442F87">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本项目不收取履约保证金 。</w:t>
            </w:r>
          </w:p>
        </w:tc>
      </w:tr>
      <w:tr w14:paraId="61B7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241E3E7A">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29.5</w:t>
            </w:r>
          </w:p>
        </w:tc>
        <w:tc>
          <w:tcPr>
            <w:tcW w:w="2427" w:type="dxa"/>
            <w:noWrap w:val="0"/>
            <w:vAlign w:val="center"/>
          </w:tcPr>
          <w:p w14:paraId="0F140032">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签订合同携带的材料</w:t>
            </w:r>
          </w:p>
        </w:tc>
        <w:tc>
          <w:tcPr>
            <w:tcW w:w="6644" w:type="dxa"/>
            <w:noWrap w:val="0"/>
            <w:vAlign w:val="center"/>
          </w:tcPr>
          <w:p w14:paraId="51255EBB">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使用的有效CA证书加盖单位电子公章</w:t>
            </w:r>
          </w:p>
        </w:tc>
      </w:tr>
      <w:tr w14:paraId="657DF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vMerge w:val="restart"/>
            <w:noWrap w:val="0"/>
            <w:vAlign w:val="center"/>
          </w:tcPr>
          <w:p w14:paraId="537721D8">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w:t>
            </w:r>
          </w:p>
        </w:tc>
        <w:tc>
          <w:tcPr>
            <w:tcW w:w="2427" w:type="dxa"/>
            <w:noWrap w:val="0"/>
            <w:vAlign w:val="center"/>
          </w:tcPr>
          <w:p w14:paraId="083C982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接收质疑函方式</w:t>
            </w:r>
          </w:p>
        </w:tc>
        <w:tc>
          <w:tcPr>
            <w:tcW w:w="6644" w:type="dxa"/>
            <w:noWrap w:val="0"/>
            <w:vAlign w:val="center"/>
          </w:tcPr>
          <w:p w14:paraId="776A0F7B">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以书面形式</w:t>
            </w:r>
          </w:p>
        </w:tc>
      </w:tr>
      <w:tr w14:paraId="44CA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vMerge w:val="continue"/>
            <w:noWrap w:val="0"/>
            <w:vAlign w:val="center"/>
          </w:tcPr>
          <w:p w14:paraId="6E26D2CA">
            <w:pPr>
              <w:spacing w:line="440" w:lineRule="exact"/>
              <w:jc w:val="center"/>
              <w:rPr>
                <w:rFonts w:hint="eastAsia" w:ascii="仿宋" w:hAnsi="仿宋" w:eastAsia="仿宋" w:cs="仿宋"/>
                <w:color w:val="auto"/>
                <w:szCs w:val="21"/>
                <w:highlight w:val="none"/>
              </w:rPr>
            </w:pPr>
          </w:p>
        </w:tc>
        <w:tc>
          <w:tcPr>
            <w:tcW w:w="2427" w:type="dxa"/>
            <w:noWrap w:val="0"/>
            <w:vAlign w:val="center"/>
          </w:tcPr>
          <w:p w14:paraId="437A3708">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质疑联系部门及联系方式</w:t>
            </w:r>
          </w:p>
        </w:tc>
        <w:tc>
          <w:tcPr>
            <w:tcW w:w="6644" w:type="dxa"/>
            <w:noWrap w:val="0"/>
            <w:vAlign w:val="center"/>
          </w:tcPr>
          <w:p w14:paraId="07AB34F9">
            <w:pPr>
              <w:snapToGrid w:val="0"/>
              <w:spacing w:line="3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（1）广西同盛工程咨询有限公司</w:t>
            </w:r>
          </w:p>
          <w:p w14:paraId="11939C60">
            <w:pPr>
              <w:snapToGrid w:val="0"/>
              <w:spacing w:line="3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联系电话：0771-3948200</w:t>
            </w:r>
          </w:p>
          <w:p w14:paraId="120848D8">
            <w:pPr>
              <w:snapToGrid w:val="0"/>
              <w:spacing w:line="3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通讯地址：南宁市江南区金凯路26号7楼</w:t>
            </w:r>
          </w:p>
          <w:p w14:paraId="704542BA">
            <w:pPr>
              <w:snapToGrid w:val="0"/>
              <w:spacing w:line="3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马山县周鹿镇人民政府</w:t>
            </w:r>
          </w:p>
          <w:p w14:paraId="6EF55DB9">
            <w:pPr>
              <w:snapToGrid w:val="0"/>
              <w:spacing w:line="3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lang w:eastAsia="zh-CN"/>
              </w:rPr>
              <w:t>0771-6800283</w:t>
            </w:r>
          </w:p>
          <w:p w14:paraId="2B7DA0EC">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lang w:eastAsia="zh-CN"/>
              </w:rPr>
              <w:t>马山县周鹿镇周鹿社区中心街29号</w:t>
            </w:r>
            <w:r>
              <w:rPr>
                <w:rFonts w:hint="eastAsia" w:ascii="仿宋" w:hAnsi="仿宋" w:eastAsia="仿宋" w:cs="仿宋"/>
                <w:color w:val="auto"/>
                <w:szCs w:val="21"/>
                <w:highlight w:val="none"/>
              </w:rPr>
              <w:t xml:space="preserve">           </w:t>
            </w:r>
          </w:p>
        </w:tc>
      </w:tr>
      <w:tr w14:paraId="1ED47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vMerge w:val="continue"/>
            <w:noWrap w:val="0"/>
            <w:vAlign w:val="center"/>
          </w:tcPr>
          <w:p w14:paraId="348A5E70">
            <w:pPr>
              <w:spacing w:line="440" w:lineRule="exact"/>
              <w:jc w:val="center"/>
              <w:rPr>
                <w:rFonts w:hint="eastAsia" w:ascii="仿宋" w:hAnsi="仿宋" w:eastAsia="仿宋" w:cs="仿宋"/>
                <w:color w:val="auto"/>
                <w:szCs w:val="21"/>
                <w:highlight w:val="none"/>
              </w:rPr>
            </w:pPr>
          </w:p>
        </w:tc>
        <w:tc>
          <w:tcPr>
            <w:tcW w:w="2427" w:type="dxa"/>
            <w:noWrap w:val="0"/>
            <w:vAlign w:val="center"/>
          </w:tcPr>
          <w:p w14:paraId="62DCFDE9">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现场提交质疑办理业务时间</w:t>
            </w:r>
          </w:p>
        </w:tc>
        <w:tc>
          <w:tcPr>
            <w:tcW w:w="6644" w:type="dxa"/>
            <w:noWrap w:val="0"/>
            <w:vAlign w:val="center"/>
          </w:tcPr>
          <w:p w14:paraId="5E30BF83">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质疑期内每个工作日</w:t>
            </w:r>
            <w:r>
              <w:rPr>
                <w:rFonts w:hint="eastAsia" w:ascii="仿宋" w:hAnsi="仿宋" w:eastAsia="仿宋" w:cs="仿宋"/>
                <w:color w:val="auto"/>
                <w:szCs w:val="21"/>
                <w:highlight w:val="none"/>
                <w:u w:val="single"/>
              </w:rPr>
              <w:t xml:space="preserve"> 09 </w:t>
            </w:r>
            <w:r>
              <w:rPr>
                <w:rFonts w:hint="eastAsia" w:ascii="仿宋" w:hAnsi="仿宋" w:eastAsia="仿宋" w:cs="仿宋"/>
                <w:color w:val="auto"/>
                <w:szCs w:val="21"/>
                <w:highlight w:val="none"/>
              </w:rPr>
              <w:t>时</w:t>
            </w:r>
            <w:r>
              <w:rPr>
                <w:rFonts w:hint="eastAsia" w:ascii="仿宋" w:hAnsi="仿宋" w:eastAsia="仿宋" w:cs="仿宋"/>
                <w:color w:val="auto"/>
                <w:szCs w:val="21"/>
                <w:highlight w:val="none"/>
                <w:u w:val="single"/>
              </w:rPr>
              <w:t>0</w:t>
            </w:r>
            <w:r>
              <w:rPr>
                <w:rFonts w:hint="eastAsia" w:ascii="仿宋" w:hAnsi="仿宋" w:eastAsia="仿宋" w:cs="仿宋"/>
                <w:color w:val="auto"/>
                <w:szCs w:val="21"/>
                <w:highlight w:val="none"/>
              </w:rPr>
              <w:t>分到</w:t>
            </w:r>
            <w:r>
              <w:rPr>
                <w:rFonts w:hint="eastAsia" w:ascii="仿宋" w:hAnsi="仿宋" w:eastAsia="仿宋" w:cs="仿宋"/>
                <w:color w:val="auto"/>
                <w:szCs w:val="21"/>
                <w:highlight w:val="none"/>
                <w:u w:val="single"/>
              </w:rPr>
              <w:t xml:space="preserve"> 12 </w:t>
            </w:r>
            <w:r>
              <w:rPr>
                <w:rFonts w:hint="eastAsia" w:ascii="仿宋" w:hAnsi="仿宋" w:eastAsia="仿宋" w:cs="仿宋"/>
                <w:color w:val="auto"/>
                <w:szCs w:val="21"/>
                <w:highlight w:val="none"/>
              </w:rPr>
              <w:t>时</w:t>
            </w:r>
            <w:r>
              <w:rPr>
                <w:rFonts w:hint="eastAsia" w:ascii="仿宋" w:hAnsi="仿宋" w:eastAsia="仿宋" w:cs="仿宋"/>
                <w:color w:val="auto"/>
                <w:szCs w:val="21"/>
                <w:highlight w:val="none"/>
                <w:u w:val="single"/>
              </w:rPr>
              <w:t>00</w:t>
            </w:r>
            <w:r>
              <w:rPr>
                <w:rFonts w:hint="eastAsia" w:ascii="仿宋" w:hAnsi="仿宋" w:eastAsia="仿宋" w:cs="仿宋"/>
                <w:color w:val="auto"/>
                <w:szCs w:val="21"/>
                <w:highlight w:val="none"/>
              </w:rPr>
              <w:t>分，</w:t>
            </w:r>
            <w:r>
              <w:rPr>
                <w:rFonts w:hint="eastAsia" w:ascii="仿宋" w:hAnsi="仿宋" w:eastAsia="仿宋" w:cs="仿宋"/>
                <w:color w:val="auto"/>
                <w:szCs w:val="21"/>
                <w:highlight w:val="none"/>
                <w:u w:val="single"/>
              </w:rPr>
              <w:t xml:space="preserve">14 </w:t>
            </w:r>
            <w:r>
              <w:rPr>
                <w:rFonts w:hint="eastAsia" w:ascii="仿宋" w:hAnsi="仿宋" w:eastAsia="仿宋" w:cs="仿宋"/>
                <w:color w:val="auto"/>
                <w:szCs w:val="21"/>
                <w:highlight w:val="none"/>
              </w:rPr>
              <w:t>时</w:t>
            </w:r>
            <w:r>
              <w:rPr>
                <w:rFonts w:hint="eastAsia" w:ascii="仿宋" w:hAnsi="仿宋" w:eastAsia="仿宋" w:cs="仿宋"/>
                <w:color w:val="auto"/>
                <w:szCs w:val="21"/>
                <w:highlight w:val="none"/>
                <w:u w:val="single"/>
              </w:rPr>
              <w:t>30</w:t>
            </w:r>
            <w:r>
              <w:rPr>
                <w:rFonts w:hint="eastAsia" w:ascii="仿宋" w:hAnsi="仿宋" w:eastAsia="仿宋" w:cs="仿宋"/>
                <w:color w:val="auto"/>
                <w:szCs w:val="21"/>
                <w:highlight w:val="none"/>
              </w:rPr>
              <w:t>分到</w:t>
            </w:r>
            <w:r>
              <w:rPr>
                <w:rFonts w:hint="eastAsia" w:ascii="仿宋" w:hAnsi="仿宋" w:eastAsia="仿宋" w:cs="仿宋"/>
                <w:color w:val="auto"/>
                <w:szCs w:val="21"/>
                <w:highlight w:val="none"/>
                <w:u w:val="single"/>
              </w:rPr>
              <w:t>18</w:t>
            </w:r>
            <w:r>
              <w:rPr>
                <w:rFonts w:hint="eastAsia" w:ascii="仿宋" w:hAnsi="仿宋" w:eastAsia="仿宋" w:cs="仿宋"/>
                <w:color w:val="auto"/>
                <w:szCs w:val="21"/>
                <w:highlight w:val="none"/>
              </w:rPr>
              <w:t>时</w:t>
            </w:r>
            <w:r>
              <w:rPr>
                <w:rFonts w:hint="eastAsia" w:ascii="仿宋" w:hAnsi="仿宋" w:eastAsia="仿宋" w:cs="仿宋"/>
                <w:color w:val="auto"/>
                <w:szCs w:val="21"/>
                <w:highlight w:val="none"/>
                <w:u w:val="single"/>
              </w:rPr>
              <w:t xml:space="preserve"> 00 </w:t>
            </w:r>
            <w:r>
              <w:rPr>
                <w:rFonts w:hint="eastAsia" w:ascii="仿宋" w:hAnsi="仿宋" w:eastAsia="仿宋" w:cs="仿宋"/>
                <w:color w:val="auto"/>
                <w:szCs w:val="21"/>
                <w:highlight w:val="none"/>
              </w:rPr>
              <w:t>分</w:t>
            </w:r>
          </w:p>
        </w:tc>
      </w:tr>
      <w:tr w14:paraId="146C9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6CC9AD34">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31.6</w:t>
            </w:r>
          </w:p>
        </w:tc>
        <w:tc>
          <w:tcPr>
            <w:tcW w:w="2427" w:type="dxa"/>
            <w:noWrap w:val="0"/>
            <w:vAlign w:val="center"/>
          </w:tcPr>
          <w:p w14:paraId="24B5F396">
            <w:pPr>
              <w:snapToGrid w:val="0"/>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受理投诉方式</w:t>
            </w:r>
          </w:p>
        </w:tc>
        <w:tc>
          <w:tcPr>
            <w:tcW w:w="6644" w:type="dxa"/>
            <w:noWrap w:val="0"/>
            <w:vAlign w:val="center"/>
          </w:tcPr>
          <w:p w14:paraId="4C9C5A06">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1.受理方式：纸质方式受理，投诉书正、副本（经过质疑的事项才可投诉）。</w:t>
            </w:r>
          </w:p>
          <w:p w14:paraId="3479E4F7">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2.邮寄地址：</w:t>
            </w:r>
          </w:p>
          <w:p w14:paraId="71DD48CD">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名称：马山县政府采购监督管理办公室</w:t>
            </w:r>
          </w:p>
          <w:p w14:paraId="37B42AEF">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地址：马山县白山镇新兴大道169号</w:t>
            </w:r>
          </w:p>
          <w:p w14:paraId="2E3D4FC8">
            <w:pPr>
              <w:snapToGrid w:val="0"/>
              <w:spacing w:line="4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联系电话：0771-6825986</w:t>
            </w:r>
          </w:p>
        </w:tc>
      </w:tr>
      <w:tr w14:paraId="5E4C7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61C49423">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33</w:t>
            </w:r>
          </w:p>
        </w:tc>
        <w:tc>
          <w:tcPr>
            <w:tcW w:w="2427" w:type="dxa"/>
            <w:noWrap w:val="0"/>
            <w:vAlign w:val="center"/>
          </w:tcPr>
          <w:p w14:paraId="75AB6D8D">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采购代理费</w:t>
            </w:r>
          </w:p>
        </w:tc>
        <w:tc>
          <w:tcPr>
            <w:tcW w:w="6644" w:type="dxa"/>
            <w:noWrap w:val="0"/>
            <w:vAlign w:val="center"/>
          </w:tcPr>
          <w:p w14:paraId="145B94C3">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1. 是否收取采购代理费：</w:t>
            </w:r>
          </w:p>
          <w:p w14:paraId="4EC0005B">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☑是    □ 否</w:t>
            </w:r>
          </w:p>
          <w:p w14:paraId="4FAD60A0">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2.采购代理费支付方式：</w:t>
            </w:r>
          </w:p>
          <w:p w14:paraId="3AB9F33E">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☑本项目代理服务费由成交供应商领取成交通知书前，一次性向采购代理机构支付。</w:t>
            </w:r>
          </w:p>
          <w:p w14:paraId="06004000">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□采购人支付。</w:t>
            </w:r>
          </w:p>
          <w:p w14:paraId="57AB61B1">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3.采购代理费收取标准：</w:t>
            </w:r>
          </w:p>
          <w:p w14:paraId="76816C67">
            <w:pPr>
              <w:spacing w:line="48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的采购代理服务费按国家发展计划委员会计价格[2002]1980号《招标代理服务费管理暂行办法》、《国家发展改革委调整招标代理服务收费标准》(发改价格[2011]534号)下浮10%向中标（成交）供应商收取，如最终结算不足5000元的，按5000元计（含税）。领取中标（成交）通知书时，中标（成交）供应商应向乙方一次付清采购代理服务费。</w:t>
            </w:r>
          </w:p>
          <w:p w14:paraId="04809DDE">
            <w:pPr>
              <w:spacing w:line="48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采购、招标代理服务费收费标准：</w:t>
            </w:r>
          </w:p>
          <w:tbl>
            <w:tblPr>
              <w:tblStyle w:val="28"/>
              <w:tblW w:w="5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2"/>
              <w:gridCol w:w="1356"/>
              <w:gridCol w:w="1348"/>
              <w:gridCol w:w="1232"/>
            </w:tblGrid>
            <w:tr w14:paraId="4F42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2042" w:type="dxa"/>
                  <w:noWrap w:val="0"/>
                  <w:vAlign w:val="top"/>
                </w:tcPr>
                <w:p w14:paraId="07A3CEC2">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-20955</wp:posOffset>
                            </wp:positionH>
                            <wp:positionV relativeFrom="paragraph">
                              <wp:posOffset>31750</wp:posOffset>
                            </wp:positionV>
                            <wp:extent cx="1251585" cy="555625"/>
                            <wp:effectExtent l="1905" t="4445" r="3810" b="11430"/>
                            <wp:wrapNone/>
                            <wp:docPr id="3" name="Line 3"/>
                            <wp:cNvGraphicFramePr/>
                            <a:graphic xmlns:a="http://schemas.openxmlformats.org/drawingml/2006/main">
                              <a:graphicData uri="http://schemas.microsoft.com/office/word/2010/wordprocessingShape">
                                <wps:wsp>
                                  <wps:cNvCnPr/>
                                  <wps:spPr>
                                    <a:xfrm>
                                      <a:off x="0" y="0"/>
                                      <a:ext cx="1251585" cy="5556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1.65pt;margin-top:2.5pt;height:43.75pt;width:98.55pt;z-index:251665408;mso-width-relative:page;mso-height-relative:page;" filled="f" stroked="t" coordsize="21600,21600" o:gfxdata="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yl3dw1gAAAAcBAAAPAAAA&#10;AAAAAAEAIAAAACIAAABkcnMvZG93bnJldi54bWxQSwECFAAUAAAACACHTuJA4vm55d4BAADeAwAA&#10;DgAAAAAAAAABACAAAAAl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color w:val="auto"/>
                      <w:szCs w:val="21"/>
                      <w:highlight w:val="none"/>
                    </w:rPr>
                    <w:t xml:space="preserve">             费率</w:t>
                  </w:r>
                </w:p>
                <w:p w14:paraId="794D96A6">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中标金额</w:t>
                  </w:r>
                </w:p>
              </w:tc>
              <w:tc>
                <w:tcPr>
                  <w:tcW w:w="1356" w:type="dxa"/>
                  <w:noWrap w:val="0"/>
                  <w:vAlign w:val="center"/>
                </w:tcPr>
                <w:p w14:paraId="765507F5">
                  <w:pPr>
                    <w:spacing w:line="480" w:lineRule="exact"/>
                    <w:ind w:firstLine="105" w:firstLineChars="5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货物类项目</w:t>
                  </w:r>
                </w:p>
              </w:tc>
              <w:tc>
                <w:tcPr>
                  <w:tcW w:w="1348" w:type="dxa"/>
                  <w:noWrap w:val="0"/>
                  <w:vAlign w:val="center"/>
                </w:tcPr>
                <w:p w14:paraId="4F9C5718">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服务类项目</w:t>
                  </w:r>
                </w:p>
              </w:tc>
              <w:tc>
                <w:tcPr>
                  <w:tcW w:w="1232" w:type="dxa"/>
                  <w:noWrap w:val="0"/>
                  <w:vAlign w:val="center"/>
                </w:tcPr>
                <w:p w14:paraId="77D04D50">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工程类项目</w:t>
                  </w:r>
                </w:p>
              </w:tc>
            </w:tr>
            <w:tr w14:paraId="20D7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2" w:type="dxa"/>
                  <w:noWrap w:val="0"/>
                  <w:vAlign w:val="center"/>
                </w:tcPr>
                <w:p w14:paraId="6ACC5CD2">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100万元以下</w:t>
                  </w:r>
                </w:p>
              </w:tc>
              <w:tc>
                <w:tcPr>
                  <w:tcW w:w="1356" w:type="dxa"/>
                  <w:noWrap w:val="0"/>
                  <w:vAlign w:val="center"/>
                </w:tcPr>
                <w:p w14:paraId="1906ABBD">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1.5%</w:t>
                  </w:r>
                </w:p>
              </w:tc>
              <w:tc>
                <w:tcPr>
                  <w:tcW w:w="1348" w:type="dxa"/>
                  <w:noWrap w:val="0"/>
                  <w:vAlign w:val="center"/>
                </w:tcPr>
                <w:p w14:paraId="7BC5E54A">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1.5%</w:t>
                  </w:r>
                </w:p>
              </w:tc>
              <w:tc>
                <w:tcPr>
                  <w:tcW w:w="1232" w:type="dxa"/>
                  <w:noWrap w:val="0"/>
                  <w:vAlign w:val="center"/>
                </w:tcPr>
                <w:p w14:paraId="02446EC8">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1.0%</w:t>
                  </w:r>
                </w:p>
              </w:tc>
            </w:tr>
            <w:tr w14:paraId="3E15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2" w:type="dxa"/>
                  <w:noWrap w:val="0"/>
                  <w:vAlign w:val="center"/>
                </w:tcPr>
                <w:p w14:paraId="721261C0">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100～500万元</w:t>
                  </w:r>
                </w:p>
              </w:tc>
              <w:tc>
                <w:tcPr>
                  <w:tcW w:w="1356" w:type="dxa"/>
                  <w:noWrap w:val="0"/>
                  <w:vAlign w:val="center"/>
                </w:tcPr>
                <w:p w14:paraId="0AC3DE38">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1.1%</w:t>
                  </w:r>
                </w:p>
              </w:tc>
              <w:tc>
                <w:tcPr>
                  <w:tcW w:w="1348" w:type="dxa"/>
                  <w:noWrap w:val="0"/>
                  <w:vAlign w:val="center"/>
                </w:tcPr>
                <w:p w14:paraId="356C08F8">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0.8%</w:t>
                  </w:r>
                </w:p>
              </w:tc>
              <w:tc>
                <w:tcPr>
                  <w:tcW w:w="1232" w:type="dxa"/>
                  <w:noWrap w:val="0"/>
                  <w:vAlign w:val="center"/>
                </w:tcPr>
                <w:p w14:paraId="4E8405EF">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0.7%</w:t>
                  </w:r>
                </w:p>
              </w:tc>
            </w:tr>
            <w:tr w14:paraId="67B4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2" w:type="dxa"/>
                  <w:noWrap w:val="0"/>
                  <w:vAlign w:val="center"/>
                </w:tcPr>
                <w:p w14:paraId="242E8A36">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500～1000万元</w:t>
                  </w:r>
                </w:p>
              </w:tc>
              <w:tc>
                <w:tcPr>
                  <w:tcW w:w="1356" w:type="dxa"/>
                  <w:noWrap w:val="0"/>
                  <w:vAlign w:val="center"/>
                </w:tcPr>
                <w:p w14:paraId="351E529C">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0.8%</w:t>
                  </w:r>
                </w:p>
              </w:tc>
              <w:tc>
                <w:tcPr>
                  <w:tcW w:w="1348" w:type="dxa"/>
                  <w:noWrap w:val="0"/>
                  <w:vAlign w:val="center"/>
                </w:tcPr>
                <w:p w14:paraId="1A7C9CA7">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0.45%</w:t>
                  </w:r>
                </w:p>
              </w:tc>
              <w:tc>
                <w:tcPr>
                  <w:tcW w:w="1232" w:type="dxa"/>
                  <w:noWrap w:val="0"/>
                  <w:vAlign w:val="center"/>
                </w:tcPr>
                <w:p w14:paraId="1832C727">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0.55%</w:t>
                  </w:r>
                </w:p>
              </w:tc>
            </w:tr>
            <w:tr w14:paraId="0089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2" w:type="dxa"/>
                  <w:noWrap w:val="0"/>
                  <w:vAlign w:val="center"/>
                </w:tcPr>
                <w:p w14:paraId="1FFF4FAC">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1000～5000万元</w:t>
                  </w:r>
                </w:p>
              </w:tc>
              <w:tc>
                <w:tcPr>
                  <w:tcW w:w="1356" w:type="dxa"/>
                  <w:noWrap w:val="0"/>
                  <w:vAlign w:val="center"/>
                </w:tcPr>
                <w:p w14:paraId="01769E37">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0.5%</w:t>
                  </w:r>
                </w:p>
              </w:tc>
              <w:tc>
                <w:tcPr>
                  <w:tcW w:w="1348" w:type="dxa"/>
                  <w:noWrap w:val="0"/>
                  <w:vAlign w:val="center"/>
                </w:tcPr>
                <w:p w14:paraId="7B82F0BA">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0.25%</w:t>
                  </w:r>
                </w:p>
              </w:tc>
              <w:tc>
                <w:tcPr>
                  <w:tcW w:w="1232" w:type="dxa"/>
                  <w:noWrap w:val="0"/>
                  <w:vAlign w:val="center"/>
                </w:tcPr>
                <w:p w14:paraId="2878250A">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0.35%</w:t>
                  </w:r>
                </w:p>
              </w:tc>
            </w:tr>
            <w:tr w14:paraId="1068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42" w:type="dxa"/>
                  <w:noWrap w:val="0"/>
                  <w:vAlign w:val="center"/>
                </w:tcPr>
                <w:p w14:paraId="6BE3AAC0">
                  <w:pPr>
                    <w:spacing w:line="48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5000万元～1亿元</w:t>
                  </w:r>
                </w:p>
              </w:tc>
              <w:tc>
                <w:tcPr>
                  <w:tcW w:w="1356" w:type="dxa"/>
                  <w:noWrap w:val="0"/>
                  <w:vAlign w:val="center"/>
                </w:tcPr>
                <w:p w14:paraId="638C1493">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0.25%</w:t>
                  </w:r>
                </w:p>
              </w:tc>
              <w:tc>
                <w:tcPr>
                  <w:tcW w:w="1348" w:type="dxa"/>
                  <w:noWrap w:val="0"/>
                  <w:vAlign w:val="center"/>
                </w:tcPr>
                <w:p w14:paraId="4B1044A6">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0.1%</w:t>
                  </w:r>
                </w:p>
              </w:tc>
              <w:tc>
                <w:tcPr>
                  <w:tcW w:w="1232" w:type="dxa"/>
                  <w:noWrap w:val="0"/>
                  <w:vAlign w:val="center"/>
                </w:tcPr>
                <w:p w14:paraId="23EAA31F">
                  <w:pPr>
                    <w:spacing w:line="48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0.2%</w:t>
                  </w:r>
                </w:p>
              </w:tc>
            </w:tr>
          </w:tbl>
          <w:p w14:paraId="716A2A9F">
            <w:pPr>
              <w:snapToGrid w:val="0"/>
              <w:spacing w:line="380" w:lineRule="exact"/>
              <w:ind w:firstLine="210" w:firstLineChars="100"/>
              <w:rPr>
                <w:rFonts w:hint="eastAsia" w:ascii="仿宋" w:hAnsi="仿宋" w:eastAsia="仿宋" w:cs="仿宋"/>
                <w:color w:val="auto"/>
                <w:highlight w:val="none"/>
              </w:rPr>
            </w:pPr>
            <w:r>
              <w:rPr>
                <w:rFonts w:hint="eastAsia" w:ascii="仿宋" w:hAnsi="仿宋" w:eastAsia="仿宋" w:cs="仿宋"/>
                <w:color w:val="auto"/>
                <w:highlight w:val="none"/>
              </w:rPr>
              <w:t>注：代理服务收费按差额定率累进法计算。</w:t>
            </w:r>
          </w:p>
          <w:p w14:paraId="1765FBBE">
            <w:pPr>
              <w:snapToGrid w:val="0"/>
              <w:spacing w:line="380" w:lineRule="exact"/>
              <w:rPr>
                <w:rFonts w:hint="eastAsia" w:ascii="仿宋" w:hAnsi="仿宋" w:eastAsia="仿宋" w:cs="仿宋"/>
                <w:color w:val="auto"/>
                <w:highlight w:val="none"/>
              </w:rPr>
            </w:pPr>
            <w:r>
              <w:rPr>
                <w:rFonts w:hint="eastAsia" w:ascii="仿宋" w:hAnsi="仿宋" w:eastAsia="仿宋" w:cs="仿宋"/>
                <w:color w:val="auto"/>
                <w:highlight w:val="none"/>
              </w:rPr>
              <w:t>4. 采购代理费收取银行账户</w:t>
            </w:r>
          </w:p>
          <w:p w14:paraId="49DFA797">
            <w:pPr>
              <w:snapToGrid w:val="0"/>
              <w:spacing w:line="380" w:lineRule="exact"/>
              <w:ind w:firstLine="210" w:firstLineChars="100"/>
              <w:rPr>
                <w:rFonts w:hint="eastAsia" w:ascii="仿宋" w:hAnsi="仿宋" w:eastAsia="仿宋" w:cs="仿宋"/>
                <w:color w:val="auto"/>
                <w:highlight w:val="none"/>
              </w:rPr>
            </w:pPr>
            <w:r>
              <w:rPr>
                <w:rFonts w:hint="eastAsia" w:ascii="仿宋" w:hAnsi="仿宋" w:eastAsia="仿宋" w:cs="仿宋"/>
                <w:color w:val="auto"/>
                <w:highlight w:val="none"/>
              </w:rPr>
              <w:t xml:space="preserve">账户名称：广西同盛工程咨询有限公司 </w:t>
            </w:r>
          </w:p>
          <w:p w14:paraId="6BA36B1F">
            <w:pPr>
              <w:snapToGrid w:val="0"/>
              <w:spacing w:line="380" w:lineRule="exact"/>
              <w:ind w:firstLine="210" w:firstLineChars="100"/>
              <w:rPr>
                <w:rFonts w:hint="eastAsia" w:ascii="仿宋" w:hAnsi="仿宋" w:eastAsia="仿宋" w:cs="仿宋"/>
                <w:color w:val="auto"/>
                <w:highlight w:val="none"/>
              </w:rPr>
            </w:pPr>
            <w:r>
              <w:rPr>
                <w:rFonts w:hint="eastAsia" w:ascii="仿宋" w:hAnsi="仿宋" w:eastAsia="仿宋" w:cs="仿宋"/>
                <w:color w:val="auto"/>
                <w:highlight w:val="none"/>
              </w:rPr>
              <w:t xml:space="preserve">开户银行：广西北部湾银行股份有限公司南宁市江南支行   </w:t>
            </w:r>
          </w:p>
          <w:p w14:paraId="568045FF">
            <w:pPr>
              <w:snapToGrid w:val="0"/>
              <w:spacing w:line="380" w:lineRule="exact"/>
              <w:ind w:firstLine="210" w:firstLineChars="100"/>
              <w:rPr>
                <w:rFonts w:hint="eastAsia" w:ascii="仿宋" w:hAnsi="仿宋" w:eastAsia="仿宋" w:cs="仿宋"/>
                <w:color w:val="auto"/>
                <w:szCs w:val="21"/>
                <w:highlight w:val="none"/>
              </w:rPr>
            </w:pPr>
            <w:r>
              <w:rPr>
                <w:rFonts w:hint="eastAsia" w:ascii="仿宋" w:hAnsi="仿宋" w:eastAsia="仿宋" w:cs="仿宋"/>
                <w:color w:val="auto"/>
                <w:highlight w:val="none"/>
              </w:rPr>
              <w:t>银行账号：805135142700002</w:t>
            </w:r>
          </w:p>
        </w:tc>
      </w:tr>
      <w:tr w14:paraId="75D81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5E617E5E">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34.1</w:t>
            </w:r>
          </w:p>
        </w:tc>
        <w:tc>
          <w:tcPr>
            <w:tcW w:w="2427" w:type="dxa"/>
            <w:noWrap w:val="0"/>
            <w:vAlign w:val="center"/>
          </w:tcPr>
          <w:p w14:paraId="204FC60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解释</w:t>
            </w:r>
          </w:p>
        </w:tc>
        <w:tc>
          <w:tcPr>
            <w:tcW w:w="6644" w:type="dxa"/>
            <w:noWrap w:val="0"/>
            <w:vAlign w:val="center"/>
          </w:tcPr>
          <w:p w14:paraId="22AC31C8">
            <w:pPr>
              <w:pStyle w:val="17"/>
              <w:snapToGrid w:val="0"/>
              <w:spacing w:line="360" w:lineRule="exact"/>
              <w:rPr>
                <w:rFonts w:hint="eastAsia" w:ascii="仿宋" w:hAnsi="仿宋" w:eastAsia="仿宋" w:cs="仿宋"/>
                <w:b/>
                <w:color w:val="auto"/>
                <w:sz w:val="21"/>
                <w:highlight w:val="none"/>
              </w:rPr>
            </w:pPr>
            <w:r>
              <w:rPr>
                <w:rFonts w:hint="eastAsia" w:ascii="仿宋" w:hAnsi="仿宋" w:eastAsia="仿宋" w:cs="仿宋"/>
                <w:b/>
                <w:color w:val="auto"/>
                <w:sz w:val="21"/>
                <w:highlight w:val="none"/>
              </w:rPr>
              <w:t>解释权：</w:t>
            </w:r>
            <w:r>
              <w:rPr>
                <w:rFonts w:hint="eastAsia" w:ascii="仿宋" w:hAnsi="仿宋" w:eastAsia="仿宋" w:cs="仿宋"/>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仿宋" w:hAnsi="仿宋" w:eastAsia="仿宋" w:cs="仿宋"/>
                <w:b/>
                <w:color w:val="auto"/>
                <w:sz w:val="21"/>
                <w:highlight w:val="none"/>
              </w:rPr>
              <w:t>由采购人或者采购代理机构负责解释。</w:t>
            </w:r>
          </w:p>
          <w:p w14:paraId="0A58811F">
            <w:pPr>
              <w:pStyle w:val="17"/>
              <w:snapToGrid w:val="0"/>
              <w:spacing w:line="360" w:lineRule="exact"/>
              <w:rPr>
                <w:rFonts w:hint="eastAsia" w:ascii="仿宋" w:hAnsi="仿宋" w:eastAsia="仿宋" w:cs="仿宋"/>
                <w:b/>
                <w:color w:val="auto"/>
                <w:sz w:val="21"/>
                <w:highlight w:val="none"/>
              </w:rPr>
            </w:pPr>
            <w:r>
              <w:rPr>
                <w:rFonts w:hint="eastAsia" w:ascii="仿宋" w:hAnsi="仿宋" w:eastAsia="仿宋" w:cs="仿宋"/>
                <w:b/>
                <w:color w:val="auto"/>
                <w:sz w:val="21"/>
                <w:highlight w:val="none"/>
              </w:rPr>
              <w:t>法律责任：</w:t>
            </w:r>
          </w:p>
          <w:p w14:paraId="2227B368">
            <w:pPr>
              <w:pStyle w:val="17"/>
              <w:snapToGrid w:val="0"/>
              <w:spacing w:line="360" w:lineRule="exact"/>
              <w:rPr>
                <w:rFonts w:hint="eastAsia" w:ascii="仿宋" w:hAnsi="仿宋" w:eastAsia="仿宋" w:cs="仿宋"/>
                <w:bCs/>
                <w:color w:val="auto"/>
                <w:sz w:val="21"/>
                <w:highlight w:val="none"/>
              </w:rPr>
            </w:pPr>
            <w:r>
              <w:rPr>
                <w:rFonts w:hint="eastAsia" w:ascii="仿宋" w:hAnsi="仿宋" w:eastAsia="仿宋" w:cs="仿宋"/>
                <w:bCs/>
                <w:color w:val="auto"/>
                <w:sz w:val="21"/>
                <w:highlight w:val="none"/>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189A7D3C">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b/>
                <w:color w:val="auto"/>
                <w:sz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6BF9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9" w:type="dxa"/>
            <w:noWrap w:val="0"/>
            <w:vAlign w:val="center"/>
          </w:tcPr>
          <w:p w14:paraId="24A62F36">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34.2</w:t>
            </w:r>
          </w:p>
        </w:tc>
        <w:tc>
          <w:tcPr>
            <w:tcW w:w="2427" w:type="dxa"/>
            <w:noWrap w:val="0"/>
            <w:vAlign w:val="center"/>
          </w:tcPr>
          <w:p w14:paraId="4D82664C">
            <w:pPr>
              <w:spacing w:line="4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6644" w:type="dxa"/>
            <w:noWrap w:val="0"/>
            <w:vAlign w:val="center"/>
          </w:tcPr>
          <w:p w14:paraId="5717D9BA">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08D1B0C">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DEF038">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7E0D84F5">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color w:val="auto"/>
                <w:sz w:val="21"/>
                <w:highlight w:val="none"/>
              </w:rPr>
              <w:t>4.自然人竞标的，磋商文件规定盖公章处由自然人摁手指指印。</w:t>
            </w:r>
          </w:p>
          <w:p w14:paraId="4FDD01C3">
            <w:pPr>
              <w:pStyle w:val="17"/>
              <w:snapToGrid w:val="0"/>
              <w:spacing w:line="360" w:lineRule="exact"/>
              <w:rPr>
                <w:rFonts w:hint="eastAsia" w:ascii="仿宋" w:hAnsi="仿宋" w:eastAsia="仿宋" w:cs="仿宋"/>
                <w:color w:val="auto"/>
                <w:sz w:val="21"/>
                <w:highlight w:val="none"/>
              </w:rPr>
            </w:pPr>
            <w:r>
              <w:rPr>
                <w:rFonts w:hint="eastAsia" w:ascii="仿宋" w:hAnsi="仿宋" w:eastAsia="仿宋" w:cs="仿宋"/>
                <w:color w:val="auto"/>
                <w:sz w:val="21"/>
                <w:highlight w:val="none"/>
              </w:rPr>
              <w:t>5.本磋商文件所称的“以上”“以下”“以内”“届满”，包括本数；所称的“不满”“超过”“以外”，不包括本数。</w:t>
            </w:r>
          </w:p>
        </w:tc>
      </w:tr>
    </w:tbl>
    <w:p w14:paraId="43D1BF76">
      <w:pPr>
        <w:pStyle w:val="3"/>
        <w:spacing w:line="420" w:lineRule="exact"/>
        <w:jc w:val="center"/>
        <w:rPr>
          <w:rFonts w:hint="eastAsia" w:ascii="仿宋" w:hAnsi="仿宋" w:eastAsia="仿宋" w:cs="仿宋"/>
          <w:b w:val="0"/>
          <w:color w:val="auto"/>
          <w:highlight w:val="none"/>
        </w:rPr>
      </w:pPr>
      <w:r>
        <w:rPr>
          <w:rFonts w:hint="eastAsia" w:ascii="仿宋" w:hAnsi="仿宋" w:eastAsia="仿宋" w:cs="仿宋"/>
          <w:b w:val="0"/>
          <w:color w:val="auto"/>
          <w:highlight w:val="none"/>
        </w:rPr>
        <w:br w:type="page"/>
      </w:r>
      <w:bookmarkStart w:id="38" w:name="_Toc1767231764"/>
      <w:bookmarkStart w:id="39" w:name="_Toc10959"/>
      <w:bookmarkStart w:id="40" w:name="_Toc10372"/>
      <w:bookmarkStart w:id="41" w:name="_Toc27452"/>
      <w:r>
        <w:rPr>
          <w:rFonts w:hint="eastAsia" w:ascii="仿宋" w:hAnsi="仿宋" w:eastAsia="仿宋" w:cs="仿宋"/>
          <w:b w:val="0"/>
          <w:color w:val="auto"/>
          <w:highlight w:val="none"/>
        </w:rPr>
        <w:t>第二节 供应商须知正文</w:t>
      </w:r>
      <w:bookmarkEnd w:id="38"/>
      <w:bookmarkEnd w:id="39"/>
      <w:bookmarkEnd w:id="40"/>
      <w:bookmarkEnd w:id="41"/>
    </w:p>
    <w:p w14:paraId="5013668E">
      <w:pPr>
        <w:pStyle w:val="4"/>
        <w:spacing w:before="0" w:after="0" w:line="360" w:lineRule="auto"/>
        <w:jc w:val="center"/>
        <w:rPr>
          <w:rFonts w:hint="eastAsia" w:ascii="仿宋" w:hAnsi="仿宋" w:eastAsia="仿宋" w:cs="仿宋"/>
          <w:bCs w:val="0"/>
          <w:color w:val="auto"/>
          <w:highlight w:val="none"/>
        </w:rPr>
      </w:pPr>
      <w:bookmarkStart w:id="42" w:name="_Toc18518"/>
      <w:bookmarkStart w:id="43" w:name="_Toc20107"/>
      <w:bookmarkStart w:id="44" w:name="_Toc11692"/>
      <w:r>
        <w:rPr>
          <w:rFonts w:hint="eastAsia" w:ascii="仿宋" w:hAnsi="仿宋" w:eastAsia="仿宋" w:cs="仿宋"/>
          <w:bCs w:val="0"/>
          <w:color w:val="auto"/>
          <w:highlight w:val="none"/>
        </w:rPr>
        <w:t>一、总则</w:t>
      </w:r>
      <w:bookmarkEnd w:id="42"/>
      <w:bookmarkEnd w:id="43"/>
      <w:bookmarkEnd w:id="44"/>
    </w:p>
    <w:p w14:paraId="5AB91BF5">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1.适用范围</w:t>
      </w:r>
    </w:p>
    <w:p w14:paraId="3942593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22A725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w:t>
      </w:r>
      <w:r>
        <w:rPr>
          <w:rFonts w:hint="eastAsia" w:ascii="仿宋" w:hAnsi="仿宋" w:eastAsia="仿宋" w:cs="仿宋"/>
          <w:color w:val="auto"/>
          <w:spacing w:val="-6"/>
          <w:szCs w:val="21"/>
          <w:highlight w:val="none"/>
        </w:rPr>
        <w:t>本竞争性磋商文件（以下简称磋商文件）适用于本项目的所有采购程序和环节（法律、法规另有规定的，从其规定）。</w:t>
      </w:r>
    </w:p>
    <w:p w14:paraId="117F47EE">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2.定义</w:t>
      </w:r>
    </w:p>
    <w:p w14:paraId="1FF4F00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2.1“采购人”是指依法进行政府采购的国家机关、事业单位、团体组织。</w:t>
      </w:r>
    </w:p>
    <w:p w14:paraId="504E879B">
      <w:pPr>
        <w:spacing w:line="360" w:lineRule="auto"/>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2.2“采购代理机构”是指政府采购集中采购机构和集中采购机构以外的采购代理机构。</w:t>
      </w:r>
    </w:p>
    <w:p w14:paraId="0514E70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2.3“供应商”是指向采购人提供货物、工程或者服务的法人、其他组织或者自然人。</w:t>
      </w:r>
    </w:p>
    <w:p w14:paraId="6CB8779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2.4“工程”是指除货物和服务以外的其他政府采购对象。</w:t>
      </w:r>
    </w:p>
    <w:p w14:paraId="227907C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2.5“竞标”是指供应商按照本项目竞争性磋商公告或者邀请函规定的方式获取磋商文件、提交响应文件并希望获得标的的行为。</w:t>
      </w:r>
    </w:p>
    <w:p w14:paraId="3A7594F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2.6“响应文件”</w:t>
      </w:r>
      <w:r>
        <w:rPr>
          <w:rFonts w:hint="eastAsia" w:ascii="仿宋" w:hAnsi="仿宋" w:eastAsia="仿宋" w:cs="仿宋"/>
          <w:color w:val="auto"/>
          <w:spacing w:val="-6"/>
          <w:szCs w:val="21"/>
          <w:highlight w:val="none"/>
        </w:rPr>
        <w:t>是指：供应商根据本磋商文件要求，编制包含资格证明、报价、商务技术等所有内容的文件。</w:t>
      </w:r>
    </w:p>
    <w:p w14:paraId="57806CF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2.7“实质性要求”是指磋商文件中已经指明不满足则响应文件按无效响应处理的条款，或者不能负偏离的条款，或者采购需求中带“▲”的条款。</w:t>
      </w:r>
    </w:p>
    <w:p w14:paraId="5F5AAA7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2.8“正偏离”，是指响应文件对磋商文件“采购需求”中有关条款作出的响应优于条款要求并有利于采购人的情形。</w:t>
      </w:r>
    </w:p>
    <w:p w14:paraId="0094D7B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2.9“负偏离”，是指响应文件对磋商文件“采购需求”中有关条款作出的响应不满足条款要求，导致采购人要求不能得到满足的情形。</w:t>
      </w:r>
    </w:p>
    <w:p w14:paraId="6ED039C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2.10“允许负偏离的条款”是指采购需求中的不属于“实质性要求”的条款。</w:t>
      </w:r>
    </w:p>
    <w:p w14:paraId="6AB6351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2.11“书面形式”是指合同书、信件和数据电文（包括电报、电传、传真、电子数据交换和电子邮件）等可以有形地表现所载内容的形式。</w:t>
      </w:r>
    </w:p>
    <w:p w14:paraId="008CAE6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2.12“首次报价”是指供应商提交的首次响应文件中的报价。</w:t>
      </w:r>
    </w:p>
    <w:p w14:paraId="43D75B5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2.13“评审报价”是指供应商提交的最后报价并经修正（如有）和政策功能价格扣除（如有）后的价格。</w:t>
      </w:r>
    </w:p>
    <w:p w14:paraId="0A3DF318">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3.供应商的资格条件</w:t>
      </w:r>
    </w:p>
    <w:p w14:paraId="2E3307F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供应商的资格条件详见“供应商须知前附表”。</w:t>
      </w:r>
    </w:p>
    <w:p w14:paraId="0008FCAA">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4.磋商费用</w:t>
      </w:r>
    </w:p>
    <w:p w14:paraId="737CDAD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供应商应承担参与本次采购活动有关的所有费用，包括但不限于、勘查现场、编制和提交响应文件、参加磋商与应答、签订合同等，不论竞标结果如何，均应自行承担。</w:t>
      </w:r>
    </w:p>
    <w:p w14:paraId="58A871E7">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5.联合体竞标</w:t>
      </w:r>
    </w:p>
    <w:p w14:paraId="60A5219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5.1本项目是否接受联合体竞标，详见“供应商须知前附表”。</w:t>
      </w:r>
    </w:p>
    <w:p w14:paraId="64BCE04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5.2</w:t>
      </w:r>
      <w:r>
        <w:rPr>
          <w:rFonts w:hint="eastAsia" w:ascii="仿宋" w:hAnsi="仿宋" w:eastAsia="仿宋" w:cs="仿宋"/>
          <w:color w:val="auto"/>
          <w:highlight w:val="none"/>
        </w:rPr>
        <w:t>如接受联合体竞标，</w:t>
      </w:r>
      <w:r>
        <w:rPr>
          <w:rFonts w:hint="eastAsia" w:ascii="仿宋" w:hAnsi="仿宋" w:eastAsia="仿宋" w:cs="仿宋"/>
          <w:color w:val="auto"/>
          <w:szCs w:val="21"/>
          <w:highlight w:val="none"/>
        </w:rPr>
        <w:t>联合体竞标要求详见“供应商须知前附表”。</w:t>
      </w:r>
    </w:p>
    <w:p w14:paraId="7AEE61A1">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271B9AD">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6.转包与分包             </w:t>
      </w:r>
    </w:p>
    <w:p w14:paraId="1414F90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6.1本项目是否允许分包详见“供应商须知前附表”，本项目不允许违法分包。</w:t>
      </w:r>
    </w:p>
    <w:p w14:paraId="5433C6F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17493CD">
      <w:pPr>
        <w:spacing w:line="360" w:lineRule="auto"/>
        <w:ind w:firstLine="422" w:firstLineChars="175"/>
        <w:rPr>
          <w:rFonts w:hint="eastAsia" w:ascii="仿宋" w:hAnsi="仿宋" w:eastAsia="仿宋" w:cs="仿宋"/>
          <w:b/>
          <w:bCs/>
          <w:color w:val="auto"/>
          <w:sz w:val="24"/>
          <w:highlight w:val="none"/>
        </w:rPr>
      </w:pPr>
      <w:bookmarkStart w:id="45" w:name="_Toc254970532"/>
      <w:bookmarkStart w:id="46" w:name="_Toc254970673"/>
      <w:r>
        <w:rPr>
          <w:rFonts w:hint="eastAsia" w:ascii="仿宋" w:hAnsi="仿宋" w:eastAsia="仿宋" w:cs="仿宋"/>
          <w:b/>
          <w:bCs/>
          <w:color w:val="auto"/>
          <w:sz w:val="24"/>
          <w:highlight w:val="none"/>
        </w:rPr>
        <w:t>7.特别说明</w:t>
      </w:r>
      <w:bookmarkEnd w:id="45"/>
      <w:bookmarkEnd w:id="46"/>
    </w:p>
    <w:p w14:paraId="464806DF">
      <w:pPr>
        <w:spacing w:line="360" w:lineRule="auto"/>
        <w:ind w:firstLine="420" w:firstLineChars="200"/>
        <w:rPr>
          <w:rFonts w:hint="eastAsia" w:ascii="仿宋" w:hAnsi="仿宋" w:eastAsia="仿宋" w:cs="仿宋"/>
          <w:color w:val="auto"/>
          <w:szCs w:val="21"/>
          <w:highlight w:val="none"/>
        </w:rPr>
      </w:pPr>
      <w:bookmarkStart w:id="47" w:name="_8.1提供相同品牌产品且通过资格审查、符合性审查的不同投标人参加同一合"/>
      <w:bookmarkEnd w:id="47"/>
      <w:r>
        <w:rPr>
          <w:rFonts w:hint="eastAsia" w:ascii="仿宋" w:hAnsi="仿宋" w:eastAsia="仿宋" w:cs="仿宋"/>
          <w:color w:val="auto"/>
          <w:szCs w:val="21"/>
          <w:highlight w:val="none"/>
        </w:rPr>
        <w:t>7.1</w:t>
      </w:r>
      <w:bookmarkStart w:id="48" w:name="_Hlk65832145"/>
      <w:r>
        <w:rPr>
          <w:rFonts w:hint="eastAsia" w:ascii="仿宋" w:hAnsi="仿宋" w:eastAsia="仿宋" w:cs="仿宋"/>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8"/>
    <w:p w14:paraId="3DEA759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7.2供应商应仔细阅读磋商文件的所有内容，按照磋商文件的要求提交响应文件，并对所提供的全部资料的真实性承担法律责任。</w:t>
      </w:r>
    </w:p>
    <w:p w14:paraId="0329A19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68A29E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7.4在政府采购活动中，采购人员及相关人员与供应商有下列利害关系之一的，应当回避：</w:t>
      </w:r>
    </w:p>
    <w:p w14:paraId="3F045AE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（1）参加采购活动前3年内与供应商存在劳动关系；</w:t>
      </w:r>
    </w:p>
    <w:p w14:paraId="6F21EC1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（2）参加采购活动前3年内担任供应商的董事、监事；</w:t>
      </w:r>
    </w:p>
    <w:p w14:paraId="5255AD9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（3）参加采购活动前3年内是供应商的控股股东或者实际控制人；</w:t>
      </w:r>
    </w:p>
    <w:p w14:paraId="5D56E3B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（4）与供应商的法定代表人或者负责人有夫妻、直系血亲、三代以内旁系血亲或者近姻亲关系；</w:t>
      </w:r>
    </w:p>
    <w:p w14:paraId="60D34E0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（5）与供应商有其他可能影响政府采购活动公平、公正进行的关系。</w:t>
      </w:r>
    </w:p>
    <w:p w14:paraId="004274D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3AF7F0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7.5有下列情形之一的视为供应商相互串通竞标，响应文件将被视为无效：</w:t>
      </w:r>
    </w:p>
    <w:p w14:paraId="40AE1C2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（1）不同供应商的响应文件由同一单位或者个人编制； </w:t>
      </w:r>
    </w:p>
    <w:p w14:paraId="31AC484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（2）不同供应商委托同一单位或者个人办理竞标事宜；</w:t>
      </w:r>
    </w:p>
    <w:p w14:paraId="170BDC9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（3）不同的供应商的响应文件载明的项目管理员为同一个人；</w:t>
      </w:r>
    </w:p>
    <w:p w14:paraId="110E1FD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（4）不同供应商的响应文件异常一致或者报价呈规律性差异；</w:t>
      </w:r>
    </w:p>
    <w:p w14:paraId="788E9DD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（5）不同供应商的响应文件相互混装；</w:t>
      </w:r>
    </w:p>
    <w:p w14:paraId="64709656">
      <w:pPr>
        <w:tabs>
          <w:tab w:val="left" w:pos="6931"/>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（6）不同供应商的磋商保证金从同一单位或者个人账户转出。</w:t>
      </w:r>
      <w:r>
        <w:rPr>
          <w:rFonts w:hint="eastAsia" w:ascii="仿宋" w:hAnsi="仿宋" w:eastAsia="仿宋" w:cs="仿宋"/>
          <w:color w:val="auto"/>
          <w:szCs w:val="21"/>
          <w:highlight w:val="none"/>
        </w:rPr>
        <w:tab/>
      </w:r>
    </w:p>
    <w:p w14:paraId="0D372C3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7.6供应商有下列情形之一的，属于恶意串通行为，将报同级监督管理部门：</w:t>
      </w:r>
    </w:p>
    <w:p w14:paraId="301B4FC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（1）供应商直接或者间接从采购人或者采购代理机构处获得其他供应商的相关信息并修改其响应文件；</w:t>
      </w:r>
    </w:p>
    <w:p w14:paraId="058634A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（2）供应商按照采购人或者采购代理机构的授意撤换、修改响应文件；</w:t>
      </w:r>
    </w:p>
    <w:p w14:paraId="41D8DA3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（3）供应商之间协商报价、技术方案等响应文件或者响应文件的实质性内容；</w:t>
      </w:r>
    </w:p>
    <w:p w14:paraId="0E8D0EB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（4）属于同一集团、协会、商会等组织成员的供应商按照该组织要求协同参加政府采购活动；</w:t>
      </w:r>
    </w:p>
    <w:p w14:paraId="73C5906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FF3093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（6）供应商之间商定部分供应商放弃参加政府采购活动或者放弃成交；</w:t>
      </w:r>
    </w:p>
    <w:p w14:paraId="3C6C083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（7）供应商与采购人或者采购代理机构之间、供应商相互之间，为谋求特定供应商成交或者排斥其他供应商的其他串通行为。</w:t>
      </w:r>
    </w:p>
    <w:p w14:paraId="6823E2D8">
      <w:pPr>
        <w:pStyle w:val="4"/>
        <w:spacing w:before="0" w:after="0" w:line="360" w:lineRule="auto"/>
        <w:jc w:val="center"/>
        <w:rPr>
          <w:rFonts w:hint="eastAsia" w:ascii="仿宋" w:hAnsi="仿宋" w:eastAsia="仿宋" w:cs="仿宋"/>
          <w:color w:val="auto"/>
          <w:highlight w:val="none"/>
        </w:rPr>
      </w:pPr>
      <w:bookmarkStart w:id="49" w:name="_Toc20357"/>
      <w:bookmarkStart w:id="50" w:name="_Toc23018"/>
      <w:bookmarkStart w:id="51" w:name="_Toc254970534"/>
      <w:bookmarkStart w:id="52" w:name="_Toc254970675"/>
      <w:bookmarkStart w:id="53" w:name="_Toc8091"/>
      <w:r>
        <w:rPr>
          <w:rFonts w:hint="eastAsia" w:ascii="仿宋" w:hAnsi="仿宋" w:eastAsia="仿宋" w:cs="仿宋"/>
          <w:color w:val="auto"/>
          <w:highlight w:val="none"/>
        </w:rPr>
        <w:t>二、磋商文件</w:t>
      </w:r>
      <w:bookmarkEnd w:id="49"/>
      <w:bookmarkEnd w:id="50"/>
      <w:bookmarkEnd w:id="51"/>
      <w:bookmarkEnd w:id="52"/>
      <w:bookmarkEnd w:id="53"/>
    </w:p>
    <w:p w14:paraId="17D4DD2A">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8.磋商文件的构成</w:t>
      </w:r>
    </w:p>
    <w:p w14:paraId="176C852E">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第一章 竞争性磋商公告；</w:t>
      </w:r>
    </w:p>
    <w:p w14:paraId="144426F9">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第二章 采购需求；</w:t>
      </w:r>
    </w:p>
    <w:p w14:paraId="570556F5">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第三章 供应商须知； </w:t>
      </w:r>
    </w:p>
    <w:p w14:paraId="64C0B8A2">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第四章 评审程序、评审方法和评审标准；</w:t>
      </w:r>
    </w:p>
    <w:p w14:paraId="692E2702">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第五章 响应文件格式；</w:t>
      </w:r>
    </w:p>
    <w:p w14:paraId="00FD0616">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第六章 合同文本；</w:t>
      </w:r>
    </w:p>
    <w:p w14:paraId="54D4FC36">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第七章 质疑、投诉材料格式。</w:t>
      </w:r>
    </w:p>
    <w:p w14:paraId="534DD6C2">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9.供应商的询问</w:t>
      </w:r>
    </w:p>
    <w:p w14:paraId="4E4EC55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041C9DE4">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10.磋商文件的澄清和修改</w:t>
      </w:r>
    </w:p>
    <w:p w14:paraId="0E60F54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3671F77">
      <w:pPr>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42AD39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741582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10.4</w:t>
      </w:r>
      <w:r>
        <w:rPr>
          <w:rFonts w:hint="eastAsia" w:ascii="仿宋" w:hAnsi="仿宋" w:eastAsia="仿宋" w:cs="仿宋"/>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A577B08">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10.5采购人和采购代理机构可以视采购具体情况，变更提交首次响应文件截止时间和竞谈时间，将变更时间将在“采购文件公告”中“七、其他补充事宜3.网上查询地址”规定的政府采购信息发布媒体上发布更正公告。</w:t>
      </w:r>
    </w:p>
    <w:p w14:paraId="082FCF92">
      <w:pPr>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r>
        <w:rPr>
          <w:rFonts w:hint="eastAsia" w:ascii="仿宋" w:hAnsi="仿宋" w:eastAsia="仿宋" w:cs="仿宋"/>
          <w:b/>
          <w:color w:val="auto"/>
          <w:kern w:val="0"/>
          <w:szCs w:val="21"/>
          <w:highlight w:val="none"/>
        </w:rPr>
        <w:t>响应文件未按磋商文件的澄清、修改的内容编制，又不符合实质性要求的，其响应文件作无效处理。</w:t>
      </w:r>
    </w:p>
    <w:p w14:paraId="40166E98">
      <w:pPr>
        <w:pStyle w:val="4"/>
        <w:spacing w:before="0" w:after="0" w:line="360" w:lineRule="auto"/>
        <w:jc w:val="center"/>
        <w:rPr>
          <w:rFonts w:hint="eastAsia" w:ascii="仿宋" w:hAnsi="仿宋" w:eastAsia="仿宋" w:cs="仿宋"/>
          <w:color w:val="auto"/>
          <w:highlight w:val="none"/>
        </w:rPr>
      </w:pPr>
      <w:bookmarkStart w:id="54" w:name="_Toc29929"/>
      <w:bookmarkStart w:id="55" w:name="_Toc3099"/>
      <w:bookmarkStart w:id="56" w:name="_Toc19638"/>
      <w:r>
        <w:rPr>
          <w:rFonts w:hint="eastAsia" w:ascii="仿宋" w:hAnsi="仿宋" w:eastAsia="仿宋" w:cs="仿宋"/>
          <w:color w:val="auto"/>
          <w:highlight w:val="none"/>
        </w:rPr>
        <w:t>三、响应文件的编制</w:t>
      </w:r>
      <w:bookmarkEnd w:id="54"/>
      <w:bookmarkEnd w:id="55"/>
      <w:bookmarkEnd w:id="56"/>
    </w:p>
    <w:p w14:paraId="74E5C6E4">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11.响应文件的编制原则</w:t>
      </w:r>
    </w:p>
    <w:p w14:paraId="2ECD236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供应商必须按照磋商文件的要求编制响应文件，并对其提交的响应文件的真实性、合法性承担法律责任。响应文件必须对磋商文件作出实质性响应。</w:t>
      </w:r>
    </w:p>
    <w:p w14:paraId="21DCB7F4">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12.响应文件的组成</w:t>
      </w:r>
    </w:p>
    <w:p w14:paraId="6122834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12.1响应文件由资格证明文件、商务技术文件、报价文件三部分组成。</w:t>
      </w:r>
    </w:p>
    <w:p w14:paraId="4A0BF314">
      <w:pPr>
        <w:spacing w:line="360" w:lineRule="auto"/>
        <w:ind w:left="420" w:leftChars="20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12.1.1资格证明文件：详见须知前附表</w:t>
      </w:r>
    </w:p>
    <w:p w14:paraId="6E582F1A">
      <w:pPr>
        <w:spacing w:line="360" w:lineRule="auto"/>
        <w:ind w:left="420" w:leftChars="20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12.1.2商务技术文件：详见须知前附表</w:t>
      </w:r>
    </w:p>
    <w:p w14:paraId="79D6D580">
      <w:pPr>
        <w:spacing w:line="360" w:lineRule="auto"/>
        <w:ind w:left="420" w:leftChars="20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12.1.3报价文件：详见须知前附表</w:t>
      </w:r>
    </w:p>
    <w:p w14:paraId="4885A3D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12.2响应文件电子版：详见须知前附表</w:t>
      </w:r>
    </w:p>
    <w:p w14:paraId="263F8C40">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13.计量单位</w:t>
      </w:r>
    </w:p>
    <w:p w14:paraId="4A498F0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磋商文件已有明确规定的，使用磋商文件规定的计量单位；磋商文件没有规定的，应采用中华人民共和国法定计量单位，货币种类为人民币，否则视同未响应。</w:t>
      </w:r>
    </w:p>
    <w:p w14:paraId="7C544DF9">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14.竞标的风险</w:t>
      </w:r>
    </w:p>
    <w:p w14:paraId="3988415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供应商没有按照磋商文件要求提供全部资料，或者供应商没有对磋商文件在各方面作出实质性响应可能导致其响应无效，是供应商应当考虑的风险。</w:t>
      </w:r>
    </w:p>
    <w:p w14:paraId="563C36A2">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15.响应报价要求和构成</w:t>
      </w:r>
    </w:p>
    <w:p w14:paraId="0E0C2DFA">
      <w:pPr>
        <w:tabs>
          <w:tab w:val="left" w:pos="2492"/>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15.1响应报价应按“第五章 响应文件格式”中“响应报价表、已标价工程量清单”格式填写。</w:t>
      </w:r>
    </w:p>
    <w:p w14:paraId="67670B7C">
      <w:pPr>
        <w:tabs>
          <w:tab w:val="left" w:pos="2492"/>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15.2响应报价的价格构成见“供应商须知前附表”。</w:t>
      </w:r>
    </w:p>
    <w:p w14:paraId="23AA957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15.3响应报价要求</w:t>
      </w:r>
    </w:p>
    <w:p w14:paraId="1F6E544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15.3.1供应商的响应报价应符合以下要求，否则响应文件按无效响应处理：</w:t>
      </w:r>
    </w:p>
    <w:p w14:paraId="18F4E1F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（1）供应商必须就“采购需求”中所竞标的每个分标的全部内容分别作完整唯一总价报价，不得存在漏项报价；</w:t>
      </w:r>
    </w:p>
    <w:p w14:paraId="6F83815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（2）供应商必须就所竞标的分标的单项内容作唯一报价。</w:t>
      </w:r>
    </w:p>
    <w:p w14:paraId="7A9F85A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15.3.2响应报价（包含首次报价、最后报价）超过所竞标分标规定的采购预算金额或者最高限价的，其响应文件将作无效处理。</w:t>
      </w:r>
    </w:p>
    <w:p w14:paraId="12ECE30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15.3.3</w:t>
      </w:r>
      <w:bookmarkStart w:id="57" w:name="_Hlk42592874"/>
      <w:r>
        <w:rPr>
          <w:rFonts w:hint="eastAsia" w:ascii="仿宋" w:hAnsi="仿宋" w:eastAsia="仿宋" w:cs="仿宋"/>
          <w:color w:val="auto"/>
          <w:szCs w:val="21"/>
          <w:highlight w:val="none"/>
        </w:rPr>
        <w:t>响应报价（包含首次报价、最后报价）超过分项采购预算金额或者最高限价的，其响应文件将作无效处理。</w:t>
      </w:r>
    </w:p>
    <w:bookmarkEnd w:id="57"/>
    <w:p w14:paraId="446DED4D">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16.竞标有效期</w:t>
      </w:r>
    </w:p>
    <w:p w14:paraId="1C6FB67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BF8141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 竞标有效期应由供应商按“供应商须知前附表”规定的期限作出响应。</w:t>
      </w:r>
    </w:p>
    <w:p w14:paraId="42177F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16.3供应商的响应文件在竞标有效期内均保持有效。</w:t>
      </w:r>
    </w:p>
    <w:p w14:paraId="2D5FB9AB">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17.磋商保证金</w:t>
      </w:r>
    </w:p>
    <w:p w14:paraId="4331282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详见“供应商须知前附表”。</w:t>
      </w:r>
    </w:p>
    <w:p w14:paraId="35474496">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18.响应文件编制的要求</w:t>
      </w:r>
    </w:p>
    <w:p w14:paraId="4AE0F02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仿宋" w:hAnsi="仿宋" w:eastAsia="仿宋" w:cs="仿宋"/>
          <w:color w:val="auto"/>
          <w:highlight w:val="none"/>
        </w:rPr>
        <w:t>由此引发的</w:t>
      </w:r>
      <w:r>
        <w:rPr>
          <w:rFonts w:hint="eastAsia" w:ascii="仿宋" w:hAnsi="仿宋" w:eastAsia="仿宋" w:cs="仿宋"/>
          <w:color w:val="auto"/>
          <w:szCs w:val="21"/>
          <w:highlight w:val="none"/>
        </w:rPr>
        <w:t>后果由供应商承担。</w:t>
      </w:r>
    </w:p>
    <w:p w14:paraId="7DEAB0C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18.2响应文件应按资格证明、报价分别编制，商务技术文件合并编制，本磋商只接受电子版响应文件，要求见本章“12.2响应文件电子版要求”。</w:t>
      </w:r>
    </w:p>
    <w:p w14:paraId="213FAAB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w:t>
      </w:r>
      <w:bookmarkStart w:id="58" w:name="_Hlk65832699"/>
      <w:r>
        <w:rPr>
          <w:rFonts w:hint="eastAsia" w:ascii="仿宋" w:hAnsi="仿宋" w:eastAsia="仿宋" w:cs="仿宋"/>
          <w:color w:val="auto"/>
          <w:szCs w:val="21"/>
          <w:highlight w:val="none"/>
        </w:rPr>
        <w:t>3响应文件须由供应商在</w:t>
      </w:r>
      <w:r>
        <w:rPr>
          <w:rFonts w:hint="eastAsia" w:ascii="仿宋" w:hAnsi="仿宋" w:eastAsia="仿宋" w:cs="仿宋"/>
          <w:color w:val="auto"/>
          <w:kern w:val="0"/>
          <w:szCs w:val="21"/>
          <w:highlight w:val="none"/>
          <w:lang w:val="zh-CN"/>
        </w:rPr>
        <w:t>“</w:t>
      </w:r>
      <w:r>
        <w:rPr>
          <w:rFonts w:hint="eastAsia" w:ascii="仿宋" w:hAnsi="仿宋" w:eastAsia="仿宋" w:cs="仿宋"/>
          <w:color w:val="auto"/>
          <w:szCs w:val="21"/>
          <w:highlight w:val="none"/>
        </w:rPr>
        <w:t>第五章 响应文件格式</w:t>
      </w:r>
      <w:r>
        <w:rPr>
          <w:rFonts w:hint="eastAsia" w:ascii="仿宋" w:hAnsi="仿宋" w:eastAsia="仿宋" w:cs="仿宋"/>
          <w:color w:val="auto"/>
          <w:kern w:val="0"/>
          <w:szCs w:val="21"/>
          <w:highlight w:val="none"/>
          <w:lang w:val="zh-CN"/>
        </w:rPr>
        <w:t>”</w:t>
      </w:r>
      <w:r>
        <w:rPr>
          <w:rFonts w:hint="eastAsia" w:ascii="仿宋" w:hAnsi="仿宋" w:eastAsia="仿宋" w:cs="仿宋"/>
          <w:color w:val="auto"/>
          <w:szCs w:val="21"/>
          <w:highlight w:val="none"/>
        </w:rPr>
        <w:t>规定位置进行签署、盖章</w:t>
      </w:r>
      <w:bookmarkEnd w:id="58"/>
      <w:r>
        <w:rPr>
          <w:rFonts w:hint="eastAsia" w:ascii="仿宋" w:hAnsi="仿宋" w:eastAsia="仿宋" w:cs="仿宋"/>
          <w:color w:val="auto"/>
          <w:szCs w:val="21"/>
          <w:highlight w:val="none"/>
        </w:rPr>
        <w:t>，否则其响应文件按无效响应处理。骑缝盖公章不视为在规定位置盖章。</w:t>
      </w:r>
    </w:p>
    <w:p w14:paraId="6053765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18.4响应文件中标注的供应商名称应与营业执照（事业单位法人证书、执业许可证、自然人身份证）及电子公章一致，否则其响应文件按无效响应处理。</w:t>
      </w:r>
    </w:p>
    <w:p w14:paraId="3F9BC90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18.5响应文件应避免涂改、行间插字或者删除，否则其响应文件按无效响应处理。</w:t>
      </w:r>
    </w:p>
    <w:p w14:paraId="4F26D993">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19.响应文件的密封和标记</w:t>
      </w:r>
    </w:p>
    <w:p w14:paraId="3E51C710">
      <w:pPr>
        <w:spacing w:line="360" w:lineRule="auto"/>
        <w:ind w:firstLine="420" w:firstLineChars="200"/>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19.1供应商进行电子交易应安装客户端软件—“广西政府采购云电子交易客户端”，并按照磋商文件和电子交易平台的要求编制并加密响应文件。供应商未按规定加密的响应文件，电子交易平台将拒收并提示。</w:t>
      </w:r>
    </w:p>
    <w:p w14:paraId="2F4C5606">
      <w:pPr>
        <w:spacing w:line="360" w:lineRule="auto"/>
        <w:ind w:firstLine="420" w:firstLineChars="200"/>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19.2使用“广西政府采购云电子交易客户端”需要提前申领CA数字证书，申领流程见该项目采购公告附件。</w:t>
      </w:r>
    </w:p>
    <w:p w14:paraId="548DD254">
      <w:pPr>
        <w:pStyle w:val="17"/>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4BBF1EFB">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20.响应文件的提交</w:t>
      </w:r>
    </w:p>
    <w:p w14:paraId="5B80A86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20.1供应商必须在“供应商须知前附表”规定的时间和地点提交响应文件。</w:t>
      </w:r>
    </w:p>
    <w:p w14:paraId="0B0D766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20.2 在响应文件提交截止时间以后，不能补充、修改响应文件。</w:t>
      </w:r>
    </w:p>
    <w:p w14:paraId="705DC9B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20.3 在提交“最后报价”后，供应商不能退出磋商。</w:t>
      </w:r>
    </w:p>
    <w:p w14:paraId="25E960E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A6609F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20.5 采购机构不可视情况延长提交响应文件的截止时间。</w:t>
      </w:r>
    </w:p>
    <w:p w14:paraId="5EAC01F9">
      <w:pPr>
        <w:spacing w:line="360" w:lineRule="auto"/>
        <w:ind w:firstLine="420" w:firstLineChars="200"/>
        <w:rPr>
          <w:rFonts w:hint="eastAsia" w:ascii="仿宋" w:hAnsi="仿宋" w:eastAsia="仿宋" w:cs="仿宋"/>
          <w:color w:val="auto"/>
          <w:sz w:val="24"/>
          <w:highlight w:val="none"/>
        </w:rPr>
      </w:pPr>
      <w:r>
        <w:rPr>
          <w:rFonts w:hint="eastAsia" w:ascii="仿宋" w:hAnsi="仿宋" w:eastAsia="仿宋" w:cs="仿宋"/>
          <w:color w:val="auto"/>
          <w:szCs w:val="21"/>
          <w:highlight w:val="none"/>
        </w:rPr>
        <w:t>20.6备份响应文件。</w:t>
      </w:r>
      <w:r>
        <w:rPr>
          <w:rFonts w:hint="eastAsia" w:ascii="仿宋" w:hAnsi="仿宋" w:eastAsia="仿宋" w:cs="仿宋"/>
          <w:bCs/>
          <w:color w:val="auto"/>
          <w:szCs w:val="21"/>
          <w:highlight w:val="none"/>
        </w:rPr>
        <w:t>详见在“供应商须知前附表”。</w:t>
      </w:r>
    </w:p>
    <w:p w14:paraId="02566792">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21.首次响应文件的补充、修改与撤回</w:t>
      </w:r>
    </w:p>
    <w:p w14:paraId="015448D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详见“供应商须知前附表”。</w:t>
      </w:r>
    </w:p>
    <w:p w14:paraId="54ABF8C0">
      <w:pPr>
        <w:spacing w:line="360" w:lineRule="auto"/>
        <w:ind w:firstLine="422" w:firstLineChars="175"/>
        <w:rPr>
          <w:rFonts w:hint="eastAsia" w:ascii="仿宋" w:hAnsi="仿宋" w:eastAsia="仿宋" w:cs="仿宋"/>
          <w:b/>
          <w:bCs/>
          <w:color w:val="auto"/>
          <w:sz w:val="24"/>
          <w:highlight w:val="none"/>
        </w:rPr>
      </w:pPr>
      <w:bookmarkStart w:id="59" w:name="_Hlk45702405"/>
      <w:r>
        <w:rPr>
          <w:rFonts w:hint="eastAsia" w:ascii="仿宋" w:hAnsi="仿宋" w:eastAsia="仿宋" w:cs="仿宋"/>
          <w:b/>
          <w:bCs/>
          <w:color w:val="auto"/>
          <w:sz w:val="24"/>
          <w:highlight w:val="none"/>
        </w:rPr>
        <w:t>22.首次响应文件的退回</w:t>
      </w:r>
    </w:p>
    <w:p w14:paraId="6EC3225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6F67BF1B">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23.截止时间后的撤回</w:t>
      </w:r>
    </w:p>
    <w:p w14:paraId="3BD6EDD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本项目不收取磋商保证金，供应商在首次响应文件提交截止时间后可向采购人、采购代理机构书面申请撤回电子响应文件。</w:t>
      </w:r>
      <w:bookmarkEnd w:id="59"/>
    </w:p>
    <w:p w14:paraId="7FA6B5BC">
      <w:pPr>
        <w:pStyle w:val="4"/>
        <w:spacing w:before="0" w:after="0" w:line="360" w:lineRule="auto"/>
        <w:jc w:val="center"/>
        <w:rPr>
          <w:rFonts w:hint="eastAsia" w:ascii="仿宋" w:hAnsi="仿宋" w:eastAsia="仿宋" w:cs="仿宋"/>
          <w:color w:val="auto"/>
          <w:highlight w:val="none"/>
        </w:rPr>
      </w:pPr>
      <w:bookmarkStart w:id="60" w:name="_Toc3515"/>
      <w:bookmarkStart w:id="61" w:name="_Toc22314"/>
      <w:bookmarkStart w:id="62" w:name="_Toc25502"/>
      <w:r>
        <w:rPr>
          <w:rFonts w:hint="eastAsia" w:ascii="仿宋" w:hAnsi="仿宋" w:eastAsia="仿宋" w:cs="仿宋"/>
          <w:color w:val="auto"/>
          <w:highlight w:val="none"/>
        </w:rPr>
        <w:t>四、评审及磋商</w:t>
      </w:r>
      <w:bookmarkEnd w:id="60"/>
      <w:bookmarkEnd w:id="61"/>
      <w:bookmarkEnd w:id="62"/>
    </w:p>
    <w:p w14:paraId="7552C902">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24.磋商小组成立</w:t>
      </w:r>
    </w:p>
    <w:p w14:paraId="153FA63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24.1磋商小组由采购人代表和评审专家共3人</w:t>
      </w:r>
      <w:r>
        <w:rPr>
          <w:rFonts w:hint="eastAsia" w:ascii="仿宋" w:hAnsi="仿宋" w:eastAsia="仿宋" w:cs="仿宋"/>
          <w:color w:val="auto"/>
          <w:szCs w:val="21"/>
          <w:highlight w:val="none"/>
          <w:lang w:eastAsia="zh-CN"/>
        </w:rPr>
        <w:t>（含</w:t>
      </w:r>
      <w:r>
        <w:rPr>
          <w:rFonts w:hint="eastAsia" w:ascii="仿宋" w:hAnsi="仿宋" w:eastAsia="仿宋" w:cs="仿宋"/>
          <w:color w:val="auto"/>
          <w:szCs w:val="21"/>
          <w:highlight w:val="none"/>
          <w:lang w:val="en-US" w:eastAsia="zh-CN"/>
        </w:rPr>
        <w:t>3人</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w:t>
      </w:r>
      <w:r>
        <w:rPr>
          <w:rFonts w:hint="eastAsia" w:ascii="仿宋" w:hAnsi="仿宋" w:eastAsia="仿宋" w:cs="仿宋"/>
          <w:color w:val="auto"/>
          <w:szCs w:val="21"/>
          <w:highlight w:val="none"/>
          <w:lang w:eastAsia="zh-CN"/>
        </w:rPr>
        <w:t>（含</w:t>
      </w:r>
      <w:r>
        <w:rPr>
          <w:rFonts w:hint="eastAsia" w:ascii="仿宋" w:hAnsi="仿宋" w:eastAsia="仿宋" w:cs="仿宋"/>
          <w:color w:val="auto"/>
          <w:szCs w:val="21"/>
          <w:highlight w:val="none"/>
          <w:lang w:val="en-US" w:eastAsia="zh-CN"/>
        </w:rPr>
        <w:t>5人</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以上单数组成。</w:t>
      </w:r>
    </w:p>
    <w:p w14:paraId="051CA8D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83524D0">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25.首次响应文件的开启</w:t>
      </w:r>
    </w:p>
    <w:p w14:paraId="3B2FB75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25.1首次响应文件由磋商小组或者采购代理机构在“供应商须知前附表”规定的时间开启。</w:t>
      </w:r>
    </w:p>
    <w:p w14:paraId="70DFC03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25.2 响应文件解密</w:t>
      </w:r>
    </w:p>
    <w:p w14:paraId="7510D07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采购代理机构将在“供应商须知前附表”规定的时间通过电子交易平台组织响应文件开启，采购机构依托电子交易平台发起开始解密指令，供应商的法定代表人或其委托代理人</w:t>
      </w:r>
      <w:r>
        <w:rPr>
          <w:rFonts w:hint="eastAsia" w:ascii="仿宋" w:hAnsi="仿宋" w:eastAsia="仿宋" w:cs="仿宋"/>
          <w:b/>
          <w:bCs/>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仿宋" w:hAnsi="仿宋" w:eastAsia="仿宋" w:cs="仿宋"/>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仿宋" w:hAnsi="仿宋" w:eastAsia="仿宋" w:cs="仿宋"/>
          <w:b/>
          <w:bCs/>
          <w:color w:val="auto"/>
          <w:szCs w:val="21"/>
          <w:highlight w:val="none"/>
        </w:rPr>
        <w:t>视为响应文件无效。</w:t>
      </w:r>
      <w:r>
        <w:rPr>
          <w:rFonts w:hint="eastAsia" w:ascii="仿宋" w:hAnsi="仿宋" w:eastAsia="仿宋" w:cs="仿宋"/>
          <w:color w:val="auto"/>
          <w:szCs w:val="21"/>
          <w:highlight w:val="none"/>
        </w:rPr>
        <w:t>（解密异常情况处理：详见本章26.3 电子交易活动的中止。）</w:t>
      </w:r>
    </w:p>
    <w:p w14:paraId="28B0DA57">
      <w:pPr>
        <w:pStyle w:val="17"/>
        <w:spacing w:line="360" w:lineRule="auto"/>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如</w:t>
      </w:r>
      <w:r>
        <w:rPr>
          <w:rFonts w:hint="eastAsia" w:ascii="仿宋" w:hAnsi="仿宋" w:eastAsia="仿宋" w:cs="仿宋"/>
          <w:bCs/>
          <w:color w:val="auto"/>
          <w:sz w:val="21"/>
          <w:highlight w:val="none"/>
        </w:rPr>
        <w:t>供应商成功解密响应文件，但未在“广西政府采购云”电子开标大厅参加磋商的，视同认可磋商过程和结果，</w:t>
      </w:r>
      <w:r>
        <w:rPr>
          <w:rFonts w:hint="eastAsia" w:ascii="仿宋" w:hAnsi="仿宋" w:eastAsia="仿宋" w:cs="仿宋"/>
          <w:color w:val="auto"/>
          <w:sz w:val="21"/>
          <w:highlight w:val="none"/>
        </w:rPr>
        <w:t>由此产生的后果由供应商自行负责。 参与磋商的供应商不足3家的，不得磋商。</w:t>
      </w:r>
    </w:p>
    <w:p w14:paraId="22A26955">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26.评审程序、评审方法和评审标准</w:t>
      </w:r>
    </w:p>
    <w:p w14:paraId="2698D337">
      <w:pPr>
        <w:spacing w:line="360" w:lineRule="auto"/>
        <w:ind w:firstLine="420" w:firstLineChars="200"/>
        <w:rPr>
          <w:rFonts w:hint="eastAsia" w:ascii="仿宋" w:hAnsi="仿宋" w:eastAsia="仿宋" w:cs="仿宋"/>
          <w:color w:val="auto"/>
          <w:szCs w:val="21"/>
          <w:highlight w:val="none"/>
        </w:rPr>
      </w:pPr>
      <w:bookmarkStart w:id="63" w:name="_Toc15315"/>
      <w:r>
        <w:rPr>
          <w:rFonts w:hint="eastAsia" w:ascii="仿宋" w:hAnsi="仿宋" w:eastAsia="仿宋" w:cs="仿宋"/>
          <w:color w:val="auto"/>
          <w:szCs w:val="21"/>
          <w:highlight w:val="none"/>
        </w:rPr>
        <w:t>26.1磋商小组按照“第四章 评审程序、评审方法和评审标准”规定的方法、评审因素、标准和程序对响应文件进行评审。</w:t>
      </w:r>
    </w:p>
    <w:p w14:paraId="7331A6A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26.2 磋商文件内容违反国家有关强制性规定的，磋商小组应当停止评审并向采购人或者采购代理机构说明情况，并在评审报告中书面体现。</w:t>
      </w:r>
    </w:p>
    <w:p w14:paraId="674E86A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26.3 采购需求负偏离要求及磋商顺序详见“ 供应商须知前附表”。</w:t>
      </w:r>
    </w:p>
    <w:p w14:paraId="4062343B">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26.4电子交易活动的中止。采购过程中出现以下情形，导致电子交易平台无法正常运行，或者无法保证电子交易的公平、公正和安全时，采购机构可中止电子交易活动：</w:t>
      </w:r>
    </w:p>
    <w:p w14:paraId="154C693A">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（1）电子交易平台发生故障而无法登录访问的； </w:t>
      </w:r>
    </w:p>
    <w:p w14:paraId="265EF0D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（2）电子交易平台应用或数据库出现错误，不能进行正常操作的；</w:t>
      </w:r>
    </w:p>
    <w:p w14:paraId="7039B81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（3）电子交易平台发现严重安全漏洞，有潜在泄密危险的；</w:t>
      </w:r>
    </w:p>
    <w:p w14:paraId="19749C4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（4）病毒发作导致不能进行正常操作的； </w:t>
      </w:r>
    </w:p>
    <w:p w14:paraId="651D1B83">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（5）其他无法保证电子交易的公平、公正和安全的情况。</w:t>
      </w:r>
    </w:p>
    <w:p w14:paraId="5E22FF56">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28EC46C">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w:t>
      </w:r>
      <w:r>
        <w:rPr>
          <w:rFonts w:hint="eastAsia" w:ascii="仿宋" w:hAnsi="仿宋" w:eastAsia="仿宋" w:cs="仿宋"/>
          <w:color w:val="000000"/>
          <w:sz w:val="21"/>
          <w:szCs w:val="21"/>
          <w:highlight w:val="none"/>
        </w:rPr>
        <w:t>政府采购异常低价审查程序</w:t>
      </w:r>
    </w:p>
    <w:p w14:paraId="1A2925EE">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26.6.1</w:t>
      </w:r>
      <w:r>
        <w:rPr>
          <w:rFonts w:hint="eastAsia" w:ascii="仿宋" w:hAnsi="仿宋" w:eastAsia="仿宋" w:cs="仿宋"/>
          <w:color w:val="000000"/>
          <w:sz w:val="21"/>
          <w:szCs w:val="21"/>
          <w:highlight w:val="none"/>
        </w:rPr>
        <w:t>评审中出现下列情形之一的，评审委员会应当启动异常低价响应审查程序：</w:t>
      </w:r>
    </w:p>
    <w:p w14:paraId="609E2F5C">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1</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rPr>
        <w:t>响应报价低于全部通过符合性审查供应商响应报价平均值50%的，即响应报价&lt;全部通过符合性审查供应商响应报价平均值×50%；</w:t>
      </w:r>
    </w:p>
    <w:p w14:paraId="3DFC2891">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2</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rPr>
        <w:t>响应报价低于通过符合性审查的次低报价供应商响应报价50%的，即响应报价&lt;通过符合性审查的次低报价供应商响应报价×50%；</w:t>
      </w:r>
    </w:p>
    <w:p w14:paraId="3999D0FD">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3</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rPr>
        <w:t>响应报价低于采购项目最高限价45%的，即响应报价&lt;采购项目最高限价×45%；</w:t>
      </w:r>
    </w:p>
    <w:p w14:paraId="4CFEB7B8">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4</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rPr>
        <w:t>评审委员会基于专业判断，认为供应商报价过低，有可能影响产品质量或者不能诚信履约的其他情形。</w:t>
      </w:r>
    </w:p>
    <w:p w14:paraId="593F4E7E">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采购人可以结合具体项目实际情况，提高上述第1项至第3项中启动异常低价响应审查的数值标准，但是最高不得超过65%。</w:t>
      </w:r>
    </w:p>
    <w:p w14:paraId="445119E5">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375B13C3">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26.6.2</w:t>
      </w:r>
      <w:r>
        <w:rPr>
          <w:rFonts w:hint="eastAsia" w:ascii="仿宋" w:hAnsi="仿宋" w:eastAsia="仿宋" w:cs="仿宋"/>
          <w:color w:val="000000"/>
          <w:sz w:val="21"/>
          <w:szCs w:val="21"/>
          <w:highlight w:val="none"/>
        </w:rPr>
        <w:t>评审委员会依据专业经验，参考同类项目</w:t>
      </w:r>
      <w:r>
        <w:rPr>
          <w:rFonts w:hint="eastAsia" w:ascii="仿宋" w:hAnsi="仿宋" w:eastAsia="仿宋" w:cs="仿宋"/>
          <w:color w:val="000000"/>
          <w:sz w:val="21"/>
          <w:szCs w:val="21"/>
          <w:highlight w:val="none"/>
          <w:lang w:eastAsia="zh-CN"/>
        </w:rPr>
        <w:t>成交</w:t>
      </w:r>
      <w:r>
        <w:rPr>
          <w:rFonts w:hint="eastAsia" w:ascii="仿宋" w:hAnsi="仿宋" w:eastAsia="仿宋" w:cs="仿宋"/>
          <w:color w:val="000000"/>
          <w:sz w:val="21"/>
          <w:szCs w:val="21"/>
          <w:highlight w:val="none"/>
        </w:rPr>
        <w:t>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14:paraId="1AB0C321">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26.6.3</w:t>
      </w:r>
      <w:r>
        <w:rPr>
          <w:rFonts w:hint="eastAsia" w:ascii="仿宋" w:hAnsi="仿宋" w:eastAsia="仿宋" w:cs="仿宋"/>
          <w:color w:val="000000"/>
          <w:sz w:val="21"/>
          <w:szCs w:val="21"/>
          <w:highlight w:val="none"/>
        </w:rPr>
        <w:t>采购人、采购代理机构应当为评审委员会在评审现场及时获取同类项目</w:t>
      </w:r>
      <w:r>
        <w:rPr>
          <w:rFonts w:hint="eastAsia" w:ascii="仿宋" w:hAnsi="仿宋" w:eastAsia="仿宋" w:cs="仿宋"/>
          <w:color w:val="000000"/>
          <w:sz w:val="21"/>
          <w:szCs w:val="21"/>
          <w:highlight w:val="none"/>
          <w:lang w:eastAsia="zh-CN"/>
        </w:rPr>
        <w:t>成交</w:t>
      </w:r>
      <w:r>
        <w:rPr>
          <w:rFonts w:hint="eastAsia" w:ascii="仿宋" w:hAnsi="仿宋" w:eastAsia="仿宋" w:cs="仿宋"/>
          <w:color w:val="000000"/>
          <w:sz w:val="21"/>
          <w:szCs w:val="21"/>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1D89198">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26.6.4</w:t>
      </w:r>
      <w:r>
        <w:rPr>
          <w:rFonts w:hint="eastAsia" w:ascii="仿宋" w:hAnsi="仿宋" w:eastAsia="仿宋" w:cs="仿宋"/>
          <w:color w:val="000000"/>
          <w:sz w:val="21"/>
          <w:szCs w:val="21"/>
          <w:highlight w:val="none"/>
        </w:rPr>
        <w:t>异常低价响应审查的启动原因、审查意见和审查结果应当在评审报告中记录，并随供应商提供的相关书面说明及证明材料，以及评审委员会有关互联网浏览、查询历史一并归档。</w:t>
      </w:r>
    </w:p>
    <w:p w14:paraId="63FF292F">
      <w:pPr>
        <w:suppressAutoHyphens/>
        <w:spacing w:line="400" w:lineRule="exact"/>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26.6.5</w:t>
      </w:r>
      <w:r>
        <w:rPr>
          <w:rFonts w:hint="eastAsia" w:ascii="仿宋" w:hAnsi="仿宋" w:eastAsia="仿宋" w:cs="仿宋"/>
          <w:color w:val="000000"/>
          <w:sz w:val="21"/>
          <w:szCs w:val="21"/>
          <w:highlight w:val="none"/>
        </w:rPr>
        <w:t>采购人将落实履约验收责任，依法组织履约验收工作，验收内容要包括每一项技术和商务要求的履约情况。对报价触发异常低价响应审查程序后仍成交的供应商，重点关注其履约承诺、实际履约情况等。对可以分期实施的采购项目，实行分期考核、分期验收、分期支付，及时掌握供应商履约进展。如供应商成交后无正当理由拒不签订政府采购合同的，依法予以处理；如供应商不履行合同或者未按合同约定履行合同导致验收不合格的，采购人当依法追究其违约责任。</w:t>
      </w:r>
    </w:p>
    <w:p w14:paraId="6E0101D8">
      <w:pPr>
        <w:spacing w:line="360" w:lineRule="auto"/>
        <w:ind w:firstLine="420" w:firstLineChars="200"/>
        <w:rPr>
          <w:rFonts w:hint="eastAsia" w:ascii="仿宋" w:hAnsi="仿宋" w:eastAsia="仿宋" w:cs="仿宋"/>
          <w:color w:val="auto"/>
          <w:highlight w:val="none"/>
        </w:rPr>
      </w:pPr>
    </w:p>
    <w:p w14:paraId="41800720">
      <w:pPr>
        <w:pStyle w:val="4"/>
        <w:spacing w:before="0" w:after="0" w:line="360" w:lineRule="auto"/>
        <w:jc w:val="center"/>
        <w:rPr>
          <w:rFonts w:hint="eastAsia" w:ascii="仿宋" w:hAnsi="仿宋" w:eastAsia="仿宋" w:cs="仿宋"/>
          <w:color w:val="auto"/>
          <w:highlight w:val="none"/>
        </w:rPr>
      </w:pPr>
      <w:bookmarkStart w:id="64" w:name="_Toc16614"/>
      <w:bookmarkStart w:id="65" w:name="_Toc17141"/>
      <w:r>
        <w:rPr>
          <w:rFonts w:hint="eastAsia" w:ascii="仿宋" w:hAnsi="仿宋" w:eastAsia="仿宋" w:cs="仿宋"/>
          <w:color w:val="auto"/>
          <w:highlight w:val="none"/>
        </w:rPr>
        <w:t>五、成交及合同</w:t>
      </w:r>
      <w:bookmarkEnd w:id="63"/>
      <w:bookmarkEnd w:id="64"/>
      <w:bookmarkEnd w:id="65"/>
    </w:p>
    <w:p w14:paraId="752DD95C">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27.确定成交供应商及结果公告</w:t>
      </w:r>
    </w:p>
    <w:p w14:paraId="78D07A9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27.1确定成交供应商。</w:t>
      </w:r>
      <w:r>
        <w:rPr>
          <w:rFonts w:hint="eastAsia" w:ascii="仿宋" w:hAnsi="仿宋" w:eastAsia="仿宋" w:cs="仿宋"/>
          <w:color w:val="auto"/>
          <w:kern w:val="0"/>
          <w:szCs w:val="21"/>
          <w:highlight w:val="none"/>
          <w:u w:val="single"/>
        </w:rPr>
        <w:t>由采购人直接委托评审专家确定</w:t>
      </w:r>
      <w:r>
        <w:rPr>
          <w:rFonts w:hint="eastAsia" w:ascii="仿宋" w:hAnsi="仿宋" w:eastAsia="仿宋" w:cs="仿宋"/>
          <w:color w:val="auto"/>
          <w:szCs w:val="21"/>
          <w:highlight w:val="none"/>
          <w:u w:val="single"/>
        </w:rPr>
        <w:t>，评审报告提出的排序第一的供应商为成交供应商。</w:t>
      </w:r>
    </w:p>
    <w:p w14:paraId="31724FD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2014ECD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96C7A4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59D82B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27.5</w:t>
      </w:r>
      <w:r>
        <w:rPr>
          <w:rFonts w:hint="eastAsia" w:ascii="仿宋" w:hAnsi="仿宋" w:eastAsia="仿宋" w:cs="仿宋"/>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4F40F5B0">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28.履约保证金</w:t>
      </w:r>
    </w:p>
    <w:p w14:paraId="35D0022D">
      <w:pPr>
        <w:spacing w:line="360" w:lineRule="auto"/>
        <w:ind w:firstLine="420" w:firstLineChars="200"/>
        <w:rPr>
          <w:rFonts w:hint="eastAsia" w:ascii="仿宋" w:hAnsi="仿宋" w:eastAsia="仿宋" w:cs="仿宋"/>
          <w:b/>
          <w:bCs/>
          <w:color w:val="auto"/>
          <w:sz w:val="24"/>
          <w:highlight w:val="none"/>
        </w:rPr>
      </w:pPr>
      <w:r>
        <w:rPr>
          <w:rFonts w:hint="eastAsia" w:ascii="仿宋" w:hAnsi="仿宋" w:eastAsia="仿宋" w:cs="仿宋"/>
          <w:color w:val="auto"/>
          <w:szCs w:val="21"/>
          <w:highlight w:val="none"/>
        </w:rPr>
        <w:t>详见 “供应商须知前附表”</w:t>
      </w:r>
    </w:p>
    <w:p w14:paraId="2E3DB1F1">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29.签订合同</w:t>
      </w:r>
    </w:p>
    <w:p w14:paraId="21FDCD65">
      <w:pPr>
        <w:pStyle w:val="82"/>
        <w:snapToGrid w:val="0"/>
        <w:spacing w:before="0"/>
        <w:ind w:firstLine="420"/>
        <w:rPr>
          <w:rFonts w:hint="eastAsia" w:ascii="仿宋" w:hAnsi="仿宋" w:eastAsia="仿宋" w:cs="仿宋"/>
          <w:color w:val="auto"/>
          <w:sz w:val="21"/>
          <w:szCs w:val="21"/>
          <w:highlight w:val="none"/>
          <w:lang w:val="zh-CN"/>
        </w:rPr>
      </w:pPr>
      <w:r>
        <w:rPr>
          <w:rFonts w:hint="eastAsia" w:ascii="仿宋" w:hAnsi="仿宋" w:eastAsia="仿宋" w:cs="仿宋"/>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仿宋" w:hAnsi="仿宋" w:eastAsia="仿宋" w:cs="仿宋"/>
          <w:color w:val="auto"/>
          <w:sz w:val="21"/>
          <w:szCs w:val="21"/>
          <w:highlight w:val="none"/>
          <w:lang w:val="zh-CN"/>
        </w:rPr>
        <w:t>如成交供应商为联合体的，由联合体成员各方法定代表人或其授权代表与采购人代表签订合同。</w:t>
      </w:r>
    </w:p>
    <w:p w14:paraId="72758BB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37C5B7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1E322A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29.4如签订合同并生效后，供应商无故拒绝或延期，除按照合同条款处理外，列入不良行为记录，并给予通报。</w:t>
      </w:r>
    </w:p>
    <w:p w14:paraId="167D154D">
      <w:pPr>
        <w:pStyle w:val="82"/>
        <w:spacing w:before="0"/>
        <w:ind w:firstLine="420"/>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仿宋" w:hAnsi="仿宋" w:eastAsia="仿宋" w:cs="仿宋"/>
          <w:color w:val="auto"/>
          <w:highlight w:val="none"/>
        </w:rPr>
        <w:t xml:space="preserve"> </w:t>
      </w:r>
      <w:r>
        <w:rPr>
          <w:rFonts w:hint="eastAsia" w:ascii="仿宋" w:hAnsi="仿宋" w:eastAsia="仿宋" w:cs="仿宋"/>
          <w:color w:val="auto"/>
          <w:sz w:val="21"/>
          <w:szCs w:val="21"/>
          <w:highlight w:val="none"/>
        </w:rPr>
        <w:t>供应商须知前附表”。</w:t>
      </w:r>
    </w:p>
    <w:p w14:paraId="42F3057A">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30.政府采购合同公告</w:t>
      </w:r>
    </w:p>
    <w:p w14:paraId="1EA5410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采购人或者受托采购代理机构应当自政府采购合同签订之日起2个工作日内，将政府采购合同</w:t>
      </w:r>
      <w:r>
        <w:rPr>
          <w:rFonts w:hint="eastAsia" w:ascii="仿宋" w:hAnsi="仿宋" w:eastAsia="仿宋" w:cs="仿宋"/>
          <w:bCs/>
          <w:color w:val="auto"/>
          <w:highlight w:val="none"/>
        </w:rPr>
        <w:t>在以下媒体上发布</w:t>
      </w:r>
      <w:r>
        <w:rPr>
          <w:rFonts w:hint="eastAsia" w:ascii="仿宋" w:hAnsi="仿宋" w:eastAsia="仿宋" w:cs="仿宋"/>
          <w:color w:val="auto"/>
          <w:kern w:val="0"/>
          <w:szCs w:val="21"/>
          <w:highlight w:val="none"/>
        </w:rPr>
        <w:t>“广西政府采购网”（http://zfcg.gxzf.gov.cn）</w:t>
      </w:r>
      <w:r>
        <w:rPr>
          <w:rFonts w:hint="eastAsia" w:ascii="仿宋" w:hAnsi="仿宋" w:eastAsia="仿宋" w:cs="仿宋"/>
          <w:color w:val="auto"/>
          <w:highlight w:val="none"/>
        </w:rPr>
        <w:t>上公告，但政府采购合同中涉及国家秘密、商业秘密的内容除外。</w:t>
      </w:r>
    </w:p>
    <w:p w14:paraId="5C178638">
      <w:pPr>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31.询问、质疑和投诉</w:t>
      </w:r>
    </w:p>
    <w:p w14:paraId="72EA2DCF">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31.1供应商对政府采购活动事项有疑问的，可以向采购人、采购代理机构提出询问，采购人或者采购代理机构应当在3个工作日内对供应商依法提出的询问作出答复。</w:t>
      </w:r>
    </w:p>
    <w:p w14:paraId="1057047A">
      <w:pPr>
        <w:spacing w:line="360" w:lineRule="auto"/>
        <w:ind w:firstLine="420" w:firstLineChars="200"/>
        <w:rPr>
          <w:rFonts w:hint="eastAsia" w:ascii="仿宋" w:hAnsi="仿宋" w:eastAsia="仿宋" w:cs="仿宋"/>
          <w:b/>
          <w:color w:val="auto"/>
          <w:szCs w:val="21"/>
          <w:highlight w:val="none"/>
        </w:rPr>
      </w:pPr>
      <w:r>
        <w:rPr>
          <w:rFonts w:hint="eastAsia" w:ascii="仿宋" w:hAnsi="仿宋" w:eastAsia="仿宋" w:cs="仿宋"/>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color w:val="auto"/>
          <w:highlight w:val="none"/>
          <w:shd w:val="clear" w:color="auto" w:fill="FFFFFF"/>
        </w:rPr>
        <w:t>接收质疑函的方式、联系部门、联系电话和通讯地址等信息详见</w:t>
      </w:r>
      <w:r>
        <w:rPr>
          <w:rFonts w:hint="eastAsia" w:ascii="仿宋" w:hAnsi="仿宋" w:eastAsia="仿宋" w:cs="仿宋"/>
          <w:color w:val="auto"/>
          <w:szCs w:val="21"/>
          <w:highlight w:val="none"/>
        </w:rPr>
        <w:t>“供应商须知前附表”</w:t>
      </w:r>
      <w:r>
        <w:rPr>
          <w:rFonts w:hint="eastAsia" w:ascii="仿宋" w:hAnsi="仿宋" w:eastAsia="仿宋" w:cs="仿宋"/>
          <w:color w:val="auto"/>
          <w:highlight w:val="none"/>
        </w:rPr>
        <w:t>。</w:t>
      </w:r>
      <w:r>
        <w:rPr>
          <w:rFonts w:hint="eastAsia" w:ascii="仿宋" w:hAnsi="仿宋" w:eastAsia="仿宋" w:cs="仿宋"/>
          <w:b/>
          <w:color w:val="auto"/>
          <w:szCs w:val="21"/>
          <w:highlight w:val="none"/>
        </w:rPr>
        <w:t xml:space="preserve">具体质疑起算时间及处理方式如下： </w:t>
      </w:r>
    </w:p>
    <w:p w14:paraId="3CCC7B6B">
      <w:pPr>
        <w:spacing w:line="360" w:lineRule="auto"/>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（1）潜在供应商依法获取采购文件后，认为采购文件使自己的权益受到损害的，应当在竞争性磋商文件公告期限届满之日起7个工作日内提出质疑。</w:t>
      </w:r>
      <w:r>
        <w:rPr>
          <w:rFonts w:hint="eastAsia" w:ascii="仿宋" w:hAnsi="仿宋" w:eastAsia="仿宋" w:cs="仿宋"/>
          <w:color w:val="auto"/>
          <w:highlight w:val="none"/>
        </w:rPr>
        <w:t>委托代理协议无特殊约定的，</w:t>
      </w:r>
      <w:r>
        <w:rPr>
          <w:rFonts w:hint="eastAsia" w:ascii="仿宋" w:hAnsi="仿宋" w:eastAsia="仿宋" w:cs="仿宋"/>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1F8FA13">
      <w:pPr>
        <w:spacing w:line="360" w:lineRule="auto"/>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9BACC6D">
      <w:pPr>
        <w:spacing w:line="360" w:lineRule="auto"/>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（3）供应商认为成交结果使自己的权益受到损害的，应当在成交结果公告期限届满之日起7个工作日内提出质疑，由采购人受理并负责答复。</w:t>
      </w:r>
    </w:p>
    <w:p w14:paraId="185BD9A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4CAD85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color w:val="auto"/>
          <w:highlight w:val="none"/>
        </w:rPr>
        <w:t>（质疑函格式后附）</w:t>
      </w:r>
      <w:r>
        <w:rPr>
          <w:rFonts w:hint="eastAsia" w:ascii="仿宋" w:hAnsi="仿宋" w:eastAsia="仿宋" w:cs="仿宋"/>
          <w:color w:val="auto"/>
          <w:highlight w:val="none"/>
        </w:rPr>
        <w:t>：</w:t>
      </w:r>
    </w:p>
    <w:p w14:paraId="7DDEE334">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（1）供应商的姓名或者名称、地址、邮编、联系人及联系电话；</w:t>
      </w:r>
    </w:p>
    <w:p w14:paraId="05FE505C">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（2）质疑项目的名称、编号；</w:t>
      </w:r>
    </w:p>
    <w:p w14:paraId="2275F38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（3）具体、明确的质疑事项和与质疑事项相关的请求；</w:t>
      </w:r>
    </w:p>
    <w:p w14:paraId="6A7A8684">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（4）事实依据；</w:t>
      </w:r>
    </w:p>
    <w:p w14:paraId="0C58289D">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（5）必要的法律依据；</w:t>
      </w:r>
    </w:p>
    <w:p w14:paraId="7659991E">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（6）提出质疑的日期。</w:t>
      </w:r>
    </w:p>
    <w:p w14:paraId="3409106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供应商为自然人的，应当由本人签字；供应商为法人或者其他组织的，应当由法定代表人、主要负责人，或者其委托代理人签字或者盖章，并加盖公章。</w:t>
      </w:r>
    </w:p>
    <w:p w14:paraId="7889967A">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1389496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（一）对采购文件提出的质疑，依法通过澄清或者修改可以继续开展采购活动的，澄清或者修改采购文件后继续开展采购活动；否则应当修改采购文件后重新开展采购活动。</w:t>
      </w:r>
    </w:p>
    <w:p w14:paraId="79FA9BC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676252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质疑答复导致成交结果改变的，采购人或者采购代理机构应当将有关情况书面报告本级财政部门。</w:t>
      </w:r>
    </w:p>
    <w:p w14:paraId="7D0EF8CF">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6" w:name="_Toc80205930"/>
    </w:p>
    <w:p w14:paraId="17C29D37">
      <w:pPr>
        <w:spacing w:before="0" w:after="0" w:line="360" w:lineRule="auto"/>
        <w:jc w:val="center"/>
        <w:outlineLvl w:val="9"/>
        <w:rPr>
          <w:rFonts w:hint="eastAsia" w:ascii="仿宋" w:hAnsi="仿宋" w:eastAsia="仿宋" w:cs="仿宋"/>
          <w:color w:val="auto"/>
          <w:highlight w:val="none"/>
        </w:rPr>
      </w:pPr>
      <w:bookmarkStart w:id="67" w:name="_Toc9397"/>
      <w:bookmarkStart w:id="68" w:name="_Toc13734"/>
      <w:bookmarkStart w:id="69" w:name="_Toc790"/>
    </w:p>
    <w:p w14:paraId="0C3FF7C7">
      <w:pPr>
        <w:pStyle w:val="4"/>
        <w:spacing w:before="0" w:after="0"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六、验收</w:t>
      </w:r>
      <w:bookmarkEnd w:id="66"/>
      <w:bookmarkEnd w:id="67"/>
      <w:bookmarkEnd w:id="68"/>
      <w:bookmarkEnd w:id="69"/>
    </w:p>
    <w:p w14:paraId="6CCCE810">
      <w:pPr>
        <w:tabs>
          <w:tab w:val="left" w:pos="0"/>
        </w:tabs>
        <w:spacing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32.验收</w:t>
      </w:r>
    </w:p>
    <w:p w14:paraId="1F635BC9">
      <w:pPr>
        <w:tabs>
          <w:tab w:val="left" w:pos="0"/>
        </w:tabs>
        <w:spacing w:line="360" w:lineRule="auto"/>
        <w:ind w:firstLine="420" w:firstLineChars="200"/>
        <w:rPr>
          <w:rFonts w:hint="eastAsia" w:ascii="仿宋" w:hAnsi="仿宋" w:eastAsia="仿宋" w:cs="仿宋"/>
          <w:color w:val="auto"/>
          <w:kern w:val="0"/>
          <w:szCs w:val="21"/>
          <w:highlight w:val="none"/>
        </w:rPr>
      </w:pPr>
      <w:bookmarkStart w:id="70" w:name="_Toc12940"/>
      <w:r>
        <w:rPr>
          <w:rFonts w:hint="eastAsia" w:ascii="仿宋" w:hAnsi="仿宋" w:eastAsia="仿宋" w:cs="仿宋"/>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238BB39">
      <w:pPr>
        <w:tabs>
          <w:tab w:val="left" w:pos="0"/>
        </w:tabs>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32.2采购人可以邀请参加本项目的其他供应商或者第三方机构参与验收。参与验收的供应商或者第三方机构的意见作为验收书的参考资料一并存档。</w:t>
      </w:r>
    </w:p>
    <w:p w14:paraId="6076E059">
      <w:pPr>
        <w:tabs>
          <w:tab w:val="left" w:pos="0"/>
        </w:tabs>
        <w:spacing w:line="360" w:lineRule="auto"/>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DC4D258">
      <w:pPr>
        <w:tabs>
          <w:tab w:val="left" w:pos="0"/>
        </w:tabs>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7DF07CF">
      <w:pPr>
        <w:pStyle w:val="4"/>
        <w:spacing w:before="0" w:after="0" w:line="360" w:lineRule="auto"/>
        <w:jc w:val="center"/>
        <w:rPr>
          <w:rFonts w:hint="eastAsia" w:ascii="仿宋" w:hAnsi="仿宋" w:eastAsia="仿宋" w:cs="仿宋"/>
          <w:color w:val="auto"/>
          <w:highlight w:val="none"/>
        </w:rPr>
      </w:pPr>
      <w:bookmarkStart w:id="71" w:name="_Toc2394"/>
      <w:bookmarkStart w:id="72" w:name="_Toc20742"/>
      <w:r>
        <w:rPr>
          <w:rFonts w:hint="eastAsia" w:ascii="仿宋" w:hAnsi="仿宋" w:eastAsia="仿宋" w:cs="仿宋"/>
          <w:color w:val="auto"/>
          <w:highlight w:val="none"/>
        </w:rPr>
        <w:t>七、其他事项</w:t>
      </w:r>
      <w:bookmarkEnd w:id="70"/>
      <w:bookmarkEnd w:id="71"/>
      <w:bookmarkEnd w:id="72"/>
    </w:p>
    <w:p w14:paraId="4132EB0B">
      <w:pPr>
        <w:spacing w:line="460" w:lineRule="exact"/>
        <w:ind w:firstLine="422" w:firstLineChars="175"/>
        <w:rPr>
          <w:rFonts w:hint="eastAsia" w:ascii="仿宋" w:hAnsi="仿宋" w:eastAsia="仿宋" w:cs="仿宋"/>
          <w:b/>
          <w:bCs/>
          <w:color w:val="auto"/>
          <w:sz w:val="24"/>
          <w:highlight w:val="none"/>
        </w:rPr>
      </w:pPr>
      <w:bookmarkStart w:id="73" w:name="_Toc5573"/>
      <w:bookmarkStart w:id="74" w:name="_Toc26544"/>
      <w:bookmarkStart w:id="75" w:name="_Toc28421"/>
      <w:r>
        <w:rPr>
          <w:rFonts w:hint="eastAsia" w:ascii="仿宋" w:hAnsi="仿宋" w:eastAsia="仿宋" w:cs="仿宋"/>
          <w:b/>
          <w:bCs/>
          <w:color w:val="auto"/>
          <w:sz w:val="24"/>
          <w:highlight w:val="none"/>
        </w:rPr>
        <w:t>33.代理服务费</w:t>
      </w:r>
    </w:p>
    <w:p w14:paraId="7E525B01">
      <w:pPr>
        <w:tabs>
          <w:tab w:val="left" w:pos="2835"/>
        </w:tabs>
        <w:spacing w:line="46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33.1代理服务收费标准及缴费账户详见“供应商须知前附表”，供应商为联合体的，可以由联合体中的一方或者多方共同交纳代理服务费。</w:t>
      </w:r>
    </w:p>
    <w:p w14:paraId="0235F96D">
      <w:pPr>
        <w:spacing w:line="460" w:lineRule="exact"/>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34.需要补充的其他内容</w:t>
      </w:r>
    </w:p>
    <w:p w14:paraId="70D7916D">
      <w:pPr>
        <w:pStyle w:val="17"/>
        <w:spacing w:line="460" w:lineRule="exact"/>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34.1本磋商文件解释规则详见“供应商须知前附表”。</w:t>
      </w:r>
    </w:p>
    <w:p w14:paraId="7FD45590">
      <w:pPr>
        <w:pStyle w:val="17"/>
        <w:spacing w:line="460" w:lineRule="exact"/>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34.2 其他事项详见“供应商须知前附表”。</w:t>
      </w:r>
    </w:p>
    <w:p w14:paraId="06C8BD6E">
      <w:pPr>
        <w:pStyle w:val="17"/>
        <w:spacing w:line="360" w:lineRule="auto"/>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34.3本文件所称</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企业，是指在中华人民共和国境内依法设立，依据国务院批准的中小企业划分标准确定的小型企业和微型企业，但与大企业的负责人为同一人，或者与大企业存在直接控股、管理关系的除外。符合</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企业划分标准的个体工商户，在政府采购活动中视同</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企业。在政府采购活动中，供应商提供的</w:t>
      </w:r>
      <w:r>
        <w:rPr>
          <w:rFonts w:hint="eastAsia" w:ascii="仿宋" w:hAnsi="仿宋" w:eastAsia="仿宋" w:cs="仿宋"/>
          <w:color w:val="auto"/>
          <w:sz w:val="21"/>
          <w:highlight w:val="none"/>
        </w:rPr>
        <w:t>服务由</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sz w:val="21"/>
          <w:highlight w:val="none"/>
        </w:rPr>
        <w:t>企业承接，即提供服务的人员为</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sz w:val="21"/>
          <w:highlight w:val="none"/>
        </w:rPr>
        <w:t>企业依照《中华人民共和国劳动合同法》订立劳动合同的从业人员，不对其中涉及的货物的制造商和工程承建商作出要求的</w:t>
      </w:r>
      <w:r>
        <w:rPr>
          <w:rFonts w:hint="eastAsia" w:ascii="仿宋" w:hAnsi="仿宋" w:eastAsia="仿宋" w:cs="仿宋"/>
          <w:color w:val="auto"/>
          <w:kern w:val="2"/>
          <w:sz w:val="21"/>
          <w:highlight w:val="none"/>
        </w:rPr>
        <w:t>，享受本文件规定的</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企业扶持政策。</w:t>
      </w:r>
    </w:p>
    <w:p w14:paraId="328E01F9">
      <w:pPr>
        <w:pStyle w:val="17"/>
        <w:spacing w:line="360" w:lineRule="auto"/>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以联合体形式参加政府采购活动，联合体各方均为</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企业的，联合体视同</w:t>
      </w:r>
      <w:r>
        <w:rPr>
          <w:rFonts w:hint="eastAsia" w:ascii="仿宋" w:hAnsi="仿宋" w:eastAsia="仿宋" w:cs="仿宋"/>
          <w:color w:val="auto"/>
          <w:kern w:val="2"/>
          <w:sz w:val="21"/>
          <w:highlight w:val="none"/>
          <w:lang w:eastAsia="zh-CN"/>
        </w:rPr>
        <w:t>中小</w:t>
      </w:r>
      <w:r>
        <w:rPr>
          <w:rFonts w:hint="eastAsia" w:ascii="仿宋" w:hAnsi="仿宋" w:eastAsia="仿宋" w:cs="仿宋"/>
          <w:color w:val="auto"/>
          <w:kern w:val="2"/>
          <w:sz w:val="21"/>
          <w:highlight w:val="none"/>
        </w:rPr>
        <w:t>企业。</w:t>
      </w:r>
    </w:p>
    <w:p w14:paraId="53CE364A">
      <w:pPr>
        <w:pStyle w:val="17"/>
        <w:spacing w:line="360" w:lineRule="auto"/>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依据本文件规定享受扶持政策获得政府采购合同的，小微企业不得将合同分包给大中型企业，中型企业不得将合同分包给大型企业。</w:t>
      </w:r>
    </w:p>
    <w:p w14:paraId="1B168947">
      <w:pPr>
        <w:spacing w:line="460" w:lineRule="exact"/>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35.政采贷相关说明</w:t>
      </w:r>
    </w:p>
    <w:p w14:paraId="01B823CF">
      <w:pPr>
        <w:pStyle w:val="17"/>
        <w:spacing w:line="360" w:lineRule="auto"/>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500E4F10">
      <w:pPr>
        <w:pStyle w:val="17"/>
        <w:spacing w:line="360" w:lineRule="auto"/>
        <w:ind w:firstLine="420" w:firstLineChars="200"/>
        <w:textAlignment w:val="center"/>
        <w:rPr>
          <w:rFonts w:hint="eastAsia" w:ascii="仿宋" w:hAnsi="仿宋" w:eastAsia="仿宋" w:cs="仿宋"/>
          <w:color w:val="auto"/>
          <w:kern w:val="2"/>
          <w:sz w:val="21"/>
          <w:highlight w:val="none"/>
        </w:rPr>
      </w:pPr>
      <w:r>
        <w:rPr>
          <w:rFonts w:hint="eastAsia" w:ascii="仿宋" w:hAnsi="仿宋" w:eastAsia="仿宋" w:cs="仿宋"/>
          <w:color w:val="auto"/>
          <w:kern w:val="2"/>
          <w:sz w:val="21"/>
          <w:highlight w:val="none"/>
        </w:rPr>
        <w:t>线下渠道：在“南宁市公共资源交易中心”官网（网址：</w:t>
      </w:r>
      <w:r>
        <w:rPr>
          <w:rFonts w:hint="eastAsia" w:ascii="仿宋" w:hAnsi="仿宋" w:eastAsia="仿宋" w:cs="仿宋"/>
          <w:color w:val="auto"/>
          <w:kern w:val="2"/>
          <w:sz w:val="21"/>
          <w:highlight w:val="none"/>
        </w:rPr>
        <w:fldChar w:fldCharType="begin"/>
      </w:r>
      <w:r>
        <w:rPr>
          <w:rFonts w:hint="eastAsia" w:ascii="仿宋" w:hAnsi="仿宋" w:eastAsia="仿宋" w:cs="仿宋"/>
          <w:color w:val="auto"/>
          <w:kern w:val="2"/>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仿宋" w:hAnsi="仿宋" w:eastAsia="仿宋" w:cs="仿宋"/>
          <w:color w:val="auto"/>
          <w:kern w:val="2"/>
          <w:sz w:val="21"/>
          <w:highlight w:val="none"/>
        </w:rPr>
        <w:fldChar w:fldCharType="separate"/>
      </w:r>
      <w:r>
        <w:rPr>
          <w:rFonts w:hint="eastAsia" w:ascii="仿宋" w:hAnsi="仿宋" w:eastAsia="仿宋" w:cs="仿宋"/>
          <w:color w:val="auto"/>
          <w:kern w:val="2"/>
          <w:sz w:val="21"/>
          <w:highlight w:val="none"/>
        </w:rPr>
        <w:t>http://www.nnggzy.org.cn）“交易信息-政府采购-政府采购信用融资”中融资银行和南宁市企业融资服务中心专栏信息申请政府采购信用融资。</w:t>
      </w:r>
      <w:r>
        <w:rPr>
          <w:rFonts w:hint="eastAsia" w:ascii="仿宋" w:hAnsi="仿宋" w:eastAsia="仿宋" w:cs="仿宋"/>
          <w:color w:val="auto"/>
          <w:kern w:val="2"/>
          <w:sz w:val="21"/>
          <w:highlight w:val="none"/>
        </w:rPr>
        <w:fldChar w:fldCharType="end"/>
      </w:r>
    </w:p>
    <w:p w14:paraId="4CF06827">
      <w:pPr>
        <w:pStyle w:val="17"/>
        <w:spacing w:line="360" w:lineRule="auto"/>
        <w:ind w:firstLine="420" w:firstLineChars="200"/>
        <w:textAlignment w:val="center"/>
        <w:rPr>
          <w:rFonts w:hint="eastAsia" w:ascii="仿宋" w:hAnsi="仿宋" w:eastAsia="仿宋" w:cs="仿宋"/>
          <w:color w:val="auto"/>
          <w:szCs w:val="21"/>
          <w:highlight w:val="none"/>
        </w:rPr>
        <w:sectPr>
          <w:headerReference r:id="rId9" w:type="default"/>
          <w:footerReference r:id="rId10" w:type="default"/>
          <w:pgSz w:w="11905" w:h="16838"/>
          <w:pgMar w:top="1440" w:right="1080" w:bottom="1440" w:left="1080" w:header="720" w:footer="720" w:gutter="0"/>
          <w:pgNumType w:fmt="decimal"/>
          <w:cols w:space="720" w:num="1"/>
          <w:docGrid w:type="lines" w:linePitch="331" w:charSpace="0"/>
        </w:sectPr>
      </w:pPr>
      <w:r>
        <w:rPr>
          <w:rFonts w:hint="eastAsia" w:ascii="仿宋" w:hAnsi="仿宋" w:eastAsia="仿宋" w:cs="仿宋"/>
          <w:color w:val="auto"/>
          <w:kern w:val="2"/>
          <w:sz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8481D57">
      <w:pPr>
        <w:pStyle w:val="2"/>
        <w:spacing w:before="0" w:after="0"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第四章 评审程序、评审方法和评审标准</w:t>
      </w:r>
      <w:bookmarkEnd w:id="73"/>
      <w:bookmarkEnd w:id="74"/>
      <w:bookmarkEnd w:id="75"/>
    </w:p>
    <w:p w14:paraId="20AFB029">
      <w:pPr>
        <w:pStyle w:val="86"/>
        <w:widowControl/>
        <w:snapToGrid w:val="0"/>
        <w:spacing w:line="240" w:lineRule="auto"/>
        <w:jc w:val="center"/>
        <w:outlineLvl w:val="1"/>
        <w:rPr>
          <w:rStyle w:val="87"/>
          <w:rFonts w:hint="eastAsia" w:ascii="仿宋" w:hAnsi="仿宋" w:eastAsia="仿宋" w:cs="仿宋"/>
          <w:b w:val="0"/>
          <w:color w:val="auto"/>
          <w:sz w:val="32"/>
          <w:szCs w:val="32"/>
          <w:highlight w:val="none"/>
        </w:rPr>
      </w:pPr>
      <w:bookmarkStart w:id="76" w:name="_Toc12111"/>
      <w:bookmarkStart w:id="77" w:name="_Toc14243"/>
      <w:bookmarkStart w:id="78" w:name="PO_TDCUS_ITEM_SM_TABLE_1"/>
      <w:r>
        <w:rPr>
          <w:rStyle w:val="87"/>
          <w:rFonts w:hint="eastAsia" w:ascii="仿宋" w:hAnsi="仿宋" w:eastAsia="仿宋" w:cs="仿宋"/>
          <w:b w:val="0"/>
          <w:color w:val="auto"/>
          <w:sz w:val="32"/>
          <w:szCs w:val="32"/>
          <w:highlight w:val="none"/>
        </w:rPr>
        <w:t>第一节 评审程序和评审方法</w:t>
      </w:r>
      <w:bookmarkEnd w:id="76"/>
      <w:bookmarkEnd w:id="77"/>
    </w:p>
    <w:p w14:paraId="6A57F6F7">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1.确认磋商文件</w:t>
      </w:r>
    </w:p>
    <w:p w14:paraId="6499FD80">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由磋商小组确认磋商文件。</w:t>
      </w:r>
    </w:p>
    <w:p w14:paraId="6E94384E">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2.资格审查</w:t>
      </w:r>
    </w:p>
    <w:p w14:paraId="65689E89">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2.1响应文件开启后，磋商小组依法对供应商的资格证明文件进行审查。</w:t>
      </w:r>
    </w:p>
    <w:p w14:paraId="2C61C22C">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注：采购人代表或者采购代理机构在资格审查结束前，对供应商进行信用查询。</w:t>
      </w:r>
    </w:p>
    <w:p w14:paraId="2D1DAFA0">
      <w:pPr>
        <w:snapToGrid w:val="0"/>
        <w:spacing w:line="360" w:lineRule="auto"/>
        <w:ind w:firstLine="420" w:firstLineChars="200"/>
        <w:jc w:val="left"/>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（1）查询渠道：“广西政府采购云”平台“信用中国”网站(www.creditchina.gov.cn)、中国政府采购网(www.ccgp.gov.cn)链接入口。</w:t>
      </w:r>
    </w:p>
    <w:p w14:paraId="721DBD3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（2）信用查询截止时点：资格审查结束前。</w:t>
      </w:r>
    </w:p>
    <w:p w14:paraId="350F9716">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查询记录和证据留存方式：在查询网站中直接打印查询记录，截图另存为电子文档作为评审资料保存。</w:t>
      </w:r>
    </w:p>
    <w:p w14:paraId="0333E90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65CF35E">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2.2资格审查标准为本磋商文件中载明对供应商资格要求的条件。资格审查采用合格制，凡符合磋商文件规定的供应商资格要求的响应文件均通过资格审查。</w:t>
      </w:r>
    </w:p>
    <w:p w14:paraId="688812E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2.3供应商有下列情形之一的，资格审查不通过，其响应文件按无效响应处理：</w:t>
      </w:r>
    </w:p>
    <w:p w14:paraId="7F4F9C5B">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（1）不具备磋商文件中规定的资格要求的；</w:t>
      </w:r>
    </w:p>
    <w:p w14:paraId="5E026672">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（2）响应文件未提供任一项“供应商须知前附表”资格证明文件规定的“必须提供”的文件资料的；</w:t>
      </w:r>
    </w:p>
    <w:p w14:paraId="5697CE9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（3）响应文件提供的资格证明文件出现任一项不符合“供应商须知前附表”资格证明文件规定的“必须提供”的文件资料要求或者无效的。</w:t>
      </w:r>
    </w:p>
    <w:p w14:paraId="6E531530">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（4）同一合同项下的不同供应商，单位负责人为同一人或者存在直接控股、管理关系的；为本项目提供过整体设计、规范编制或者项目管理、监理、检测等服务的。</w:t>
      </w:r>
    </w:p>
    <w:p w14:paraId="6B69B843">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2.4通过资格审查的合格供应商不足3家的，不得进入符合性审查环节，采购人或者采购代理机构应当重新开展采购活动。</w:t>
      </w:r>
    </w:p>
    <w:p w14:paraId="12ED473C">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3.符合性审查</w:t>
      </w:r>
    </w:p>
    <w:p w14:paraId="635889A0">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3.1由磋商小组对通过资格审查的合格供应商的响应文件的响应报价、商务、技术等实质性要求进行符合性审查，以确定其是否满足磋商文件的实质性要求。</w:t>
      </w:r>
    </w:p>
    <w:p w14:paraId="687F3D74">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7A8BDD">
      <w:pPr>
        <w:snapToGrid w:val="0"/>
        <w:spacing w:line="360" w:lineRule="auto"/>
        <w:ind w:firstLine="420" w:firstLineChars="200"/>
        <w:textAlignment w:val="baseline"/>
        <w:rPr>
          <w:rStyle w:val="87"/>
          <w:rFonts w:hint="eastAsia" w:ascii="仿宋" w:hAnsi="仿宋" w:eastAsia="仿宋" w:cs="仿宋"/>
          <w:color w:val="auto"/>
          <w:spacing w:val="-6"/>
          <w:szCs w:val="21"/>
          <w:highlight w:val="none"/>
        </w:rPr>
      </w:pPr>
      <w:r>
        <w:rPr>
          <w:rStyle w:val="87"/>
          <w:rFonts w:hint="eastAsia" w:ascii="仿宋" w:hAnsi="仿宋" w:eastAsia="仿宋" w:cs="仿宋"/>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Style w:val="87"/>
          <w:rFonts w:hint="eastAsia" w:ascii="仿宋" w:hAnsi="仿宋" w:eastAsia="仿宋" w:cs="仿宋"/>
          <w:color w:val="auto"/>
          <w:spacing w:val="-6"/>
          <w:szCs w:val="21"/>
          <w:highlight w:val="none"/>
        </w:rPr>
        <w:t>。供应商为自然人的，必须由本人签字并附身份证明。</w:t>
      </w:r>
    </w:p>
    <w:p w14:paraId="6CE484DD">
      <w:pPr>
        <w:snapToGrid w:val="0"/>
        <w:spacing w:line="360" w:lineRule="auto"/>
        <w:ind w:firstLine="396"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pacing w:val="-6"/>
          <w:szCs w:val="21"/>
          <w:highlight w:val="none"/>
        </w:rPr>
        <w:t>3.4</w:t>
      </w:r>
      <w:r>
        <w:rPr>
          <w:rStyle w:val="87"/>
          <w:rFonts w:hint="eastAsia" w:ascii="仿宋" w:hAnsi="仿宋" w:eastAsia="仿宋" w:cs="仿宋"/>
          <w:color w:val="auto"/>
          <w:szCs w:val="21"/>
          <w:highlight w:val="none"/>
        </w:rPr>
        <w:t xml:space="preserve">首次响应文件报价出现前后不一致的，按照下列规定修正： </w:t>
      </w:r>
    </w:p>
    <w:p w14:paraId="2017C45A">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（1）响应文件中报价表内容与响应文件中相应内容不一致的，以报价表为准；</w:t>
      </w:r>
    </w:p>
    <w:p w14:paraId="6FD89EC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（2）大写金额和小写金额不一致的，以大写金额为准；</w:t>
      </w:r>
    </w:p>
    <w:p w14:paraId="4685D6EE">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（3）单价金额小数点或者百分比有明显错位的，以报价表的总价为准，并修改单价；</w:t>
      </w:r>
    </w:p>
    <w:p w14:paraId="52AD74F1">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（4）总价金额与按单价汇总金额不一致的，以单价金额计算结果为准。</w:t>
      </w:r>
    </w:p>
    <w:p w14:paraId="0EC16FEE">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同时出现两种以上不一致的，按照以上（1）-（4）规定的顺序逐条进行修正。修正后的报价经供应商确认后产生约束力，供应商不确认的，其响应文件按无效响应处理。</w:t>
      </w:r>
    </w:p>
    <w:p w14:paraId="682A8D0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3.5商务技术、报价评审</w:t>
      </w:r>
    </w:p>
    <w:p w14:paraId="4C95220F">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在评审时，如发现下列情形之一的，将被视为响应文件无效处理：</w:t>
      </w:r>
    </w:p>
    <w:p w14:paraId="039CFB2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（1）商务技术评审</w:t>
      </w:r>
    </w:p>
    <w:p w14:paraId="241E0416">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1）响应文件未按磋商文件要求签署、盖章；</w:t>
      </w:r>
    </w:p>
    <w:p w14:paraId="50E6CEE2">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 xml:space="preserve">2）委托代理人未能出具有效身份证明或者出具的身份证明与授权委托书中的信息不符； </w:t>
      </w:r>
    </w:p>
    <w:p w14:paraId="3F85D4C3">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405EF01">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4）商务条款中标“▲”的条款发生负偏离的或者允许负偏离的条款数超过“供应商须知前附表”规定项数的或者标明实质性的要求发生负偏离；</w:t>
      </w:r>
    </w:p>
    <w:p w14:paraId="08CA6AEB">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5）未对竞标有效期作出响应或者响应文件承诺的竞标有效期不满足磋商文件要求；</w:t>
      </w:r>
    </w:p>
    <w:p w14:paraId="70643AB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6）响应文件的实质性内容未使用中文表述、使用计量单位不符合磋商文件要求；</w:t>
      </w:r>
    </w:p>
    <w:p w14:paraId="214DAF5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7）响应文件中的文件资料因填写不齐全或者内容虚假或者出现其他情形而导致被磋商小组认定无效；</w:t>
      </w:r>
    </w:p>
    <w:p w14:paraId="22E6071C">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8）响应文件含有采购人不能接受的附加条件；</w:t>
      </w:r>
    </w:p>
    <w:p w14:paraId="6B56B12E">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9）属于“供应商须知正文”第7.5条情形；</w:t>
      </w:r>
    </w:p>
    <w:p w14:paraId="699C40C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10）技术需求允许负偏离的条款数超过“供应商须知前附表”规定项数；</w:t>
      </w:r>
    </w:p>
    <w:p w14:paraId="70B39DEA">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11）虚假竞标，或者出现其他情形而导致被磋商小组认定无效；</w:t>
      </w:r>
    </w:p>
    <w:p w14:paraId="3F773A9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12）竞标技术方案不明确，磋商文件未允许但响应文件中存在一个或者一个以上备选（替代）竞标方案；</w:t>
      </w:r>
    </w:p>
    <w:p w14:paraId="7B8C851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13）响应文件标注的项目名称或者项目编号与竞争性磋商文件标注的项目名称或者项目编号不一致的；</w:t>
      </w:r>
    </w:p>
    <w:p w14:paraId="44F988F0">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14）未响应磋商文件实质性要求；</w:t>
      </w:r>
    </w:p>
    <w:p w14:paraId="3C77D094">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15）法律、法规和磋商文件规定的其他无效情形。</w:t>
      </w:r>
    </w:p>
    <w:p w14:paraId="34975C0F">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（2）报价评审</w:t>
      </w:r>
    </w:p>
    <w:p w14:paraId="7A545C2E">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 响应文件未提供“供应商须知前附表” 报价文件中规定的“响应报价表、已标价工程量清单”；</w:t>
      </w:r>
    </w:p>
    <w:p w14:paraId="034ECD8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2）未采用人民币报价或者未按照磋商文件标明的币种报价；</w:t>
      </w:r>
    </w:p>
    <w:p w14:paraId="7A8F042C">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EBAA159">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50734AA1">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46E707D">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6）响应文件响应的标的数量及单位与竞争性磋商采购文件要求实质性不一致的。</w:t>
      </w:r>
    </w:p>
    <w:p w14:paraId="3D03EA92">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3468FB8">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F45CCB1">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4.磋商程序</w:t>
      </w:r>
    </w:p>
    <w:p w14:paraId="1E75D1C9">
      <w:pPr>
        <w:snapToGrid w:val="0"/>
        <w:spacing w:line="360" w:lineRule="auto"/>
        <w:ind w:firstLine="420" w:firstLineChars="200"/>
        <w:textAlignment w:val="baseline"/>
        <w:rPr>
          <w:rStyle w:val="87"/>
          <w:rFonts w:hint="eastAsia" w:ascii="仿宋" w:hAnsi="仿宋" w:eastAsia="仿宋" w:cs="仿宋"/>
          <w:color w:val="auto"/>
          <w:kern w:val="0"/>
          <w:szCs w:val="21"/>
          <w:highlight w:val="none"/>
        </w:rPr>
      </w:pPr>
      <w:r>
        <w:rPr>
          <w:rStyle w:val="87"/>
          <w:rFonts w:hint="eastAsia" w:ascii="仿宋" w:hAnsi="仿宋" w:eastAsia="仿宋" w:cs="仿宋"/>
          <w:color w:val="auto"/>
          <w:kern w:val="0"/>
          <w:szCs w:val="21"/>
          <w:highlight w:val="none"/>
        </w:rPr>
        <w:t>4.1磋商小组按照“供应商须知前附表”</w:t>
      </w:r>
      <w:r>
        <w:rPr>
          <w:rStyle w:val="87"/>
          <w:rFonts w:hint="eastAsia" w:ascii="仿宋" w:hAnsi="仿宋" w:eastAsia="仿宋" w:cs="仿宋"/>
          <w:color w:val="auto"/>
          <w:szCs w:val="21"/>
          <w:highlight w:val="none"/>
        </w:rPr>
        <w:t xml:space="preserve"> </w:t>
      </w:r>
      <w:r>
        <w:rPr>
          <w:rStyle w:val="87"/>
          <w:rFonts w:hint="eastAsia" w:ascii="仿宋" w:hAnsi="仿宋" w:eastAsia="仿宋" w:cs="仿宋"/>
          <w:color w:val="auto"/>
          <w:kern w:val="0"/>
          <w:szCs w:val="21"/>
          <w:highlight w:val="none"/>
        </w:rPr>
        <w:t>确定的</w:t>
      </w:r>
      <w:r>
        <w:rPr>
          <w:rStyle w:val="87"/>
          <w:rFonts w:hint="eastAsia" w:ascii="仿宋" w:hAnsi="仿宋" w:eastAsia="仿宋" w:cs="仿宋"/>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D882EE6">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7D0AEB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4.3对磋商文件作出的实质性变动是磋商文件的有效组成部分，由磋商小组及时以电子澄清函形式同时通知所有参加磋商的供应商。</w:t>
      </w:r>
    </w:p>
    <w:p w14:paraId="05F5D232">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EF31BF8">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4.5磋商中，</w:t>
      </w:r>
      <w:r>
        <w:rPr>
          <w:rStyle w:val="87"/>
          <w:rFonts w:hint="eastAsia" w:ascii="仿宋" w:hAnsi="仿宋" w:eastAsia="仿宋" w:cs="仿宋"/>
          <w:color w:val="auto"/>
          <w:spacing w:val="-6"/>
          <w:szCs w:val="21"/>
          <w:highlight w:val="none"/>
        </w:rPr>
        <w:t>磋商的任何一方不得透露与磋商有关的其他供应商的技术资料、价格和其他信息。</w:t>
      </w:r>
    </w:p>
    <w:p w14:paraId="2FBC4AB6">
      <w:pPr>
        <w:widowControl/>
        <w:tabs>
          <w:tab w:val="left" w:pos="540"/>
        </w:tabs>
        <w:snapToGrid w:val="0"/>
        <w:spacing w:line="360" w:lineRule="auto"/>
        <w:ind w:firstLine="420" w:firstLineChars="200"/>
        <w:jc w:val="left"/>
        <w:textAlignment w:val="baseline"/>
        <w:rPr>
          <w:rStyle w:val="87"/>
          <w:rFonts w:hint="eastAsia" w:ascii="仿宋" w:hAnsi="仿宋" w:eastAsia="仿宋" w:cs="仿宋"/>
          <w:b/>
          <w:color w:val="auto"/>
          <w:szCs w:val="21"/>
          <w:highlight w:val="none"/>
        </w:rPr>
      </w:pPr>
      <w:r>
        <w:rPr>
          <w:rStyle w:val="87"/>
          <w:rFonts w:hint="eastAsia" w:ascii="仿宋" w:hAnsi="仿宋" w:eastAsia="仿宋" w:cs="仿宋"/>
          <w:color w:val="auto"/>
          <w:szCs w:val="21"/>
          <w:highlight w:val="none"/>
        </w:rPr>
        <w:t>4.6磋商小组应对磋商过程和重要磋商内容进行记录，作为评标报告一部分，磋商小组在记录上签字确认。</w:t>
      </w:r>
      <w:r>
        <w:rPr>
          <w:rStyle w:val="87"/>
          <w:rFonts w:hint="eastAsia" w:ascii="仿宋" w:hAnsi="仿宋" w:eastAsia="仿宋" w:cs="仿宋"/>
          <w:b/>
          <w:color w:val="auto"/>
          <w:szCs w:val="21"/>
          <w:highlight w:val="none"/>
        </w:rPr>
        <w:t>主要内容包括：</w:t>
      </w:r>
    </w:p>
    <w:p w14:paraId="12D6609D">
      <w:pPr>
        <w:pStyle w:val="88"/>
        <w:widowControl/>
        <w:snapToGrid w:val="0"/>
        <w:spacing w:before="0"/>
        <w:ind w:firstLine="396"/>
        <w:rPr>
          <w:rStyle w:val="87"/>
          <w:rFonts w:hint="eastAsia" w:ascii="仿宋" w:hAnsi="仿宋" w:eastAsia="仿宋" w:cs="仿宋"/>
          <w:color w:val="auto"/>
          <w:spacing w:val="-6"/>
          <w:szCs w:val="21"/>
          <w:highlight w:val="none"/>
        </w:rPr>
      </w:pPr>
      <w:r>
        <w:rPr>
          <w:rStyle w:val="87"/>
          <w:rFonts w:hint="eastAsia" w:ascii="仿宋" w:hAnsi="仿宋" w:eastAsia="仿宋" w:cs="仿宋"/>
          <w:color w:val="auto"/>
          <w:spacing w:val="-6"/>
          <w:szCs w:val="21"/>
          <w:highlight w:val="none"/>
        </w:rPr>
        <w:t>（1）按照相关规定进行公示的，公示情况说明；</w:t>
      </w:r>
    </w:p>
    <w:p w14:paraId="0F7FC10B">
      <w:pPr>
        <w:pStyle w:val="88"/>
        <w:widowControl/>
        <w:snapToGrid w:val="0"/>
        <w:spacing w:before="0"/>
        <w:ind w:firstLine="396"/>
        <w:rPr>
          <w:rStyle w:val="87"/>
          <w:rFonts w:hint="eastAsia" w:ascii="仿宋" w:hAnsi="仿宋" w:eastAsia="仿宋" w:cs="仿宋"/>
          <w:color w:val="auto"/>
          <w:spacing w:val="-6"/>
          <w:szCs w:val="21"/>
          <w:highlight w:val="none"/>
        </w:rPr>
      </w:pPr>
      <w:r>
        <w:rPr>
          <w:rStyle w:val="87"/>
          <w:rFonts w:hint="eastAsia" w:ascii="仿宋" w:hAnsi="仿宋" w:eastAsia="仿宋" w:cs="仿宋"/>
          <w:color w:val="auto"/>
          <w:spacing w:val="-6"/>
          <w:szCs w:val="21"/>
          <w:highlight w:val="none"/>
        </w:rPr>
        <w:t>（2）磋商日期和地点，磋商人员名单；</w:t>
      </w:r>
    </w:p>
    <w:p w14:paraId="527BBEA1">
      <w:pPr>
        <w:pStyle w:val="88"/>
        <w:widowControl/>
        <w:snapToGrid w:val="0"/>
        <w:spacing w:before="0"/>
        <w:ind w:firstLine="396"/>
        <w:rPr>
          <w:rStyle w:val="87"/>
          <w:rFonts w:hint="eastAsia" w:ascii="仿宋" w:hAnsi="仿宋" w:eastAsia="仿宋" w:cs="仿宋"/>
          <w:color w:val="auto"/>
          <w:spacing w:val="-6"/>
          <w:szCs w:val="21"/>
          <w:highlight w:val="none"/>
        </w:rPr>
      </w:pPr>
      <w:r>
        <w:rPr>
          <w:rStyle w:val="87"/>
          <w:rFonts w:hint="eastAsia" w:ascii="仿宋" w:hAnsi="仿宋" w:eastAsia="仿宋" w:cs="仿宋"/>
          <w:color w:val="auto"/>
          <w:spacing w:val="-6"/>
          <w:szCs w:val="21"/>
          <w:highlight w:val="none"/>
        </w:rPr>
        <w:t>（3）合同主要条款及价格商定情况。</w:t>
      </w:r>
    </w:p>
    <w:p w14:paraId="296C4C8D">
      <w:pPr>
        <w:widowControl/>
        <w:tabs>
          <w:tab w:val="left" w:pos="540"/>
        </w:tabs>
        <w:snapToGrid w:val="0"/>
        <w:spacing w:line="360" w:lineRule="auto"/>
        <w:ind w:firstLine="420" w:firstLineChars="200"/>
        <w:jc w:val="left"/>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4.7磋商过程中重新提交的响应文件，供应商可以在开启前补充、修改。</w:t>
      </w:r>
    </w:p>
    <w:p w14:paraId="4E3006EB">
      <w:pPr>
        <w:tabs>
          <w:tab w:val="left" w:pos="2835"/>
        </w:tabs>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4.8对磋商过程提交的响应文件进行有效性、完整性和响应程度审查，通过审查的合格供应商不足3家的，采购人或者采购代理机构应当重新开展采购活动。</w:t>
      </w:r>
    </w:p>
    <w:p w14:paraId="4CF6D674">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5.最后报价</w:t>
      </w:r>
    </w:p>
    <w:p w14:paraId="61C69169">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9FF2769">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5.2磋商文件不能详细列明采购标的的技术、服务要求，需经磋商由供应商提供最后设计方案或者解决方案的，磋商结束后，由磋商小组按照少数服从多数的原则投票推荐3家供应商的设计方案或者解决方案，并要求其在规定时间内密封提交最后报价。</w:t>
      </w:r>
    </w:p>
    <w:p w14:paraId="5D11108A">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FEF7428">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5.4已经提交响应文件的供应商，在提交最后报价之前，可以根据磋商情况退出磋商，退出磋商的供应商的响应文件按无效响应处理。</w:t>
      </w:r>
    </w:p>
    <w:p w14:paraId="0D13BFE1">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5.5供应商未在规定时间内提交最后报价的，视同退出磋商。</w:t>
      </w:r>
    </w:p>
    <w:p w14:paraId="5D84D40B">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5.6磋商小组收齐某一分标最后报价后统一开启，磋商小组对最后报价进行有效性、完整性和响应程度的审查。</w:t>
      </w:r>
    </w:p>
    <w:p w14:paraId="49ABBC7B">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 xml:space="preserve">5.7最终响应文件的报价出现前后不一致的，按照本章第3.4条的规定修正。 </w:t>
      </w:r>
    </w:p>
    <w:p w14:paraId="1B861F03">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5.8修正后的最终报价出现下列情形的，按无效响应处理：</w:t>
      </w:r>
    </w:p>
    <w:p w14:paraId="2F7D5303">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（1）供应商不确认的（全流程电子化评标采取在线确认）；</w:t>
      </w:r>
    </w:p>
    <w:p w14:paraId="255B8BB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（2）经供应商确认修正后的响应报价（包含首次报价、最后报价）超过所竞标分标规定的采购预算金额或者最高限价的（如本项目公布了最高限价）；</w:t>
      </w:r>
    </w:p>
    <w:p w14:paraId="0D9C48D2">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（3）经供应商确认修正后的响应报价（包含首次报价、最后报价）超过分项采购预算金额或者最高限价的（如本项目公布了最高限价）。</w:t>
      </w:r>
    </w:p>
    <w:p w14:paraId="63C506EB">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5.9经供应商确认修正后的最后报价作为评审及签订合同的依据。</w:t>
      </w:r>
    </w:p>
    <w:p w14:paraId="0157F3DA">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5.10供应商出现最后报价按无效响应处理或者响应文件按无效处理时，磋商小组应当告知有关供应商。</w:t>
      </w:r>
    </w:p>
    <w:p w14:paraId="10F30C2A">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5.11最后报价结束后，磋商小组不得再与供应商进行任何形式的商谈。</w:t>
      </w:r>
    </w:p>
    <w:p w14:paraId="6CC95BE0">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5.12</w:t>
      </w:r>
      <w:r>
        <w:rPr>
          <w:rFonts w:hint="eastAsia" w:ascii="仿宋" w:hAnsi="仿宋" w:eastAsia="仿宋" w:cs="仿宋"/>
          <w:color w:val="000000"/>
          <w:sz w:val="21"/>
          <w:szCs w:val="21"/>
          <w:highlight w:val="none"/>
        </w:rPr>
        <w:t>政府采购异常低价审查程序</w:t>
      </w:r>
    </w:p>
    <w:p w14:paraId="21F65501">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12.1</w:t>
      </w:r>
      <w:r>
        <w:rPr>
          <w:rFonts w:hint="eastAsia" w:ascii="仿宋" w:hAnsi="仿宋" w:eastAsia="仿宋" w:cs="仿宋"/>
          <w:color w:val="000000"/>
          <w:sz w:val="21"/>
          <w:szCs w:val="21"/>
          <w:highlight w:val="none"/>
        </w:rPr>
        <w:t>评审中出现下列情形之一的，评审委员会应当启动异常低价响应审查程序：</w:t>
      </w:r>
    </w:p>
    <w:p w14:paraId="270E73A6">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（1）响应报价低于全部通过符合性审查供应商响应报价平均值50%的，即响应报价&lt;全部通过符合性审查供应商响应报价平均值×50%；</w:t>
      </w:r>
    </w:p>
    <w:p w14:paraId="65124644">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（2）响应报价低于通过符合性审查的次低报价供应商响应报价50%的，即响应报价&lt;通过符合性审查的次低报价供应商响应报价×50%；</w:t>
      </w:r>
    </w:p>
    <w:p w14:paraId="21952476">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（3）响应报价低于采购项目最高限价45%的，即响应报价&lt;采购项目最高限价×45%；</w:t>
      </w:r>
    </w:p>
    <w:p w14:paraId="60FDF3C5">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（4）评审委员会基于专业判断，认为供应商报价过低，有可能影响产品质量或者不能诚信履约的其他情形。</w:t>
      </w:r>
    </w:p>
    <w:p w14:paraId="7BCCE5E0">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采购人可以结合具体项目实际情况，提高上述第1项至第3项中启动异常低价响应审查的数值标准，但是最高不得超过65%。</w:t>
      </w:r>
    </w:p>
    <w:p w14:paraId="7C5EE75C">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034EF2F8">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12.2</w:t>
      </w:r>
      <w:r>
        <w:rPr>
          <w:rFonts w:hint="eastAsia" w:ascii="仿宋" w:hAnsi="仿宋" w:eastAsia="仿宋" w:cs="仿宋"/>
          <w:color w:val="000000"/>
          <w:sz w:val="21"/>
          <w:szCs w:val="21"/>
          <w:highlight w:val="none"/>
        </w:rPr>
        <w:t>评审委员会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14:paraId="2EE2F0A3">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12.3</w:t>
      </w:r>
      <w:r>
        <w:rPr>
          <w:rFonts w:hint="eastAsia" w:ascii="仿宋" w:hAnsi="仿宋" w:eastAsia="仿宋" w:cs="仿宋"/>
          <w:color w:val="000000"/>
          <w:sz w:val="21"/>
          <w:szCs w:val="21"/>
          <w:highlight w:val="none"/>
        </w:rPr>
        <w:t>采购人、采购代理机构应当为评审委员会在评审现场及时获取同类项目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E00340A">
      <w:pPr>
        <w:suppressAutoHyphens/>
        <w:spacing w:line="360" w:lineRule="auto"/>
        <w:ind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12.4</w:t>
      </w:r>
      <w:r>
        <w:rPr>
          <w:rFonts w:hint="eastAsia" w:ascii="仿宋" w:hAnsi="仿宋" w:eastAsia="仿宋" w:cs="仿宋"/>
          <w:color w:val="000000"/>
          <w:sz w:val="21"/>
          <w:szCs w:val="21"/>
          <w:highlight w:val="none"/>
        </w:rPr>
        <w:t>异常低价响应审查的启动原因、审查意见和审查结果应当在评审报告中记录，并随供应商提供的相关书面说明及证明材料，以及评审委员会有关互联网浏览、查询历史一并归档。</w:t>
      </w:r>
    </w:p>
    <w:p w14:paraId="3CF3FE24">
      <w:pPr>
        <w:suppressAutoHyphens/>
        <w:spacing w:line="360" w:lineRule="auto"/>
        <w:ind w:firstLine="420" w:firstLineChars="200"/>
        <w:rPr>
          <w:rStyle w:val="87"/>
          <w:rFonts w:hint="eastAsia" w:ascii="方正仿宋_GB2312" w:hAnsi="方正仿宋_GB2312" w:eastAsia="方正仿宋_GB2312" w:cs="方正仿宋_GB2312"/>
          <w:b/>
          <w:bCs/>
          <w:color w:val="auto"/>
          <w:szCs w:val="21"/>
          <w:highlight w:val="none"/>
        </w:rPr>
      </w:pP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12.5</w:t>
      </w:r>
      <w:r>
        <w:rPr>
          <w:rFonts w:hint="eastAsia" w:ascii="仿宋" w:hAnsi="仿宋" w:eastAsia="仿宋" w:cs="仿宋"/>
          <w:color w:val="000000"/>
          <w:sz w:val="21"/>
          <w:szCs w:val="21"/>
          <w:highlight w:val="none"/>
        </w:rPr>
        <w:t>采购人将落实履约验收责任，依法组织履约验收工作，验收内容要包括每一项技术和商务要求的履约情况。对报价触发异常低价响应审查程序后仍成交的供应商，重点关注其履约承诺、实际履约情况等。对可以分期实施的采购项目，实行分期考核、分期验收、分期支付，及时掌握供应商履约进展。如供应商成交后无正当理由拒不签订政府采购合同的，依法予以处理；如供应商不履行合同或者未按合同约定履行合同导致验收不合格的，采购人当依法追究其违约责任。</w:t>
      </w:r>
    </w:p>
    <w:p w14:paraId="66DEAAC4">
      <w:pPr>
        <w:snapToGrid w:val="0"/>
        <w:spacing w:line="360" w:lineRule="auto"/>
        <w:ind w:firstLine="422" w:firstLineChars="200"/>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Cs w:val="21"/>
          <w:highlight w:val="none"/>
        </w:rPr>
        <w:t>5.1</w:t>
      </w:r>
      <w:r>
        <w:rPr>
          <w:rStyle w:val="87"/>
          <w:rFonts w:hint="eastAsia" w:ascii="仿宋" w:hAnsi="仿宋" w:eastAsia="仿宋" w:cs="仿宋"/>
          <w:b/>
          <w:bCs/>
          <w:color w:val="auto"/>
          <w:szCs w:val="21"/>
          <w:highlight w:val="none"/>
          <w:lang w:val="en-US"/>
        </w:rPr>
        <w:t>3</w:t>
      </w:r>
      <w:r>
        <w:rPr>
          <w:rStyle w:val="87"/>
          <w:rFonts w:hint="eastAsia" w:ascii="仿宋" w:hAnsi="仿宋" w:eastAsia="仿宋" w:cs="仿宋"/>
          <w:b/>
          <w:bCs/>
          <w:color w:val="auto"/>
          <w:szCs w:val="21"/>
          <w:highlight w:val="none"/>
        </w:rPr>
        <w:t>供应商的最终竞标报价总额与首次递交响应文件中竞标报价总额不一致，须重新提交一份已标价工程量清单。</w:t>
      </w:r>
    </w:p>
    <w:p w14:paraId="38203E3E">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6.比较与评价</w:t>
      </w:r>
    </w:p>
    <w:p w14:paraId="40E5019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6.1评审方法：综合评分法。</w:t>
      </w:r>
    </w:p>
    <w:p w14:paraId="18B9624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6.2经磋商确定最终采购需求和提交最后报价的供应商后，由磋商小组采用综合评分法对提交最后报价的供应商的响应文件和最后报价进行综合评分。</w:t>
      </w:r>
    </w:p>
    <w:p w14:paraId="5E51F031">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6.3评审时，磋商小组各成员应当独立对每个有效响应的文件进行评价、打分，然后汇总每个供应商每项评分因素的得分。</w:t>
      </w:r>
    </w:p>
    <w:p w14:paraId="66A023EF">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EBFA427">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（2）磋商小组按照磋商文件中规定的评审标准计算各供应商的报价得分。项目评审过程中，不得去掉最后报价中的最高报价和最低报价。</w:t>
      </w:r>
    </w:p>
    <w:p w14:paraId="7878407C">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（3）各供应商的得分为磋商小组所有成员的有效评分的算术平均数。</w:t>
      </w:r>
    </w:p>
    <w:p w14:paraId="6E867065">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E9DDEB6">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6.5由磋商小组根据综合评分情况，按照评审得分由高到低顺序推荐3名成交候选供应商，并编写评审报告。符合本章第4.3条情形的，可以推荐2家成交候选供应商。评审得分相同的，按照最后报价由低到高的顺序推荐。评审得分且最后报价相同的，按照技术指标优劣顺序推荐。</w:t>
      </w:r>
    </w:p>
    <w:p w14:paraId="13EF1316">
      <w:pPr>
        <w:snapToGrid w:val="0"/>
        <w:spacing w:line="360" w:lineRule="auto"/>
        <w:ind w:firstLine="420" w:firstLineChars="200"/>
        <w:textAlignment w:val="baseline"/>
        <w:rPr>
          <w:rStyle w:val="87"/>
          <w:rFonts w:hint="eastAsia" w:ascii="仿宋" w:hAnsi="仿宋" w:eastAsia="仿宋" w:cs="仿宋"/>
          <w:color w:val="auto"/>
          <w:szCs w:val="21"/>
          <w:highlight w:val="none"/>
        </w:rPr>
      </w:pPr>
      <w:r>
        <w:rPr>
          <w:rStyle w:val="87"/>
          <w:rFonts w:hint="eastAsia" w:ascii="仿宋" w:hAnsi="仿宋" w:eastAsia="仿宋" w:cs="仿宋"/>
          <w:color w:val="auto"/>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14C3D34">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7.评审复核</w:t>
      </w:r>
    </w:p>
    <w:p w14:paraId="6D24CEB4">
      <w:pPr>
        <w:snapToGrid w:val="0"/>
        <w:spacing w:line="360" w:lineRule="auto"/>
        <w:ind w:firstLine="420" w:firstLineChars="200"/>
        <w:textAlignment w:val="baseline"/>
        <w:rPr>
          <w:rStyle w:val="87"/>
          <w:rFonts w:hint="eastAsia" w:ascii="仿宋" w:hAnsi="仿宋" w:eastAsia="仿宋" w:cs="仿宋"/>
          <w:bCs/>
          <w:color w:val="auto"/>
          <w:szCs w:val="21"/>
          <w:highlight w:val="none"/>
        </w:rPr>
      </w:pPr>
      <w:r>
        <w:rPr>
          <w:rStyle w:val="87"/>
          <w:rFonts w:hint="eastAsia" w:ascii="仿宋" w:hAnsi="仿宋" w:eastAsia="仿宋" w:cs="仿宋"/>
          <w:bCs/>
          <w:color w:val="auto"/>
          <w:szCs w:val="21"/>
          <w:highlight w:val="none"/>
        </w:rPr>
        <w:t>7.1评审报告签署前，评审委员会要对评审结果进行复核，复核意见要体现在评审报告中。</w:t>
      </w:r>
    </w:p>
    <w:p w14:paraId="45005164">
      <w:pPr>
        <w:snapToGrid w:val="0"/>
        <w:spacing w:line="360" w:lineRule="auto"/>
        <w:ind w:firstLine="420" w:firstLineChars="200"/>
        <w:textAlignment w:val="baseline"/>
        <w:rPr>
          <w:rStyle w:val="87"/>
          <w:rFonts w:hint="eastAsia" w:ascii="仿宋" w:hAnsi="仿宋" w:eastAsia="仿宋" w:cs="仿宋"/>
          <w:bCs/>
          <w:color w:val="auto"/>
          <w:szCs w:val="21"/>
          <w:highlight w:val="none"/>
        </w:rPr>
      </w:pPr>
      <w:r>
        <w:rPr>
          <w:rStyle w:val="87"/>
          <w:rFonts w:hint="eastAsia" w:ascii="仿宋" w:hAnsi="仿宋" w:eastAsia="仿宋" w:cs="仿宋"/>
          <w:bCs/>
          <w:color w:val="auto"/>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5810DAFA">
      <w:pPr>
        <w:snapToGrid w:val="0"/>
        <w:spacing w:line="360" w:lineRule="auto"/>
        <w:ind w:firstLine="422" w:firstLineChars="175"/>
        <w:textAlignment w:val="baseline"/>
        <w:rPr>
          <w:rStyle w:val="87"/>
          <w:rFonts w:hint="eastAsia" w:ascii="仿宋" w:hAnsi="仿宋" w:eastAsia="仿宋" w:cs="仿宋"/>
          <w:b/>
          <w:bCs/>
          <w:color w:val="auto"/>
          <w:sz w:val="24"/>
          <w:highlight w:val="none"/>
        </w:rPr>
      </w:pPr>
      <w:r>
        <w:rPr>
          <w:rStyle w:val="87"/>
          <w:rFonts w:hint="eastAsia" w:ascii="仿宋" w:hAnsi="仿宋" w:eastAsia="仿宋" w:cs="仿宋"/>
          <w:b/>
          <w:bCs/>
          <w:color w:val="auto"/>
          <w:sz w:val="24"/>
          <w:highlight w:val="none"/>
        </w:rPr>
        <w:t>8.评审标准</w:t>
      </w:r>
    </w:p>
    <w:p w14:paraId="57034FC3">
      <w:pPr>
        <w:snapToGrid w:val="0"/>
        <w:spacing w:line="360" w:lineRule="auto"/>
        <w:ind w:firstLine="420" w:firstLineChars="200"/>
        <w:textAlignment w:val="baseline"/>
        <w:rPr>
          <w:rStyle w:val="87"/>
          <w:rFonts w:hint="eastAsia" w:ascii="仿宋" w:hAnsi="仿宋" w:eastAsia="仿宋" w:cs="仿宋"/>
          <w:bCs/>
          <w:color w:val="auto"/>
          <w:szCs w:val="21"/>
          <w:highlight w:val="none"/>
        </w:rPr>
      </w:pPr>
      <w:r>
        <w:rPr>
          <w:rStyle w:val="87"/>
          <w:rFonts w:hint="eastAsia" w:ascii="仿宋" w:hAnsi="仿宋" w:eastAsia="仿宋" w:cs="仿宋"/>
          <w:bCs/>
          <w:color w:val="auto"/>
          <w:szCs w:val="21"/>
          <w:highlight w:val="none"/>
        </w:rPr>
        <w:t>8.1评审依据：磋商小组将以磋商响应文件为评审依据，对供应商的报价、技术、商务等方面内容按百分制打分。（计分方法按四舍五入取至百分位）</w:t>
      </w:r>
    </w:p>
    <w:bookmarkEnd w:id="78"/>
    <w:p w14:paraId="1008702E">
      <w:pPr>
        <w:snapToGrid w:val="0"/>
        <w:spacing w:line="360" w:lineRule="auto"/>
        <w:ind w:firstLine="420" w:firstLineChars="200"/>
        <w:textAlignment w:val="baseline"/>
        <w:rPr>
          <w:rStyle w:val="87"/>
          <w:rFonts w:hint="eastAsia" w:ascii="仿宋" w:hAnsi="仿宋" w:eastAsia="仿宋" w:cs="仿宋"/>
          <w:bCs/>
          <w:color w:val="auto"/>
          <w:szCs w:val="21"/>
          <w:highlight w:val="none"/>
        </w:rPr>
      </w:pPr>
      <w:bookmarkStart w:id="79" w:name="_Toc80205935"/>
      <w:r>
        <w:rPr>
          <w:rFonts w:hint="eastAsia" w:ascii="仿宋" w:hAnsi="仿宋" w:eastAsia="仿宋" w:cs="仿宋"/>
          <w:bCs/>
          <w:color w:val="auto"/>
          <w:szCs w:val="21"/>
          <w:highlight w:val="none"/>
        </w:rPr>
        <w:t>总得分=</w:t>
      </w:r>
      <w:r>
        <w:rPr>
          <w:rFonts w:hint="eastAsia" w:ascii="仿宋" w:hAnsi="仿宋" w:eastAsia="仿宋" w:cs="仿宋"/>
          <w:bCs/>
          <w:color w:val="auto"/>
          <w:szCs w:val="21"/>
          <w:highlight w:val="none"/>
          <w:u w:val="single"/>
        </w:rPr>
        <w:t xml:space="preserve">   1+2+3   </w:t>
      </w:r>
    </w:p>
    <w:tbl>
      <w:tblPr>
        <w:tblStyle w:val="28"/>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487"/>
        <w:gridCol w:w="6174"/>
        <w:gridCol w:w="851"/>
      </w:tblGrid>
      <w:tr w14:paraId="09DC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blHeader/>
          <w:jc w:val="center"/>
        </w:trPr>
        <w:tc>
          <w:tcPr>
            <w:tcW w:w="693" w:type="dxa"/>
            <w:noWrap w:val="0"/>
            <w:vAlign w:val="center"/>
          </w:tcPr>
          <w:p w14:paraId="091CFBC2">
            <w:pPr>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Cs/>
                <w:color w:val="auto"/>
                <w:szCs w:val="21"/>
                <w:highlight w:val="none"/>
              </w:rPr>
              <w:t>序号</w:t>
            </w:r>
          </w:p>
        </w:tc>
        <w:tc>
          <w:tcPr>
            <w:tcW w:w="1487" w:type="dxa"/>
            <w:noWrap w:val="0"/>
            <w:vAlign w:val="center"/>
          </w:tcPr>
          <w:p w14:paraId="1FA33230">
            <w:pPr>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Cs/>
                <w:color w:val="auto"/>
                <w:szCs w:val="21"/>
                <w:highlight w:val="none"/>
              </w:rPr>
              <w:t>评分类型</w:t>
            </w:r>
          </w:p>
        </w:tc>
        <w:tc>
          <w:tcPr>
            <w:tcW w:w="6174" w:type="dxa"/>
            <w:noWrap w:val="0"/>
            <w:vAlign w:val="center"/>
          </w:tcPr>
          <w:p w14:paraId="3544A512">
            <w:pPr>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Cs/>
                <w:color w:val="auto"/>
                <w:highlight w:val="none"/>
              </w:rPr>
              <w:t>评审标准</w:t>
            </w:r>
          </w:p>
        </w:tc>
        <w:tc>
          <w:tcPr>
            <w:tcW w:w="851" w:type="dxa"/>
            <w:noWrap w:val="0"/>
            <w:vAlign w:val="center"/>
          </w:tcPr>
          <w:p w14:paraId="2C4C8809">
            <w:pPr>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Cs/>
                <w:color w:val="auto"/>
                <w:szCs w:val="21"/>
                <w:highlight w:val="none"/>
              </w:rPr>
              <w:t>分值</w:t>
            </w:r>
          </w:p>
        </w:tc>
      </w:tr>
      <w:tr w14:paraId="22B3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3" w:type="dxa"/>
            <w:noWrap w:val="0"/>
            <w:vAlign w:val="center"/>
          </w:tcPr>
          <w:p w14:paraId="7DCE69B7">
            <w:pPr>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bCs/>
                <w:color w:val="auto"/>
                <w:szCs w:val="21"/>
                <w:highlight w:val="none"/>
              </w:rPr>
              <w:t>1</w:t>
            </w:r>
          </w:p>
        </w:tc>
        <w:tc>
          <w:tcPr>
            <w:tcW w:w="1487" w:type="dxa"/>
            <w:noWrap w:val="0"/>
            <w:vAlign w:val="center"/>
          </w:tcPr>
          <w:p w14:paraId="764B44F8">
            <w:pPr>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bCs/>
                <w:color w:val="auto"/>
                <w:szCs w:val="21"/>
                <w:highlight w:val="none"/>
              </w:rPr>
              <w:t>报价</w:t>
            </w:r>
            <w:r>
              <w:rPr>
                <w:rFonts w:hint="eastAsia" w:ascii="仿宋" w:hAnsi="仿宋" w:eastAsia="仿宋" w:cs="仿宋"/>
                <w:bCs/>
                <w:color w:val="auto"/>
                <w:kern w:val="0"/>
                <w:szCs w:val="21"/>
                <w:highlight w:val="none"/>
              </w:rPr>
              <w:t>分</w:t>
            </w:r>
          </w:p>
        </w:tc>
        <w:tc>
          <w:tcPr>
            <w:tcW w:w="6174" w:type="dxa"/>
            <w:noWrap w:val="0"/>
            <w:vAlign w:val="top"/>
          </w:tcPr>
          <w:p w14:paraId="16120E01">
            <w:pPr>
              <w:spacing w:line="480" w:lineRule="exact"/>
              <w:ind w:firstLine="420" w:firstLineChars="200"/>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color w:val="auto"/>
                <w:szCs w:val="21"/>
                <w:highlight w:val="none"/>
              </w:rPr>
              <w:t>评审报价为供应商的最后报价进行政策性扣除后的价格，评审报价只是作为评审时使用。最终成交供应商的成交金额等于最后报价（如有修正，以确认修正后的最后报价为准）。</w:t>
            </w:r>
          </w:p>
          <w:p w14:paraId="65E8FB2E">
            <w:pPr>
              <w:pStyle w:val="17"/>
              <w:spacing w:line="480" w:lineRule="exact"/>
              <w:ind w:firstLine="420" w:firstLineChars="200"/>
              <w:rPr>
                <w:rFonts w:hint="eastAsia" w:ascii="仿宋" w:hAnsi="仿宋" w:eastAsia="仿宋" w:cs="仿宋"/>
                <w:color w:val="auto"/>
                <w:sz w:val="21"/>
                <w:highlight w:val="none"/>
              </w:rPr>
            </w:pPr>
            <w:r>
              <w:rPr>
                <w:rFonts w:hint="eastAsia" w:ascii="仿宋" w:hAnsi="仿宋" w:eastAsia="仿宋" w:cs="仿宋"/>
                <w:bCs/>
                <w:color w:val="auto"/>
                <w:kern w:val="2"/>
                <w:sz w:val="21"/>
                <w:highlight w:val="none"/>
              </w:rPr>
              <w:t>2.政府采购政策性扣除计算方法</w:t>
            </w:r>
          </w:p>
          <w:p w14:paraId="5EC8BA36">
            <w:pPr>
              <w:snapToGrid w:val="0"/>
              <w:spacing w:line="480" w:lineRule="exact"/>
              <w:ind w:firstLine="422" w:firstLineChars="200"/>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按照《政府采购促进中小企业发展管理办法》（财库[2020]46号）及《广西壮族自治区财政厅关于进一步发挥政府采购政策功能促进企业发展的通知》（桂财采〔2022〕30号），本项目专门面向</w:t>
            </w:r>
            <w:r>
              <w:rPr>
                <w:rFonts w:hint="eastAsia" w:ascii="仿宋" w:hAnsi="仿宋" w:eastAsia="仿宋" w:cs="仿宋"/>
                <w:b/>
                <w:bCs/>
                <w:color w:val="auto"/>
                <w:szCs w:val="21"/>
                <w:highlight w:val="none"/>
                <w:lang w:eastAsia="zh-CN"/>
              </w:rPr>
              <w:t>中小微</w:t>
            </w:r>
            <w:r>
              <w:rPr>
                <w:rFonts w:hint="eastAsia" w:ascii="仿宋" w:hAnsi="仿宋" w:eastAsia="仿宋" w:cs="仿宋"/>
                <w:b/>
                <w:bCs/>
                <w:color w:val="auto"/>
                <w:szCs w:val="21"/>
                <w:highlight w:val="none"/>
              </w:rPr>
              <w:t>企业采购，不再执行价格评审优惠的扶持政策；监狱企业或残疾人福利性单位视同小型、微型企业。</w:t>
            </w:r>
          </w:p>
          <w:p w14:paraId="558FD5D1">
            <w:pPr>
              <w:snapToGrid w:val="0"/>
              <w:spacing w:line="480" w:lineRule="exact"/>
              <w:ind w:firstLine="420" w:firstLineChars="200"/>
              <w:jc w:val="lef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评审报价＝最后报价</w:t>
            </w:r>
          </w:p>
          <w:p w14:paraId="5F165BBA">
            <w:pPr>
              <w:pStyle w:val="17"/>
              <w:spacing w:line="480" w:lineRule="exact"/>
              <w:ind w:firstLine="420" w:firstLineChars="200"/>
              <w:rPr>
                <w:rFonts w:hint="eastAsia" w:ascii="仿宋" w:hAnsi="仿宋" w:eastAsia="仿宋" w:cs="仿宋"/>
                <w:bCs/>
                <w:color w:val="auto"/>
                <w:kern w:val="2"/>
                <w:sz w:val="21"/>
                <w:highlight w:val="none"/>
              </w:rPr>
            </w:pPr>
            <w:r>
              <w:rPr>
                <w:rFonts w:hint="eastAsia" w:ascii="仿宋" w:hAnsi="仿宋" w:eastAsia="仿宋" w:cs="仿宋"/>
                <w:bCs/>
                <w:color w:val="auto"/>
                <w:kern w:val="2"/>
                <w:sz w:val="21"/>
                <w:highlight w:val="none"/>
              </w:rPr>
              <w:t>3.以进入比较与评价环节的最低的评审报价为基准价，基准价得分为</w:t>
            </w:r>
            <w:r>
              <w:rPr>
                <w:rFonts w:hint="eastAsia" w:ascii="仿宋" w:hAnsi="仿宋" w:eastAsia="仿宋" w:cs="仿宋"/>
                <w:bCs/>
                <w:color w:val="auto"/>
                <w:kern w:val="2"/>
                <w:sz w:val="21"/>
                <w:highlight w:val="none"/>
                <w:u w:val="single"/>
              </w:rPr>
              <w:t>10分</w:t>
            </w:r>
            <w:r>
              <w:rPr>
                <w:rFonts w:hint="eastAsia" w:ascii="仿宋" w:hAnsi="仿宋" w:eastAsia="仿宋" w:cs="仿宋"/>
                <w:bCs/>
                <w:color w:val="auto"/>
                <w:kern w:val="2"/>
                <w:sz w:val="21"/>
                <w:highlight w:val="none"/>
              </w:rPr>
              <w:t>。</w:t>
            </w:r>
          </w:p>
          <w:p w14:paraId="40BB5C43">
            <w:pPr>
              <w:pStyle w:val="17"/>
              <w:spacing w:line="480" w:lineRule="exact"/>
              <w:ind w:firstLine="420" w:firstLineChars="200"/>
              <w:rPr>
                <w:rFonts w:hint="eastAsia" w:ascii="仿宋" w:hAnsi="仿宋" w:eastAsia="仿宋" w:cs="仿宋"/>
                <w:bCs/>
                <w:color w:val="auto"/>
                <w:kern w:val="2"/>
                <w:sz w:val="21"/>
                <w:highlight w:val="none"/>
              </w:rPr>
            </w:pPr>
            <w:r>
              <w:rPr>
                <w:rFonts w:hint="eastAsia" w:ascii="仿宋" w:hAnsi="仿宋" w:eastAsia="仿宋" w:cs="仿宋"/>
                <w:bCs/>
                <w:color w:val="auto"/>
                <w:kern w:val="2"/>
                <w:sz w:val="21"/>
                <w:highlight w:val="none"/>
              </w:rPr>
              <w:t>4.价格分计算公式：</w:t>
            </w:r>
          </w:p>
          <w:p w14:paraId="209CE95B">
            <w:pPr>
              <w:spacing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报价得分=（基准价/评审报价）×</w:t>
            </w:r>
            <w:r>
              <w:rPr>
                <w:rFonts w:hint="eastAsia" w:ascii="仿宋" w:hAnsi="仿宋" w:eastAsia="仿宋" w:cs="仿宋"/>
                <w:bCs/>
                <w:color w:val="auto"/>
                <w:szCs w:val="21"/>
                <w:highlight w:val="none"/>
                <w:u w:val="single"/>
              </w:rPr>
              <w:t>10分</w:t>
            </w:r>
          </w:p>
        </w:tc>
        <w:tc>
          <w:tcPr>
            <w:tcW w:w="851" w:type="dxa"/>
            <w:noWrap w:val="0"/>
            <w:vAlign w:val="center"/>
          </w:tcPr>
          <w:p w14:paraId="180B99AA">
            <w:pPr>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10分</w:t>
            </w:r>
          </w:p>
        </w:tc>
      </w:tr>
      <w:tr w14:paraId="3E48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626B2E26">
            <w:pPr>
              <w:spacing w:line="360" w:lineRule="auto"/>
              <w:jc w:val="center"/>
              <w:rPr>
                <w:rFonts w:hint="eastAsia" w:ascii="仿宋" w:hAnsi="仿宋" w:eastAsia="仿宋" w:cs="仿宋"/>
                <w:b/>
                <w:color w:val="auto"/>
                <w:kern w:val="0"/>
                <w:szCs w:val="21"/>
                <w:highlight w:val="none"/>
              </w:rPr>
            </w:pPr>
            <w:r>
              <w:rPr>
                <w:rFonts w:hint="eastAsia" w:ascii="仿宋" w:hAnsi="仿宋" w:eastAsia="仿宋" w:cs="仿宋"/>
                <w:bCs/>
                <w:color w:val="auto"/>
                <w:szCs w:val="21"/>
                <w:highlight w:val="none"/>
              </w:rPr>
              <w:t>2</w:t>
            </w:r>
          </w:p>
        </w:tc>
        <w:tc>
          <w:tcPr>
            <w:tcW w:w="1487" w:type="dxa"/>
            <w:noWrap w:val="0"/>
            <w:vAlign w:val="center"/>
          </w:tcPr>
          <w:p w14:paraId="29E6C17F">
            <w:pPr>
              <w:widowControl/>
              <w:spacing w:line="360" w:lineRule="auto"/>
              <w:jc w:val="center"/>
              <w:rPr>
                <w:rFonts w:hint="eastAsia" w:ascii="仿宋" w:hAnsi="仿宋" w:eastAsia="仿宋" w:cs="仿宋"/>
                <w:b/>
                <w:color w:val="auto"/>
                <w:kern w:val="0"/>
                <w:szCs w:val="21"/>
                <w:highlight w:val="none"/>
              </w:rPr>
            </w:pPr>
            <w:r>
              <w:rPr>
                <w:rFonts w:hint="eastAsia" w:ascii="仿宋" w:hAnsi="仿宋" w:eastAsia="仿宋" w:cs="仿宋"/>
                <w:bCs/>
                <w:color w:val="auto"/>
                <w:kern w:val="0"/>
                <w:szCs w:val="21"/>
                <w:highlight w:val="none"/>
              </w:rPr>
              <w:t>技术分</w:t>
            </w:r>
          </w:p>
        </w:tc>
        <w:tc>
          <w:tcPr>
            <w:tcW w:w="6174" w:type="dxa"/>
            <w:noWrap w:val="0"/>
            <w:vAlign w:val="center"/>
          </w:tcPr>
          <w:p w14:paraId="32577C7D">
            <w:pPr>
              <w:spacing w:line="360" w:lineRule="auto"/>
              <w:jc w:val="center"/>
              <w:rPr>
                <w:rFonts w:hint="eastAsia" w:ascii="仿宋" w:hAnsi="仿宋" w:eastAsia="仿宋" w:cs="仿宋"/>
                <w:color w:val="auto"/>
                <w:highlight w:val="none"/>
              </w:rPr>
            </w:pPr>
            <w:r>
              <w:rPr>
                <w:rFonts w:hint="eastAsia" w:ascii="仿宋" w:hAnsi="仿宋" w:eastAsia="仿宋" w:cs="仿宋"/>
                <w:bCs/>
                <w:color w:val="auto"/>
                <w:highlight w:val="none"/>
              </w:rPr>
              <w:t>评审标准</w:t>
            </w:r>
          </w:p>
        </w:tc>
        <w:tc>
          <w:tcPr>
            <w:tcW w:w="851" w:type="dxa"/>
            <w:noWrap w:val="0"/>
            <w:vAlign w:val="center"/>
          </w:tcPr>
          <w:p w14:paraId="5DBB1240">
            <w:pPr>
              <w:spacing w:line="360" w:lineRule="auto"/>
              <w:jc w:val="center"/>
              <w:rPr>
                <w:rFonts w:hint="eastAsia" w:ascii="仿宋" w:hAnsi="仿宋" w:eastAsia="仿宋" w:cs="仿宋"/>
                <w:b/>
                <w:color w:val="auto"/>
                <w:kern w:val="0"/>
                <w:szCs w:val="21"/>
                <w:highlight w:val="none"/>
              </w:rPr>
            </w:pPr>
            <w:r>
              <w:rPr>
                <w:rFonts w:hint="eastAsia" w:ascii="仿宋" w:hAnsi="仿宋" w:eastAsia="仿宋" w:cs="仿宋"/>
                <w:color w:val="auto"/>
                <w:kern w:val="0"/>
                <w:szCs w:val="21"/>
                <w:highlight w:val="none"/>
              </w:rPr>
              <w:t>80分</w:t>
            </w:r>
          </w:p>
        </w:tc>
      </w:tr>
      <w:tr w14:paraId="577B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93" w:type="dxa"/>
            <w:noWrap w:val="0"/>
            <w:vAlign w:val="center"/>
          </w:tcPr>
          <w:p w14:paraId="795E145B">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2.1</w:t>
            </w:r>
          </w:p>
        </w:tc>
        <w:tc>
          <w:tcPr>
            <w:tcW w:w="1487" w:type="dxa"/>
            <w:noWrap w:val="0"/>
            <w:vAlign w:val="center"/>
          </w:tcPr>
          <w:p w14:paraId="4BE7019C">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主要施工方法</w:t>
            </w:r>
          </w:p>
        </w:tc>
        <w:tc>
          <w:tcPr>
            <w:tcW w:w="6174" w:type="dxa"/>
            <w:noWrap w:val="0"/>
            <w:vAlign w:val="center"/>
          </w:tcPr>
          <w:p w14:paraId="602BA143">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分）各主要分部施工方法符合项目实际，有详尽的施工技术方案，工艺先进、方法科学合理、可行，能指导具体施工并确保安全。</w:t>
            </w:r>
          </w:p>
          <w:p w14:paraId="5E5E71A9">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分）各主要分部施工方法符合项目实际，有详尽的施工技术方案，工艺一般、方法可行，能指导具体施工并确保安全。</w:t>
            </w:r>
          </w:p>
          <w:p w14:paraId="5794670E">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分）各主要分部施工方法符合项目实际，有施工技术方案，工艺一般、方法可行，能指导施工并确保安全。</w:t>
            </w:r>
          </w:p>
          <w:p w14:paraId="38B78E3D">
            <w:pPr>
              <w:spacing w:line="400" w:lineRule="exact"/>
              <w:jc w:val="left"/>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一档（2 分）各主要分部施工方法不符合项目实际，有施工技术方案，工艺一般，不能指导具体施工并确保安全。</w:t>
            </w:r>
          </w:p>
        </w:tc>
        <w:tc>
          <w:tcPr>
            <w:tcW w:w="851" w:type="dxa"/>
            <w:noWrap w:val="0"/>
            <w:vAlign w:val="center"/>
          </w:tcPr>
          <w:p w14:paraId="015F784F">
            <w:pPr>
              <w:spacing w:line="400" w:lineRule="exact"/>
              <w:jc w:val="center"/>
              <w:rPr>
                <w:rFonts w:hint="eastAsia" w:ascii="仿宋" w:hAnsi="仿宋" w:eastAsia="仿宋" w:cs="仿宋"/>
                <w:b/>
                <w:color w:val="auto"/>
                <w:kern w:val="0"/>
                <w:szCs w:val="21"/>
                <w:highlight w:val="none"/>
              </w:rPr>
            </w:pPr>
            <w:r>
              <w:rPr>
                <w:rFonts w:hint="eastAsia" w:ascii="仿宋" w:hAnsi="仿宋" w:eastAsia="仿宋" w:cs="仿宋"/>
                <w:color w:val="auto"/>
                <w:szCs w:val="21"/>
                <w:highlight w:val="none"/>
              </w:rPr>
              <w:t>8</w:t>
            </w:r>
          </w:p>
        </w:tc>
      </w:tr>
      <w:tr w14:paraId="3104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69C68137">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2.2</w:t>
            </w:r>
          </w:p>
        </w:tc>
        <w:tc>
          <w:tcPr>
            <w:tcW w:w="1487" w:type="dxa"/>
            <w:noWrap w:val="0"/>
            <w:vAlign w:val="center"/>
          </w:tcPr>
          <w:p w14:paraId="1A7A41B9">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拟投入的主要物资计划</w:t>
            </w:r>
          </w:p>
        </w:tc>
        <w:tc>
          <w:tcPr>
            <w:tcW w:w="6174" w:type="dxa"/>
            <w:noWrap w:val="0"/>
            <w:vAlign w:val="center"/>
          </w:tcPr>
          <w:p w14:paraId="27FB2B97">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分）投入的施工材料有详细的组织计划且计划周密，数量、选型配置、进场时间安排合理，满足施工需要。</w:t>
            </w:r>
          </w:p>
          <w:p w14:paraId="59AA4E78">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分）投入的施工材料有详细的组织计划但计划一般，数量、选型配置、进场时间安排合理，满足施工需要。</w:t>
            </w:r>
          </w:p>
          <w:p w14:paraId="2A0C4DD6">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分）投入的施工材料有组织计划但计划一般，数量、选型配置、进场时间安排合理，基本满足施工需要。</w:t>
            </w:r>
          </w:p>
          <w:p w14:paraId="74B0DB20">
            <w:pPr>
              <w:spacing w:line="400" w:lineRule="exact"/>
              <w:jc w:val="left"/>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一档（2 分）投入的施工材料无组织计划，数量、选型配置、进场时间安排不合理，不满足施工需要。</w:t>
            </w:r>
          </w:p>
        </w:tc>
        <w:tc>
          <w:tcPr>
            <w:tcW w:w="851" w:type="dxa"/>
            <w:noWrap w:val="0"/>
            <w:vAlign w:val="center"/>
          </w:tcPr>
          <w:p w14:paraId="4C3F4E49">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7A48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39EB0380">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2.3</w:t>
            </w:r>
          </w:p>
        </w:tc>
        <w:tc>
          <w:tcPr>
            <w:tcW w:w="1487" w:type="dxa"/>
            <w:noWrap w:val="0"/>
            <w:vAlign w:val="center"/>
          </w:tcPr>
          <w:p w14:paraId="7D5EB45C">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拟投入的主要施工机械、设备计划</w:t>
            </w:r>
          </w:p>
        </w:tc>
        <w:tc>
          <w:tcPr>
            <w:tcW w:w="6174" w:type="dxa"/>
            <w:noWrap w:val="0"/>
            <w:vAlign w:val="center"/>
          </w:tcPr>
          <w:p w14:paraId="31CD35E4">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四档（8分）投入的施工机械、设备、机具有详细的组织计划且计划周密，设备数量、选型配置、进场时间安排合理，满足施工需要。</w:t>
            </w:r>
          </w:p>
          <w:p w14:paraId="23A74E7A">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分）投入的施工机械、设备、机具有详细的组织计划但计划一般，设备数量、选型配置、进场时间安排合理，满足施工需要。</w:t>
            </w:r>
          </w:p>
          <w:p w14:paraId="26534C24">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分）投入的施工机械、设备、机具有组织计划但计划一般，设备数量、选型配置、进场时间安排合理，基本满足施工需要。</w:t>
            </w:r>
          </w:p>
          <w:p w14:paraId="746719CD">
            <w:pPr>
              <w:spacing w:line="400" w:lineRule="exact"/>
              <w:jc w:val="left"/>
              <w:rPr>
                <w:rFonts w:hint="eastAsia" w:ascii="仿宋" w:hAnsi="仿宋" w:eastAsia="仿宋" w:cs="仿宋"/>
                <w:bCs/>
                <w:color w:val="auto"/>
                <w:highlight w:val="none"/>
              </w:rPr>
            </w:pPr>
            <w:r>
              <w:rPr>
                <w:rFonts w:hint="eastAsia" w:ascii="仿宋" w:hAnsi="仿宋" w:eastAsia="仿宋" w:cs="仿宋"/>
                <w:color w:val="auto"/>
                <w:szCs w:val="21"/>
                <w:highlight w:val="none"/>
              </w:rPr>
              <w:t>一档（2 分）投入的施工机械、设备、机具无组织计划，设备数量、选型配置、进场时间安排不合理，不满足施工需要。</w:t>
            </w:r>
          </w:p>
        </w:tc>
        <w:tc>
          <w:tcPr>
            <w:tcW w:w="851" w:type="dxa"/>
            <w:noWrap w:val="0"/>
            <w:vAlign w:val="center"/>
          </w:tcPr>
          <w:p w14:paraId="7F39FA15">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0CE1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DD2B683">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2.4</w:t>
            </w:r>
          </w:p>
        </w:tc>
        <w:tc>
          <w:tcPr>
            <w:tcW w:w="1487" w:type="dxa"/>
            <w:noWrap w:val="0"/>
            <w:vAlign w:val="center"/>
          </w:tcPr>
          <w:p w14:paraId="685BF8DE">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劳动力安排计划</w:t>
            </w:r>
          </w:p>
        </w:tc>
        <w:tc>
          <w:tcPr>
            <w:tcW w:w="6174" w:type="dxa"/>
            <w:noWrap w:val="0"/>
            <w:vAlign w:val="center"/>
          </w:tcPr>
          <w:p w14:paraId="386C42ED">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分）各主要施工工序有详细周密的劳动力安排计划，有各工种劳动力安排计划，劳动力投入合理，满足施工需要。</w:t>
            </w:r>
          </w:p>
          <w:p w14:paraId="18A13ECA">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分）各主要施工工序有劳动力安排计划，有各工种劳动力安排计划，劳动力投入合理，满足施工需要。</w:t>
            </w:r>
          </w:p>
          <w:p w14:paraId="34CC28DC">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分）各主要施工工序只有劳动力安排计划，无各工种劳动力安排计划，劳动力投入合理，满足施工需要。</w:t>
            </w:r>
          </w:p>
          <w:p w14:paraId="09779183">
            <w:pPr>
              <w:spacing w:line="400" w:lineRule="exact"/>
              <w:jc w:val="left"/>
              <w:rPr>
                <w:rFonts w:hint="eastAsia" w:ascii="仿宋" w:hAnsi="仿宋" w:eastAsia="仿宋" w:cs="仿宋"/>
                <w:bCs/>
                <w:color w:val="auto"/>
                <w:highlight w:val="none"/>
              </w:rPr>
            </w:pPr>
            <w:r>
              <w:rPr>
                <w:rFonts w:hint="eastAsia" w:ascii="仿宋" w:hAnsi="仿宋" w:eastAsia="仿宋" w:cs="仿宋"/>
                <w:color w:val="auto"/>
                <w:szCs w:val="21"/>
                <w:highlight w:val="none"/>
              </w:rPr>
              <w:t>一档（2分）各主要施工工序无劳动力安排计划，劳动力投入不合理，不满足施工需要。</w:t>
            </w:r>
          </w:p>
        </w:tc>
        <w:tc>
          <w:tcPr>
            <w:tcW w:w="851" w:type="dxa"/>
            <w:noWrap w:val="0"/>
            <w:vAlign w:val="center"/>
          </w:tcPr>
          <w:p w14:paraId="033D617B">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2482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600B1DA">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2.5</w:t>
            </w:r>
          </w:p>
        </w:tc>
        <w:tc>
          <w:tcPr>
            <w:tcW w:w="1487" w:type="dxa"/>
            <w:noWrap w:val="0"/>
            <w:vAlign w:val="center"/>
          </w:tcPr>
          <w:p w14:paraId="32DE191A">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确保工程质量的技术组织措施</w:t>
            </w:r>
          </w:p>
        </w:tc>
        <w:tc>
          <w:tcPr>
            <w:tcW w:w="6174" w:type="dxa"/>
            <w:noWrap w:val="0"/>
            <w:vAlign w:val="center"/>
          </w:tcPr>
          <w:p w14:paraId="40FE21F6">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四档（8分）有专门的质量技术管理班子和制度，且人员配备合理，制度健全。主要工序有质量技术保证措施和手段，自控体系完整，能有效保证技术质量，达到承诺的质量标准。</w:t>
            </w:r>
          </w:p>
          <w:p w14:paraId="342845D0">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分）有质量技术管理班子和制度，且人员配备合理，制度健全。主要工序有质量技术保证措施和手段，自控体系完整，能有效保证技术质量，达到承诺的质量标准。</w:t>
            </w:r>
          </w:p>
          <w:p w14:paraId="3C88957D">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分）有质量技术管理班子和制度。主要工序有质量技术保证措施和手段，自控体系一般，基本能保证技术质量，达到承诺的质量标准。</w:t>
            </w:r>
          </w:p>
          <w:p w14:paraId="27ACB854">
            <w:pPr>
              <w:spacing w:line="400" w:lineRule="exact"/>
              <w:jc w:val="left"/>
              <w:rPr>
                <w:rFonts w:hint="eastAsia" w:ascii="仿宋" w:hAnsi="仿宋" w:eastAsia="仿宋" w:cs="仿宋"/>
                <w:bCs/>
                <w:color w:val="auto"/>
                <w:highlight w:val="none"/>
              </w:rPr>
            </w:pPr>
            <w:r>
              <w:rPr>
                <w:rFonts w:hint="eastAsia" w:ascii="仿宋" w:hAnsi="仿宋" w:eastAsia="仿宋" w:cs="仿宋"/>
                <w:color w:val="auto"/>
                <w:szCs w:val="21"/>
                <w:highlight w:val="none"/>
              </w:rPr>
              <w:t>一档（2 分）有质量技术管理班子和制度。主要工序无质量技术保证措施和手段，自控体系一般，不能有效保证技术质量。</w:t>
            </w:r>
          </w:p>
        </w:tc>
        <w:tc>
          <w:tcPr>
            <w:tcW w:w="851" w:type="dxa"/>
            <w:noWrap w:val="0"/>
            <w:vAlign w:val="center"/>
          </w:tcPr>
          <w:p w14:paraId="5B886D9F">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7594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02328715">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2.6</w:t>
            </w:r>
          </w:p>
        </w:tc>
        <w:tc>
          <w:tcPr>
            <w:tcW w:w="1487" w:type="dxa"/>
            <w:noWrap w:val="0"/>
            <w:vAlign w:val="center"/>
          </w:tcPr>
          <w:p w14:paraId="6A6A2862">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确保安全生产的技术组织措施</w:t>
            </w:r>
          </w:p>
        </w:tc>
        <w:tc>
          <w:tcPr>
            <w:tcW w:w="6174" w:type="dxa"/>
            <w:noWrap w:val="0"/>
            <w:vAlign w:val="center"/>
          </w:tcPr>
          <w:p w14:paraId="63C72B7B">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分）有专门的安全管理人员和制度，且人员配备合理，制度健全，各道工序安全技术措施针对性强，符合实际且满足有关安全技术标准要求。现场防火、应急救援、社会治安安全措施得力。</w:t>
            </w:r>
          </w:p>
          <w:p w14:paraId="5677C819">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分）有安全管理人员和制度，且人员配备合理，制度健全，各道工序安全技术措施针对性强，符合实际且满足有关安全技术标准要求。现场防火、应急救援、社会治安安全措施得力。</w:t>
            </w:r>
          </w:p>
          <w:p w14:paraId="17F4F7AB">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分）有安全管理人员和制度，人员配备一般，制度健全一般，各道工序安全技术措施针对性一般，基本满足有关安全技术标准要求。现场防火、应急救援、社会治安安全措施得力。</w:t>
            </w:r>
          </w:p>
          <w:p w14:paraId="53DE6369">
            <w:pPr>
              <w:spacing w:line="400" w:lineRule="exact"/>
              <w:jc w:val="left"/>
              <w:rPr>
                <w:rFonts w:hint="eastAsia" w:ascii="仿宋" w:hAnsi="仿宋" w:eastAsia="仿宋" w:cs="仿宋"/>
                <w:bCs/>
                <w:color w:val="auto"/>
                <w:highlight w:val="none"/>
              </w:rPr>
            </w:pPr>
            <w:r>
              <w:rPr>
                <w:rFonts w:hint="eastAsia" w:ascii="仿宋" w:hAnsi="仿宋" w:eastAsia="仿宋" w:cs="仿宋"/>
                <w:color w:val="auto"/>
                <w:szCs w:val="21"/>
                <w:highlight w:val="none"/>
              </w:rPr>
              <w:t>一档（2 分）有安全管理人员和制度，各道工序安全技术措施无针对性，满足有关安全技术标准要求。现场防火、应急救援、社会治安安全措施差。</w:t>
            </w:r>
          </w:p>
        </w:tc>
        <w:tc>
          <w:tcPr>
            <w:tcW w:w="851" w:type="dxa"/>
            <w:noWrap w:val="0"/>
            <w:vAlign w:val="center"/>
          </w:tcPr>
          <w:p w14:paraId="4F253664">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17E3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3240D0D0">
            <w:pPr>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szCs w:val="21"/>
                <w:highlight w:val="none"/>
              </w:rPr>
              <w:t>2.7</w:t>
            </w:r>
          </w:p>
        </w:tc>
        <w:tc>
          <w:tcPr>
            <w:tcW w:w="1487" w:type="dxa"/>
            <w:noWrap w:val="0"/>
            <w:vAlign w:val="center"/>
          </w:tcPr>
          <w:p w14:paraId="5739EE3C">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确保工期的技术组织措施</w:t>
            </w:r>
          </w:p>
        </w:tc>
        <w:tc>
          <w:tcPr>
            <w:tcW w:w="6174" w:type="dxa"/>
            <w:noWrap w:val="0"/>
            <w:vAlign w:val="center"/>
          </w:tcPr>
          <w:p w14:paraId="794F415C">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D4D5100">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分）施工工艺、施工方法、材料选用、劳动力安排、技术等方面有保证工期的具体措施。有控制工期的施工进度计划。有施工总进度表或施工网络图，各项计划图表编制完善，符合本项目施工实际要求。</w:t>
            </w:r>
          </w:p>
          <w:p w14:paraId="4D9E3227">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分）施工工艺、施工方法、材料选用、劳动力安排、技术等方面有措施。有控制工期的施工进度计划。有施工总进度表或施工网络图，各项计划图表编制一般，基本符合本项目施工实际要求。</w:t>
            </w:r>
          </w:p>
          <w:p w14:paraId="32349839">
            <w:pPr>
              <w:spacing w:line="400" w:lineRule="exact"/>
              <w:jc w:val="left"/>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一档（2 分）施工工艺、施工方法、材料选用、劳动力安排、技术等方面有措施。有控制工期的施工进度计划。有施工总进度表或施工网络图，各项计划图表编制差，不符合本项目施工实际要求。</w:t>
            </w:r>
          </w:p>
        </w:tc>
        <w:tc>
          <w:tcPr>
            <w:tcW w:w="851" w:type="dxa"/>
            <w:noWrap w:val="0"/>
            <w:vAlign w:val="center"/>
          </w:tcPr>
          <w:p w14:paraId="5D48CA44">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8</w:t>
            </w:r>
          </w:p>
        </w:tc>
      </w:tr>
      <w:tr w14:paraId="640E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773B7376">
            <w:pPr>
              <w:spacing w:line="360" w:lineRule="auto"/>
              <w:jc w:val="center"/>
              <w:rPr>
                <w:rFonts w:hint="eastAsia" w:ascii="仿宋" w:hAnsi="仿宋" w:eastAsia="仿宋" w:cs="仿宋"/>
                <w:b/>
                <w:bCs/>
                <w:color w:val="auto"/>
                <w:kern w:val="0"/>
                <w:szCs w:val="21"/>
                <w:highlight w:val="none"/>
              </w:rPr>
            </w:pPr>
            <w:r>
              <w:rPr>
                <w:rFonts w:hint="eastAsia" w:ascii="仿宋" w:hAnsi="仿宋" w:eastAsia="仿宋" w:cs="仿宋"/>
                <w:bCs/>
                <w:color w:val="auto"/>
                <w:szCs w:val="21"/>
                <w:highlight w:val="none"/>
              </w:rPr>
              <w:t>2.8</w:t>
            </w:r>
          </w:p>
        </w:tc>
        <w:tc>
          <w:tcPr>
            <w:tcW w:w="1487" w:type="dxa"/>
            <w:noWrap w:val="0"/>
            <w:vAlign w:val="center"/>
          </w:tcPr>
          <w:p w14:paraId="1109726D">
            <w:pPr>
              <w:spacing w:line="400" w:lineRule="exact"/>
              <w:jc w:val="center"/>
              <w:rPr>
                <w:rFonts w:hint="eastAsia" w:ascii="仿宋" w:hAnsi="仿宋" w:eastAsia="仿宋" w:cs="仿宋"/>
                <w:b/>
                <w:bCs/>
                <w:color w:val="auto"/>
                <w:kern w:val="0"/>
                <w:szCs w:val="21"/>
                <w:highlight w:val="none"/>
              </w:rPr>
            </w:pPr>
            <w:r>
              <w:rPr>
                <w:rFonts w:hint="eastAsia" w:ascii="仿宋" w:hAnsi="仿宋" w:eastAsia="仿宋" w:cs="仿宋"/>
                <w:color w:val="auto"/>
                <w:szCs w:val="21"/>
                <w:highlight w:val="none"/>
              </w:rPr>
              <w:t>确保文明施工的技术组织措施</w:t>
            </w:r>
          </w:p>
        </w:tc>
        <w:tc>
          <w:tcPr>
            <w:tcW w:w="6174" w:type="dxa"/>
            <w:noWrap w:val="0"/>
            <w:vAlign w:val="center"/>
          </w:tcPr>
          <w:p w14:paraId="35DF45DA">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四档（8分）：针对本工程实际情况，有先进、具体、完整、可行的文明施工技术组织，采用规范正确、清晰。各项措施周全、具体、有效。</w:t>
            </w:r>
          </w:p>
          <w:p w14:paraId="723EABD3">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三档（6分）：针对本工程实际情况，有具体、可行的文明施工技术组织，采用规范正确、清晰。各项措施周全。</w:t>
            </w:r>
          </w:p>
          <w:p w14:paraId="11900F78">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二档（4分）：针对本工程实际情况，有基本的文明施工技术组织，采用规范正确。有基本的措施。 </w:t>
            </w:r>
          </w:p>
          <w:p w14:paraId="0FF870B7">
            <w:pPr>
              <w:spacing w:line="400" w:lineRule="exact"/>
              <w:jc w:val="left"/>
              <w:rPr>
                <w:rFonts w:hint="eastAsia" w:ascii="仿宋" w:hAnsi="仿宋" w:eastAsia="仿宋" w:cs="仿宋"/>
                <w:color w:val="auto"/>
                <w:highlight w:val="none"/>
              </w:rPr>
            </w:pPr>
            <w:r>
              <w:rPr>
                <w:rFonts w:hint="eastAsia" w:ascii="仿宋" w:hAnsi="仿宋" w:eastAsia="仿宋" w:cs="仿宋"/>
                <w:color w:val="auto"/>
                <w:szCs w:val="21"/>
                <w:highlight w:val="none"/>
              </w:rPr>
              <w:t>一档（2分）：文明施工技术组织较差，采用的规范不正确。措施不齐全。</w:t>
            </w:r>
          </w:p>
        </w:tc>
        <w:tc>
          <w:tcPr>
            <w:tcW w:w="851" w:type="dxa"/>
            <w:noWrap w:val="0"/>
            <w:vAlign w:val="center"/>
          </w:tcPr>
          <w:p w14:paraId="56001292">
            <w:pPr>
              <w:spacing w:line="400" w:lineRule="exact"/>
              <w:jc w:val="center"/>
              <w:rPr>
                <w:rFonts w:hint="eastAsia" w:ascii="仿宋" w:hAnsi="仿宋" w:eastAsia="仿宋" w:cs="仿宋"/>
                <w:b/>
                <w:bCs/>
                <w:color w:val="auto"/>
                <w:kern w:val="0"/>
                <w:szCs w:val="21"/>
                <w:highlight w:val="none"/>
              </w:rPr>
            </w:pPr>
            <w:r>
              <w:rPr>
                <w:rFonts w:hint="eastAsia" w:ascii="仿宋" w:hAnsi="仿宋" w:eastAsia="仿宋" w:cs="仿宋"/>
                <w:color w:val="auto"/>
                <w:szCs w:val="21"/>
                <w:highlight w:val="none"/>
              </w:rPr>
              <w:t>8</w:t>
            </w:r>
          </w:p>
        </w:tc>
      </w:tr>
      <w:tr w14:paraId="66A8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93" w:type="dxa"/>
            <w:noWrap w:val="0"/>
            <w:vAlign w:val="center"/>
          </w:tcPr>
          <w:p w14:paraId="7368D1BC">
            <w:pPr>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bCs/>
                <w:color w:val="auto"/>
                <w:szCs w:val="21"/>
                <w:highlight w:val="none"/>
              </w:rPr>
              <w:t>2.9</w:t>
            </w:r>
          </w:p>
        </w:tc>
        <w:tc>
          <w:tcPr>
            <w:tcW w:w="1487" w:type="dxa"/>
            <w:noWrap w:val="0"/>
            <w:vAlign w:val="center"/>
          </w:tcPr>
          <w:p w14:paraId="13CAA90B">
            <w:pPr>
              <w:spacing w:line="400" w:lineRule="exact"/>
              <w:jc w:val="center"/>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工程施工的重点和难点及保证措施</w:t>
            </w:r>
          </w:p>
        </w:tc>
        <w:tc>
          <w:tcPr>
            <w:tcW w:w="6174" w:type="dxa"/>
            <w:noWrap w:val="0"/>
            <w:vAlign w:val="center"/>
          </w:tcPr>
          <w:p w14:paraId="03EED3A7">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分）针对本工程的特点，详细阐述了本工程的重点和难点，解决重点和难点问题的方法合理、可行。</w:t>
            </w:r>
          </w:p>
          <w:p w14:paraId="53665AE5">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分）针对本工程的特点，阐述了本工程的重点和难点，解决重点和难点问题的方法合理。</w:t>
            </w:r>
          </w:p>
          <w:p w14:paraId="2329BB09">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分）简单阐述了本工程的重点和难点，解决重点和难点问题的方法一般。</w:t>
            </w:r>
          </w:p>
          <w:p w14:paraId="09604971">
            <w:pPr>
              <w:spacing w:line="400" w:lineRule="exact"/>
              <w:jc w:val="left"/>
              <w:rPr>
                <w:rFonts w:hint="eastAsia" w:ascii="仿宋" w:hAnsi="仿宋" w:eastAsia="仿宋" w:cs="仿宋"/>
                <w:bCs/>
                <w:color w:val="auto"/>
                <w:kern w:val="0"/>
                <w:szCs w:val="21"/>
                <w:highlight w:val="none"/>
              </w:rPr>
            </w:pPr>
            <w:r>
              <w:rPr>
                <w:rFonts w:hint="eastAsia" w:ascii="仿宋" w:hAnsi="仿宋" w:eastAsia="仿宋" w:cs="仿宋"/>
                <w:color w:val="auto"/>
                <w:szCs w:val="21"/>
                <w:highlight w:val="none"/>
              </w:rPr>
              <w:t>一档（2 分）未阐述本工程的重点和难点，无解决及保证措施重点和难点问题的方法。</w:t>
            </w:r>
          </w:p>
        </w:tc>
        <w:tc>
          <w:tcPr>
            <w:tcW w:w="851" w:type="dxa"/>
            <w:noWrap w:val="0"/>
            <w:vAlign w:val="center"/>
          </w:tcPr>
          <w:p w14:paraId="3F5EC9A3">
            <w:pPr>
              <w:spacing w:line="40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8</w:t>
            </w:r>
          </w:p>
        </w:tc>
      </w:tr>
      <w:tr w14:paraId="526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452C9B30">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Cs/>
                <w:color w:val="auto"/>
                <w:szCs w:val="21"/>
                <w:highlight w:val="none"/>
              </w:rPr>
              <w:t>2.10</w:t>
            </w:r>
          </w:p>
        </w:tc>
        <w:tc>
          <w:tcPr>
            <w:tcW w:w="1487" w:type="dxa"/>
            <w:noWrap w:val="0"/>
            <w:vAlign w:val="center"/>
          </w:tcPr>
          <w:p w14:paraId="58681E12">
            <w:pPr>
              <w:spacing w:line="400" w:lineRule="exact"/>
              <w:jc w:val="center"/>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施工总平面布置图</w:t>
            </w:r>
          </w:p>
        </w:tc>
        <w:tc>
          <w:tcPr>
            <w:tcW w:w="6174" w:type="dxa"/>
            <w:noWrap w:val="0"/>
            <w:vAlign w:val="center"/>
          </w:tcPr>
          <w:p w14:paraId="0545EC89">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四档（8 分）有施工总平面布置图，总体布置有针对性、安排科学合理，完全满足施工需要，符合安全、文明生产要求。</w:t>
            </w:r>
          </w:p>
          <w:p w14:paraId="6130033B">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三档（6 分）有施工总平面布置图，总体布置基本合理，能满足施工需要。</w:t>
            </w:r>
          </w:p>
          <w:p w14:paraId="2FA88762">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二档（4 分）有施工总平面布置图，总体布置基本合理，基本满足施工需要。</w:t>
            </w:r>
          </w:p>
          <w:p w14:paraId="3F0BF40A">
            <w:pPr>
              <w:spacing w:line="400" w:lineRule="exact"/>
              <w:jc w:val="left"/>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一档（2 分）有施工总平面布置图，总体布置不合理，不符合安全、文明生产要求。</w:t>
            </w:r>
          </w:p>
        </w:tc>
        <w:tc>
          <w:tcPr>
            <w:tcW w:w="851" w:type="dxa"/>
            <w:noWrap w:val="0"/>
            <w:vAlign w:val="center"/>
          </w:tcPr>
          <w:p w14:paraId="37811D58">
            <w:pPr>
              <w:spacing w:line="400" w:lineRule="exact"/>
              <w:jc w:val="center"/>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8</w:t>
            </w:r>
          </w:p>
        </w:tc>
      </w:tr>
      <w:tr w14:paraId="7B9D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3" w:type="dxa"/>
            <w:noWrap w:val="0"/>
            <w:vAlign w:val="center"/>
          </w:tcPr>
          <w:p w14:paraId="3E40A5FD">
            <w:pPr>
              <w:widowControl/>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1487" w:type="dxa"/>
            <w:noWrap w:val="0"/>
            <w:vAlign w:val="center"/>
          </w:tcPr>
          <w:p w14:paraId="060AD069">
            <w:pPr>
              <w:widowControl/>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商务分</w:t>
            </w:r>
          </w:p>
        </w:tc>
        <w:tc>
          <w:tcPr>
            <w:tcW w:w="6174" w:type="dxa"/>
            <w:noWrap w:val="0"/>
            <w:vAlign w:val="center"/>
          </w:tcPr>
          <w:p w14:paraId="20DE118D">
            <w:pPr>
              <w:widowControl/>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评审标准</w:t>
            </w:r>
          </w:p>
        </w:tc>
        <w:tc>
          <w:tcPr>
            <w:tcW w:w="851" w:type="dxa"/>
            <w:noWrap w:val="0"/>
            <w:vAlign w:val="center"/>
          </w:tcPr>
          <w:p w14:paraId="3E7A59EE">
            <w:pPr>
              <w:widowControl/>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10分</w:t>
            </w:r>
          </w:p>
        </w:tc>
      </w:tr>
      <w:tr w14:paraId="7E96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93" w:type="dxa"/>
            <w:noWrap w:val="0"/>
            <w:vAlign w:val="center"/>
          </w:tcPr>
          <w:p w14:paraId="6C273900">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3.1</w:t>
            </w:r>
          </w:p>
        </w:tc>
        <w:tc>
          <w:tcPr>
            <w:tcW w:w="1487" w:type="dxa"/>
            <w:noWrap w:val="0"/>
            <w:vAlign w:val="center"/>
          </w:tcPr>
          <w:p w14:paraId="288FEBEB">
            <w:pPr>
              <w:spacing w:line="360" w:lineRule="auto"/>
              <w:jc w:val="center"/>
              <w:rPr>
                <w:rFonts w:hint="eastAsia" w:ascii="仿宋" w:hAnsi="仿宋" w:eastAsia="仿宋" w:cs="仿宋"/>
                <w:bCs/>
                <w:color w:val="auto"/>
                <w:highlight w:val="none"/>
              </w:rPr>
            </w:pPr>
            <w:r>
              <w:rPr>
                <w:rFonts w:hint="eastAsia" w:ascii="仿宋" w:hAnsi="仿宋" w:eastAsia="仿宋" w:cs="仿宋"/>
                <w:bCs/>
                <w:color w:val="auto"/>
                <w:highlight w:val="none"/>
              </w:rPr>
              <w:t>项目管理机构配备分（4分）</w:t>
            </w:r>
          </w:p>
          <w:p w14:paraId="4A682566">
            <w:pPr>
              <w:spacing w:line="360" w:lineRule="auto"/>
              <w:jc w:val="center"/>
              <w:rPr>
                <w:rFonts w:hint="eastAsia" w:ascii="仿宋" w:hAnsi="仿宋" w:eastAsia="仿宋" w:cs="仿宋"/>
                <w:bCs/>
                <w:color w:val="auto"/>
                <w:szCs w:val="21"/>
                <w:highlight w:val="none"/>
              </w:rPr>
            </w:pPr>
          </w:p>
        </w:tc>
        <w:tc>
          <w:tcPr>
            <w:tcW w:w="6174" w:type="dxa"/>
            <w:noWrap w:val="0"/>
            <w:vAlign w:val="top"/>
          </w:tcPr>
          <w:p w14:paraId="7096CB86">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（1）拟投入本工程的项目经理具有</w:t>
            </w:r>
            <w:r>
              <w:rPr>
                <w:rFonts w:hint="eastAsia" w:ascii="仿宋" w:hAnsi="仿宋" w:eastAsia="仿宋" w:cs="仿宋"/>
                <w:color w:val="auto"/>
                <w:highlight w:val="none"/>
                <w:lang w:eastAsia="zh-CN"/>
              </w:rPr>
              <w:t>公路工程贰级（含贰级）</w:t>
            </w:r>
            <w:r>
              <w:rPr>
                <w:rFonts w:hint="eastAsia" w:ascii="仿宋" w:hAnsi="仿宋" w:eastAsia="仿宋" w:cs="仿宋"/>
                <w:color w:val="auto"/>
                <w:highlight w:val="none"/>
              </w:rPr>
              <w:t>以上注册建造师执业资格，并具备有效的安全生产考核合格证书（B类）的得1分，此项满分1分；</w:t>
            </w:r>
          </w:p>
          <w:p w14:paraId="5BB7203E">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（2）技术负责人具有工程类中级以上（含中级）职称的，得1分，此项满分1分；</w:t>
            </w:r>
          </w:p>
          <w:p w14:paraId="7AEB2EE0">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（3）拟投入本项目的安全员、施工员、质检（量）员、材料员具有相应岗位资格证书，且拟投入的项目管理人员符合国家及广西壮族自治区的规定的，每个人员得0.5分，此项满分2分。</w:t>
            </w:r>
          </w:p>
          <w:p w14:paraId="4BC772F9">
            <w:pPr>
              <w:spacing w:line="360" w:lineRule="auto"/>
              <w:ind w:firstLine="42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注:须提供上述加分人员相关证明材料及</w:t>
            </w:r>
            <w:r>
              <w:rPr>
                <w:rFonts w:hint="eastAsia" w:ascii="仿宋" w:hAnsi="仿宋" w:eastAsia="仿宋" w:cs="仿宋"/>
                <w:b/>
                <w:color w:val="auto"/>
                <w:highlight w:val="none"/>
              </w:rPr>
              <w:t>供应商为其依法缴纳社会保险（</w:t>
            </w:r>
            <w:r>
              <w:rPr>
                <w:rFonts w:hint="eastAsia" w:ascii="仿宋" w:hAnsi="仿宋" w:eastAsia="仿宋" w:cs="仿宋"/>
                <w:b/>
                <w:color w:val="auto"/>
                <w:highlight w:val="none"/>
                <w:lang w:eastAsia="zh-CN"/>
              </w:rPr>
              <w:t>响应截止之日前半年</w:t>
            </w:r>
            <w:r>
              <w:rPr>
                <w:rFonts w:hint="eastAsia" w:ascii="仿宋" w:hAnsi="仿宋" w:eastAsia="仿宋" w:cs="仿宋"/>
                <w:b/>
                <w:color w:val="auto"/>
                <w:highlight w:val="none"/>
              </w:rPr>
              <w:t>内任意</w:t>
            </w:r>
            <w:r>
              <w:rPr>
                <w:rFonts w:hint="eastAsia" w:ascii="仿宋" w:hAnsi="仿宋" w:eastAsia="仿宋" w:cs="仿宋"/>
                <w:b/>
                <w:color w:val="auto"/>
                <w:highlight w:val="none"/>
                <w:lang w:val="en-US" w:eastAsia="zh-CN"/>
              </w:rPr>
              <w:t>1</w:t>
            </w:r>
            <w:r>
              <w:rPr>
                <w:rFonts w:hint="eastAsia" w:ascii="仿宋" w:hAnsi="仿宋" w:eastAsia="仿宋" w:cs="仿宋"/>
                <w:b/>
                <w:color w:val="auto"/>
                <w:highlight w:val="none"/>
              </w:rPr>
              <w:t>个月的证明材料）</w:t>
            </w:r>
            <w:r>
              <w:rPr>
                <w:rFonts w:hint="eastAsia" w:ascii="仿宋" w:hAnsi="仿宋" w:eastAsia="仿宋" w:cs="仿宋"/>
                <w:color w:val="auto"/>
                <w:highlight w:val="none"/>
              </w:rPr>
              <w:t>等复印件，并加盖供应商电子签章。</w:t>
            </w:r>
          </w:p>
        </w:tc>
        <w:tc>
          <w:tcPr>
            <w:tcW w:w="851" w:type="dxa"/>
            <w:noWrap w:val="0"/>
            <w:vAlign w:val="center"/>
          </w:tcPr>
          <w:p w14:paraId="7864729D">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w:t>
            </w:r>
          </w:p>
        </w:tc>
      </w:tr>
      <w:tr w14:paraId="3911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93" w:type="dxa"/>
            <w:noWrap w:val="0"/>
            <w:vAlign w:val="center"/>
          </w:tcPr>
          <w:p w14:paraId="0ADAB794">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3.2</w:t>
            </w:r>
          </w:p>
        </w:tc>
        <w:tc>
          <w:tcPr>
            <w:tcW w:w="1487" w:type="dxa"/>
            <w:noWrap w:val="0"/>
            <w:vAlign w:val="center"/>
          </w:tcPr>
          <w:p w14:paraId="14210437">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highlight w:val="none"/>
              </w:rPr>
              <w:t>类似项目业绩分（6分）</w:t>
            </w:r>
          </w:p>
        </w:tc>
        <w:tc>
          <w:tcPr>
            <w:tcW w:w="6174" w:type="dxa"/>
            <w:noWrap w:val="0"/>
            <w:vAlign w:val="top"/>
          </w:tcPr>
          <w:p w14:paraId="58ECD067">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202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年1月1日至首次响应文件提交截止时间止，供应商承接过类似项目的，每项得</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分，满分6分。（类似项目指：</w:t>
            </w:r>
            <w:r>
              <w:rPr>
                <w:rFonts w:hint="eastAsia" w:ascii="仿宋" w:hAnsi="仿宋" w:eastAsia="仿宋" w:cs="仿宋"/>
                <w:color w:val="auto"/>
                <w:highlight w:val="none"/>
                <w:lang w:val="en-US" w:eastAsia="zh-CN"/>
              </w:rPr>
              <w:t>公路工程施工</w:t>
            </w:r>
            <w:r>
              <w:rPr>
                <w:rFonts w:hint="eastAsia" w:ascii="仿宋" w:hAnsi="仿宋" w:eastAsia="仿宋" w:cs="仿宋"/>
                <w:color w:val="auto"/>
                <w:highlight w:val="none"/>
              </w:rPr>
              <w:t>项目）</w:t>
            </w:r>
          </w:p>
          <w:p w14:paraId="0997A4A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注：以合同或者中标（成交）通知书扫描件为准，并加盖供应商电子签章。</w:t>
            </w:r>
          </w:p>
        </w:tc>
        <w:tc>
          <w:tcPr>
            <w:tcW w:w="851" w:type="dxa"/>
            <w:noWrap w:val="0"/>
            <w:vAlign w:val="center"/>
          </w:tcPr>
          <w:p w14:paraId="57B2A9BB">
            <w:pPr>
              <w:spacing w:line="360" w:lineRule="auto"/>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6分</w:t>
            </w:r>
          </w:p>
        </w:tc>
      </w:tr>
    </w:tbl>
    <w:p w14:paraId="7E0D9091">
      <w:pPr>
        <w:snapToGrid w:val="0"/>
        <w:spacing w:line="360" w:lineRule="auto"/>
        <w:ind w:firstLine="420" w:firstLineChars="200"/>
        <w:textAlignment w:val="baseline"/>
        <w:rPr>
          <w:rStyle w:val="87"/>
          <w:rFonts w:hint="eastAsia" w:ascii="仿宋" w:hAnsi="仿宋" w:eastAsia="仿宋" w:cs="仿宋"/>
          <w:color w:val="auto"/>
          <w:highlight w:val="none"/>
        </w:rPr>
      </w:pPr>
    </w:p>
    <w:p w14:paraId="4EAEF027">
      <w:pPr>
        <w:snapToGrid w:val="0"/>
        <w:spacing w:line="360" w:lineRule="auto"/>
        <w:ind w:firstLine="420" w:firstLineChars="200"/>
        <w:textAlignment w:val="baseline"/>
        <w:rPr>
          <w:rStyle w:val="87"/>
          <w:rFonts w:hint="eastAsia" w:ascii="仿宋" w:hAnsi="仿宋" w:eastAsia="仿宋" w:cs="仿宋"/>
          <w:color w:val="auto"/>
          <w:highlight w:val="none"/>
        </w:rPr>
      </w:pPr>
      <w:r>
        <w:rPr>
          <w:rStyle w:val="87"/>
          <w:rFonts w:hint="eastAsia" w:ascii="仿宋" w:hAnsi="仿宋" w:eastAsia="仿宋" w:cs="仿宋"/>
          <w:color w:val="auto"/>
          <w:highlight w:val="none"/>
        </w:rPr>
        <w:t>8.2商务技术评审因素为客观评分项的，应在评分项目或评分标准中予以标注为“客观分”。对供应商的客观评分项目，各评审专家评分应当一致。</w:t>
      </w:r>
    </w:p>
    <w:p w14:paraId="12B11A92">
      <w:pPr>
        <w:snapToGrid w:val="0"/>
        <w:spacing w:line="360" w:lineRule="auto"/>
        <w:ind w:firstLine="420" w:firstLineChars="200"/>
        <w:textAlignment w:val="baseline"/>
        <w:rPr>
          <w:rStyle w:val="87"/>
          <w:rFonts w:hint="eastAsia" w:ascii="仿宋" w:hAnsi="仿宋" w:eastAsia="仿宋" w:cs="仿宋"/>
          <w:color w:val="auto"/>
          <w:highlight w:val="none"/>
        </w:rPr>
      </w:pPr>
      <w:r>
        <w:rPr>
          <w:rStyle w:val="87"/>
          <w:rFonts w:hint="eastAsia" w:ascii="仿宋" w:hAnsi="仿宋" w:eastAsia="仿宋" w:cs="仿宋"/>
          <w:color w:val="auto"/>
          <w:highlight w:val="none"/>
        </w:rPr>
        <w:t>8.3.终止竞争性磋商采购活动</w:t>
      </w:r>
    </w:p>
    <w:p w14:paraId="65486362">
      <w:pPr>
        <w:snapToGrid w:val="0"/>
        <w:spacing w:line="360" w:lineRule="auto"/>
        <w:ind w:firstLine="420" w:firstLineChars="200"/>
        <w:textAlignment w:val="baseline"/>
        <w:rPr>
          <w:rStyle w:val="87"/>
          <w:rFonts w:hint="eastAsia" w:ascii="仿宋" w:hAnsi="仿宋" w:eastAsia="仿宋" w:cs="仿宋"/>
          <w:color w:val="auto"/>
          <w:highlight w:val="none"/>
        </w:rPr>
      </w:pPr>
      <w:r>
        <w:rPr>
          <w:rStyle w:val="87"/>
          <w:rFonts w:hint="eastAsia" w:ascii="仿宋" w:hAnsi="仿宋" w:eastAsia="仿宋" w:cs="仿宋"/>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D8DCAF2">
      <w:pPr>
        <w:pStyle w:val="86"/>
        <w:widowControl/>
        <w:snapToGrid w:val="0"/>
        <w:spacing w:before="0" w:after="0" w:line="360" w:lineRule="auto"/>
        <w:jc w:val="center"/>
        <w:outlineLvl w:val="1"/>
        <w:rPr>
          <w:rStyle w:val="87"/>
          <w:rFonts w:hint="eastAsia" w:ascii="仿宋" w:hAnsi="仿宋" w:eastAsia="仿宋" w:cs="仿宋"/>
          <w:b w:val="0"/>
          <w:color w:val="auto"/>
          <w:sz w:val="32"/>
          <w:szCs w:val="32"/>
          <w:highlight w:val="none"/>
        </w:rPr>
      </w:pPr>
      <w:bookmarkStart w:id="80" w:name="_Toc23080"/>
      <w:bookmarkStart w:id="81" w:name="_Toc19071"/>
      <w:r>
        <w:rPr>
          <w:rStyle w:val="87"/>
          <w:rFonts w:hint="eastAsia" w:ascii="仿宋" w:hAnsi="仿宋" w:eastAsia="仿宋" w:cs="仿宋"/>
          <w:b w:val="0"/>
          <w:color w:val="auto"/>
          <w:sz w:val="32"/>
          <w:szCs w:val="32"/>
          <w:highlight w:val="none"/>
        </w:rPr>
        <w:t>第二节 评标报告</w:t>
      </w:r>
      <w:bookmarkEnd w:id="80"/>
      <w:bookmarkEnd w:id="81"/>
    </w:p>
    <w:p w14:paraId="1C2BD7FE">
      <w:pPr>
        <w:snapToGrid w:val="0"/>
        <w:spacing w:line="360" w:lineRule="auto"/>
        <w:ind w:firstLine="422" w:firstLineChars="175"/>
        <w:textAlignment w:val="baseline"/>
        <w:rPr>
          <w:rStyle w:val="87"/>
          <w:rFonts w:hint="eastAsia" w:ascii="仿宋" w:hAnsi="仿宋" w:eastAsia="仿宋" w:cs="仿宋"/>
          <w:b/>
          <w:bCs/>
          <w:color w:val="auto"/>
          <w:sz w:val="24"/>
          <w:szCs w:val="32"/>
          <w:highlight w:val="none"/>
        </w:rPr>
      </w:pPr>
      <w:r>
        <w:rPr>
          <w:rStyle w:val="87"/>
          <w:rFonts w:hint="eastAsia" w:ascii="仿宋" w:hAnsi="仿宋" w:eastAsia="仿宋" w:cs="仿宋"/>
          <w:b/>
          <w:bCs/>
          <w:color w:val="auto"/>
          <w:sz w:val="24"/>
          <w:szCs w:val="32"/>
          <w:highlight w:val="none"/>
        </w:rPr>
        <w:t>1.成交标准</w:t>
      </w:r>
    </w:p>
    <w:p w14:paraId="053FC040">
      <w:pPr>
        <w:snapToGrid w:val="0"/>
        <w:spacing w:line="360" w:lineRule="auto"/>
        <w:ind w:firstLine="420" w:firstLineChars="200"/>
        <w:textAlignment w:val="baseline"/>
        <w:rPr>
          <w:rStyle w:val="87"/>
          <w:rFonts w:hint="eastAsia" w:ascii="仿宋" w:hAnsi="仿宋" w:eastAsia="仿宋" w:cs="仿宋"/>
          <w:color w:val="auto"/>
          <w:sz w:val="24"/>
          <w:highlight w:val="none"/>
        </w:rPr>
      </w:pPr>
      <w:r>
        <w:rPr>
          <w:rStyle w:val="87"/>
          <w:rFonts w:hint="eastAsia" w:ascii="仿宋" w:hAnsi="仿宋" w:eastAsia="仿宋" w:cs="仿宋"/>
          <w:bCs/>
          <w:color w:val="auto"/>
          <w:szCs w:val="21"/>
          <w:highlight w:val="none"/>
        </w:rPr>
        <w:t>由磋商小组根据综合评分情况，按照评审得分由高到低顺序推荐3名成交候选供应商</w:t>
      </w:r>
      <w:r>
        <w:rPr>
          <w:rStyle w:val="87"/>
          <w:rFonts w:hint="eastAsia" w:ascii="仿宋" w:hAnsi="仿宋" w:eastAsia="仿宋" w:cs="仿宋"/>
          <w:color w:val="auto"/>
          <w:highlight w:val="none"/>
        </w:rPr>
        <w:t>,并在线编写电子评审报告</w:t>
      </w:r>
      <w:r>
        <w:rPr>
          <w:rStyle w:val="87"/>
          <w:rFonts w:hint="eastAsia" w:ascii="仿宋" w:hAnsi="仿宋" w:eastAsia="仿宋" w:cs="仿宋"/>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666E14">
      <w:pPr>
        <w:snapToGrid w:val="0"/>
        <w:spacing w:line="360" w:lineRule="auto"/>
        <w:ind w:firstLine="422" w:firstLineChars="175"/>
        <w:textAlignment w:val="baseline"/>
        <w:rPr>
          <w:rStyle w:val="87"/>
          <w:rFonts w:hint="eastAsia" w:ascii="仿宋" w:hAnsi="仿宋" w:eastAsia="仿宋" w:cs="仿宋"/>
          <w:b/>
          <w:bCs/>
          <w:color w:val="auto"/>
          <w:sz w:val="24"/>
          <w:szCs w:val="32"/>
          <w:highlight w:val="none"/>
        </w:rPr>
      </w:pPr>
      <w:r>
        <w:rPr>
          <w:rStyle w:val="87"/>
          <w:rFonts w:hint="eastAsia" w:ascii="仿宋" w:hAnsi="仿宋" w:eastAsia="仿宋" w:cs="仿宋"/>
          <w:b/>
          <w:bCs/>
          <w:color w:val="auto"/>
          <w:sz w:val="24"/>
          <w:szCs w:val="32"/>
          <w:highlight w:val="none"/>
        </w:rPr>
        <w:t>2.评标争议事项处理</w:t>
      </w:r>
    </w:p>
    <w:p w14:paraId="4643C9EA">
      <w:pPr>
        <w:pStyle w:val="88"/>
        <w:widowControl/>
        <w:snapToGrid w:val="0"/>
        <w:spacing w:before="0"/>
        <w:ind w:firstLine="420"/>
        <w:rPr>
          <w:rStyle w:val="87"/>
          <w:rFonts w:hint="eastAsia" w:ascii="仿宋" w:hAnsi="仿宋" w:eastAsia="仿宋" w:cs="仿宋"/>
          <w:bCs/>
          <w:color w:val="auto"/>
          <w:sz w:val="32"/>
          <w:szCs w:val="32"/>
          <w:highlight w:val="none"/>
        </w:rPr>
      </w:pPr>
      <w:r>
        <w:rPr>
          <w:rStyle w:val="87"/>
          <w:rFonts w:hint="eastAsia" w:ascii="仿宋" w:hAnsi="仿宋" w:eastAsia="仿宋" w:cs="仿宋"/>
          <w:color w:val="auto"/>
          <w:highlight w:val="none"/>
        </w:rPr>
        <w:t>磋商小组成员对需要共同认定的事项存在争议的，应当按照少数服从多数的原则作出结论。持不同意见的磋商小组成员应当在评标报告上签署不同意见及理由，否则视为同意评标报告。</w:t>
      </w:r>
      <w:bookmarkStart w:id="82" w:name="_Toc5365"/>
    </w:p>
    <w:p w14:paraId="1307146F">
      <w:pPr>
        <w:pStyle w:val="86"/>
        <w:widowControl/>
        <w:snapToGrid w:val="0"/>
        <w:spacing w:line="240" w:lineRule="auto"/>
        <w:jc w:val="center"/>
        <w:outlineLvl w:val="1"/>
        <w:rPr>
          <w:rStyle w:val="87"/>
          <w:rFonts w:hint="eastAsia" w:ascii="仿宋" w:hAnsi="仿宋" w:eastAsia="仿宋" w:cs="仿宋"/>
          <w:b w:val="0"/>
          <w:color w:val="auto"/>
          <w:sz w:val="32"/>
          <w:szCs w:val="32"/>
          <w:highlight w:val="none"/>
        </w:rPr>
      </w:pPr>
      <w:bookmarkStart w:id="83" w:name="_Toc4336"/>
      <w:r>
        <w:rPr>
          <w:rStyle w:val="87"/>
          <w:rFonts w:hint="eastAsia" w:ascii="仿宋" w:hAnsi="仿宋" w:eastAsia="仿宋" w:cs="仿宋"/>
          <w:b w:val="0"/>
          <w:color w:val="auto"/>
          <w:sz w:val="32"/>
          <w:szCs w:val="32"/>
          <w:highlight w:val="none"/>
        </w:rPr>
        <w:t>第三节 评审过程的保密与录像</w:t>
      </w:r>
      <w:bookmarkEnd w:id="82"/>
      <w:bookmarkEnd w:id="83"/>
    </w:p>
    <w:p w14:paraId="6D9863F1">
      <w:pPr>
        <w:snapToGrid w:val="0"/>
        <w:spacing w:line="360" w:lineRule="auto"/>
        <w:ind w:firstLine="422" w:firstLineChars="175"/>
        <w:textAlignment w:val="baseline"/>
        <w:rPr>
          <w:rStyle w:val="87"/>
          <w:rFonts w:hint="eastAsia" w:ascii="仿宋" w:hAnsi="仿宋" w:eastAsia="仿宋" w:cs="仿宋"/>
          <w:b/>
          <w:bCs/>
          <w:color w:val="auto"/>
          <w:sz w:val="24"/>
          <w:szCs w:val="32"/>
          <w:highlight w:val="none"/>
        </w:rPr>
      </w:pPr>
      <w:r>
        <w:rPr>
          <w:rStyle w:val="87"/>
          <w:rFonts w:hint="eastAsia" w:ascii="仿宋" w:hAnsi="仿宋" w:eastAsia="仿宋" w:cs="仿宋"/>
          <w:b/>
          <w:bCs/>
          <w:color w:val="auto"/>
          <w:sz w:val="24"/>
          <w:szCs w:val="32"/>
          <w:highlight w:val="none"/>
        </w:rPr>
        <w:t>1.保密</w:t>
      </w:r>
    </w:p>
    <w:p w14:paraId="7039978B">
      <w:pPr>
        <w:widowControl/>
        <w:snapToGrid w:val="0"/>
        <w:spacing w:line="360" w:lineRule="auto"/>
        <w:ind w:firstLine="420" w:firstLineChars="200"/>
        <w:textAlignment w:val="baseline"/>
        <w:rPr>
          <w:rStyle w:val="87"/>
          <w:rFonts w:hint="eastAsia" w:ascii="仿宋" w:hAnsi="仿宋" w:eastAsia="仿宋" w:cs="仿宋"/>
          <w:color w:val="auto"/>
          <w:highlight w:val="none"/>
        </w:rPr>
      </w:pPr>
      <w:r>
        <w:rPr>
          <w:rStyle w:val="87"/>
          <w:rFonts w:hint="eastAsia" w:ascii="仿宋" w:hAnsi="仿宋" w:eastAsia="仿宋" w:cs="仿宋"/>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38A96FF">
      <w:pPr>
        <w:widowControl/>
        <w:snapToGrid w:val="0"/>
        <w:spacing w:line="360" w:lineRule="auto"/>
        <w:ind w:firstLine="422" w:firstLineChars="175"/>
        <w:textAlignment w:val="baseline"/>
        <w:rPr>
          <w:rStyle w:val="87"/>
          <w:rFonts w:hint="eastAsia" w:ascii="仿宋" w:hAnsi="仿宋" w:eastAsia="仿宋" w:cs="仿宋"/>
          <w:b/>
          <w:bCs/>
          <w:color w:val="auto"/>
          <w:sz w:val="24"/>
          <w:szCs w:val="32"/>
          <w:highlight w:val="none"/>
        </w:rPr>
      </w:pPr>
      <w:r>
        <w:rPr>
          <w:rStyle w:val="87"/>
          <w:rFonts w:hint="eastAsia" w:ascii="仿宋" w:hAnsi="仿宋" w:eastAsia="仿宋" w:cs="仿宋"/>
          <w:b/>
          <w:bCs/>
          <w:color w:val="auto"/>
          <w:sz w:val="24"/>
          <w:szCs w:val="32"/>
          <w:highlight w:val="none"/>
        </w:rPr>
        <w:t>2.录音录像</w:t>
      </w:r>
    </w:p>
    <w:p w14:paraId="28E61B42">
      <w:pPr>
        <w:snapToGrid w:val="0"/>
        <w:spacing w:line="360" w:lineRule="auto"/>
        <w:ind w:firstLine="420" w:firstLineChars="200"/>
        <w:textAlignment w:val="baseline"/>
        <w:rPr>
          <w:rStyle w:val="87"/>
          <w:rFonts w:hint="eastAsia" w:ascii="仿宋" w:hAnsi="仿宋" w:eastAsia="仿宋" w:cs="仿宋"/>
          <w:color w:val="auto"/>
          <w:highlight w:val="none"/>
        </w:rPr>
      </w:pPr>
      <w:r>
        <w:rPr>
          <w:rStyle w:val="87"/>
          <w:rFonts w:hint="eastAsia" w:ascii="仿宋" w:hAnsi="仿宋" w:eastAsia="仿宋" w:cs="仿宋"/>
          <w:color w:val="auto"/>
          <w:highlight w:val="none"/>
        </w:rPr>
        <w:t>采购代理机构对评审工作现场及操作屏幕进行全过程录音录像，录音录像资料作为采购项目文件随其他文件一并存档。</w:t>
      </w:r>
    </w:p>
    <w:p w14:paraId="003BC3CA">
      <w:pPr>
        <w:spacing w:line="360" w:lineRule="auto"/>
        <w:ind w:firstLine="420" w:firstLineChars="200"/>
        <w:jc w:val="center"/>
        <w:outlineLvl w:val="0"/>
        <w:rPr>
          <w:rFonts w:hint="eastAsia" w:ascii="仿宋" w:hAnsi="仿宋" w:eastAsia="仿宋" w:cs="仿宋"/>
          <w:b/>
          <w:bCs/>
          <w:color w:val="auto"/>
          <w:kern w:val="44"/>
          <w:sz w:val="44"/>
          <w:szCs w:val="44"/>
          <w:highlight w:val="none"/>
        </w:rPr>
      </w:pPr>
      <w:r>
        <w:rPr>
          <w:rFonts w:hint="eastAsia" w:ascii="仿宋" w:hAnsi="仿宋" w:eastAsia="仿宋" w:cs="仿宋"/>
          <w:color w:val="auto"/>
          <w:highlight w:val="none"/>
        </w:rPr>
        <w:br w:type="page"/>
      </w:r>
      <w:bookmarkEnd w:id="79"/>
      <w:bookmarkStart w:id="84" w:name="_Toc17394"/>
      <w:bookmarkStart w:id="85" w:name="_Toc4339"/>
      <w:bookmarkStart w:id="86" w:name="_Toc11653"/>
      <w:bookmarkStart w:id="87" w:name="_Toc32402"/>
      <w:bookmarkStart w:id="88" w:name="_Toc80205938"/>
      <w:r>
        <w:rPr>
          <w:rFonts w:hint="eastAsia" w:ascii="仿宋" w:hAnsi="仿宋" w:eastAsia="仿宋" w:cs="仿宋"/>
          <w:b/>
          <w:bCs/>
          <w:color w:val="auto"/>
          <w:sz w:val="44"/>
          <w:szCs w:val="44"/>
          <w:highlight w:val="none"/>
        </w:rPr>
        <w:t>第五章 响应文件格</w:t>
      </w:r>
      <w:bookmarkEnd w:id="84"/>
      <w:r>
        <w:rPr>
          <w:rFonts w:hint="eastAsia" w:ascii="仿宋" w:hAnsi="仿宋" w:eastAsia="仿宋" w:cs="仿宋"/>
          <w:b/>
          <w:bCs/>
          <w:color w:val="auto"/>
          <w:sz w:val="44"/>
          <w:szCs w:val="44"/>
          <w:highlight w:val="none"/>
        </w:rPr>
        <w:t>式</w:t>
      </w:r>
      <w:bookmarkEnd w:id="85"/>
      <w:bookmarkEnd w:id="86"/>
    </w:p>
    <w:p w14:paraId="35D234CC">
      <w:pPr>
        <w:jc w:val="center"/>
        <w:rPr>
          <w:rFonts w:hint="eastAsia" w:ascii="仿宋" w:hAnsi="仿宋" w:eastAsia="仿宋" w:cs="仿宋"/>
          <w:b/>
          <w:bCs/>
          <w:color w:val="auto"/>
          <w:highlight w:val="none"/>
        </w:rPr>
      </w:pPr>
    </w:p>
    <w:p w14:paraId="76198209">
      <w:pPr>
        <w:pStyle w:val="3"/>
        <w:jc w:val="center"/>
        <w:rPr>
          <w:rFonts w:hint="eastAsia" w:ascii="仿宋" w:hAnsi="仿宋" w:eastAsia="仿宋" w:cs="仿宋"/>
          <w:b w:val="0"/>
          <w:bCs w:val="0"/>
          <w:color w:val="auto"/>
          <w:highlight w:val="none"/>
        </w:rPr>
      </w:pPr>
      <w:bookmarkStart w:id="89" w:name="_Toc15495"/>
      <w:bookmarkStart w:id="90" w:name="_Toc300"/>
      <w:r>
        <w:rPr>
          <w:rFonts w:hint="eastAsia" w:ascii="仿宋" w:hAnsi="仿宋" w:eastAsia="仿宋" w:cs="仿宋"/>
          <w:b w:val="0"/>
          <w:bCs w:val="0"/>
          <w:color w:val="auto"/>
          <w:highlight w:val="none"/>
        </w:rPr>
        <w:t>第一节 封面格式</w:t>
      </w:r>
      <w:bookmarkEnd w:id="87"/>
      <w:bookmarkEnd w:id="88"/>
      <w:bookmarkEnd w:id="89"/>
      <w:bookmarkEnd w:id="90"/>
    </w:p>
    <w:p w14:paraId="7D3B848F">
      <w:pPr>
        <w:snapToGrid w:val="0"/>
        <w:spacing w:before="165" w:beforeLines="50" w:after="50"/>
        <w:rPr>
          <w:rFonts w:hint="eastAsia" w:ascii="仿宋" w:hAnsi="仿宋" w:eastAsia="仿宋" w:cs="仿宋"/>
          <w:color w:val="auto"/>
          <w:sz w:val="24"/>
          <w:szCs w:val="20"/>
          <w:highlight w:val="none"/>
        </w:rPr>
      </w:pPr>
    </w:p>
    <w:p w14:paraId="28CA7FC5">
      <w:pPr>
        <w:snapToGrid w:val="0"/>
        <w:spacing w:before="165" w:beforeLines="50" w:after="50"/>
        <w:jc w:val="center"/>
        <w:rPr>
          <w:rFonts w:hint="eastAsia" w:ascii="仿宋" w:hAnsi="仿宋" w:eastAsia="仿宋" w:cs="仿宋"/>
          <w:bCs/>
          <w:color w:val="auto"/>
          <w:sz w:val="24"/>
          <w:szCs w:val="20"/>
          <w:highlight w:val="none"/>
        </w:rPr>
      </w:pPr>
    </w:p>
    <w:p w14:paraId="6B107778">
      <w:pPr>
        <w:snapToGrid w:val="0"/>
        <w:spacing w:before="165" w:beforeLines="50" w:after="50"/>
        <w:jc w:val="center"/>
        <w:rPr>
          <w:rFonts w:hint="eastAsia" w:ascii="仿宋" w:hAnsi="仿宋" w:eastAsia="仿宋" w:cs="仿宋"/>
          <w:b/>
          <w:color w:val="auto"/>
          <w:sz w:val="56"/>
          <w:szCs w:val="56"/>
          <w:highlight w:val="none"/>
        </w:rPr>
      </w:pPr>
      <w:r>
        <w:rPr>
          <w:rFonts w:hint="eastAsia" w:ascii="仿宋" w:hAnsi="仿宋" w:eastAsia="仿宋" w:cs="仿宋"/>
          <w:b/>
          <w:color w:val="auto"/>
          <w:sz w:val="56"/>
          <w:szCs w:val="56"/>
          <w:highlight w:val="none"/>
        </w:rPr>
        <w:t>响  应  文  件</w:t>
      </w:r>
    </w:p>
    <w:p w14:paraId="5F7D46C8">
      <w:pPr>
        <w:snapToGrid w:val="0"/>
        <w:spacing w:before="165" w:beforeLines="50" w:after="50"/>
        <w:rPr>
          <w:rFonts w:hint="eastAsia" w:ascii="仿宋" w:hAnsi="仿宋" w:eastAsia="仿宋" w:cs="仿宋"/>
          <w:bCs/>
          <w:color w:val="auto"/>
          <w:sz w:val="24"/>
          <w:szCs w:val="20"/>
          <w:highlight w:val="none"/>
        </w:rPr>
      </w:pPr>
    </w:p>
    <w:p w14:paraId="48A45E11">
      <w:pPr>
        <w:snapToGrid w:val="0"/>
        <w:spacing w:before="165" w:beforeLines="50" w:after="50"/>
        <w:rPr>
          <w:rFonts w:hint="eastAsia" w:ascii="仿宋" w:hAnsi="仿宋" w:eastAsia="仿宋" w:cs="仿宋"/>
          <w:bCs/>
          <w:color w:val="auto"/>
          <w:sz w:val="24"/>
          <w:szCs w:val="20"/>
          <w:highlight w:val="none"/>
        </w:rPr>
      </w:pPr>
    </w:p>
    <w:p w14:paraId="23B9902E">
      <w:pPr>
        <w:snapToGrid w:val="0"/>
        <w:spacing w:before="165" w:beforeLines="50" w:after="50"/>
        <w:rPr>
          <w:rFonts w:hint="eastAsia" w:ascii="仿宋" w:hAnsi="仿宋" w:eastAsia="仿宋" w:cs="仿宋"/>
          <w:bCs/>
          <w:color w:val="auto"/>
          <w:sz w:val="32"/>
          <w:szCs w:val="32"/>
          <w:highlight w:val="none"/>
        </w:rPr>
      </w:pPr>
    </w:p>
    <w:p w14:paraId="5B17CB52">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65238346">
      <w:pPr>
        <w:snapToGrid w:val="0"/>
        <w:spacing w:before="165" w:beforeLines="50" w:after="50"/>
        <w:ind w:firstLine="480" w:firstLineChars="150"/>
        <w:rPr>
          <w:rFonts w:hint="eastAsia" w:ascii="仿宋" w:hAnsi="仿宋" w:eastAsia="仿宋" w:cs="仿宋"/>
          <w:bCs/>
          <w:color w:val="auto"/>
          <w:sz w:val="32"/>
          <w:szCs w:val="32"/>
          <w:highlight w:val="none"/>
        </w:rPr>
      </w:pPr>
    </w:p>
    <w:p w14:paraId="04185538">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74C16EEA">
      <w:pPr>
        <w:snapToGrid w:val="0"/>
        <w:spacing w:before="165" w:beforeLines="50" w:after="50"/>
        <w:ind w:firstLine="480" w:firstLineChars="150"/>
        <w:rPr>
          <w:rFonts w:hint="eastAsia" w:ascii="仿宋" w:hAnsi="仿宋" w:eastAsia="仿宋" w:cs="仿宋"/>
          <w:bCs/>
          <w:color w:val="auto"/>
          <w:sz w:val="32"/>
          <w:szCs w:val="32"/>
          <w:highlight w:val="none"/>
        </w:rPr>
      </w:pPr>
    </w:p>
    <w:p w14:paraId="6F924597">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6D15B178">
      <w:pPr>
        <w:snapToGrid w:val="0"/>
        <w:spacing w:before="165" w:beforeLines="50" w:after="50"/>
        <w:rPr>
          <w:rFonts w:hint="eastAsia" w:ascii="仿宋" w:hAnsi="仿宋" w:eastAsia="仿宋" w:cs="仿宋"/>
          <w:bCs/>
          <w:color w:val="auto"/>
          <w:sz w:val="32"/>
          <w:szCs w:val="32"/>
          <w:highlight w:val="none"/>
        </w:rPr>
      </w:pPr>
    </w:p>
    <w:p w14:paraId="09542B01">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29B1E3D4">
      <w:pPr>
        <w:snapToGrid w:val="0"/>
        <w:spacing w:before="165" w:beforeLines="50" w:after="50"/>
        <w:rPr>
          <w:rFonts w:hint="eastAsia" w:ascii="仿宋" w:hAnsi="仿宋" w:eastAsia="仿宋" w:cs="仿宋"/>
          <w:bCs/>
          <w:color w:val="auto"/>
          <w:sz w:val="32"/>
          <w:szCs w:val="32"/>
          <w:highlight w:val="none"/>
        </w:rPr>
      </w:pPr>
    </w:p>
    <w:p w14:paraId="08068F38">
      <w:pPr>
        <w:snapToGrid w:val="0"/>
        <w:spacing w:before="165" w:beforeLines="50" w:after="50"/>
        <w:ind w:firstLine="480" w:firstLineChars="150"/>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首次响应文件提交截止时间前不得解密</w:t>
      </w:r>
    </w:p>
    <w:p w14:paraId="458F16EC">
      <w:pPr>
        <w:snapToGrid w:val="0"/>
        <w:spacing w:before="165" w:beforeLines="50" w:after="50"/>
        <w:ind w:firstLine="5440" w:firstLineChars="1700"/>
        <w:jc w:val="center"/>
        <w:rPr>
          <w:rFonts w:hint="eastAsia" w:ascii="仿宋" w:hAnsi="仿宋" w:eastAsia="仿宋" w:cs="仿宋"/>
          <w:bCs/>
          <w:color w:val="auto"/>
          <w:sz w:val="32"/>
          <w:szCs w:val="32"/>
          <w:highlight w:val="none"/>
        </w:rPr>
      </w:pPr>
    </w:p>
    <w:p w14:paraId="0FACAE81">
      <w:pPr>
        <w:snapToGrid w:val="0"/>
        <w:spacing w:before="165" w:beforeLines="50" w:after="50"/>
        <w:ind w:firstLine="645"/>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年    月    日</w:t>
      </w:r>
    </w:p>
    <w:p w14:paraId="45440572">
      <w:pPr>
        <w:rPr>
          <w:rFonts w:hint="eastAsia" w:ascii="仿宋" w:hAnsi="仿宋" w:eastAsia="仿宋" w:cs="仿宋"/>
          <w:color w:val="auto"/>
          <w:highlight w:val="none"/>
        </w:rPr>
        <w:sectPr>
          <w:pgSz w:w="11905" w:h="16838"/>
          <w:pgMar w:top="1440" w:right="1080" w:bottom="1440" w:left="1080" w:header="720" w:footer="720" w:gutter="0"/>
          <w:pgNumType w:fmt="decimal"/>
          <w:cols w:space="720" w:num="1"/>
          <w:docGrid w:type="lines" w:linePitch="331" w:charSpace="0"/>
        </w:sectPr>
      </w:pPr>
    </w:p>
    <w:p w14:paraId="62130C11">
      <w:pPr>
        <w:pStyle w:val="3"/>
        <w:jc w:val="center"/>
        <w:rPr>
          <w:rFonts w:hint="eastAsia" w:ascii="仿宋" w:hAnsi="仿宋" w:eastAsia="仿宋" w:cs="仿宋"/>
          <w:b w:val="0"/>
          <w:color w:val="auto"/>
          <w:highlight w:val="none"/>
        </w:rPr>
      </w:pPr>
      <w:bookmarkStart w:id="91" w:name="_Toc1390"/>
      <w:bookmarkStart w:id="92" w:name="_Toc22829"/>
      <w:bookmarkStart w:id="93" w:name="_Toc1555"/>
      <w:bookmarkStart w:id="94" w:name="_Toc80205939"/>
      <w:r>
        <w:rPr>
          <w:rFonts w:hint="eastAsia" w:ascii="仿宋" w:hAnsi="仿宋" w:eastAsia="仿宋" w:cs="仿宋"/>
          <w:b w:val="0"/>
          <w:color w:val="auto"/>
          <w:highlight w:val="none"/>
        </w:rPr>
        <w:t>第二节 资格证明文件格式</w:t>
      </w:r>
      <w:bookmarkEnd w:id="91"/>
      <w:bookmarkEnd w:id="92"/>
      <w:bookmarkEnd w:id="93"/>
      <w:bookmarkEnd w:id="94"/>
    </w:p>
    <w:p w14:paraId="7C8E0A1F">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71359586">
      <w:pPr>
        <w:snapToGrid w:val="0"/>
        <w:spacing w:before="120" w:beforeLines="50" w:after="50"/>
        <w:rPr>
          <w:rFonts w:hint="eastAsia" w:ascii="仿宋" w:hAnsi="仿宋" w:eastAsia="仿宋" w:cs="仿宋"/>
          <w:color w:val="auto"/>
          <w:sz w:val="24"/>
          <w:szCs w:val="20"/>
          <w:highlight w:val="none"/>
        </w:rPr>
      </w:pPr>
    </w:p>
    <w:p w14:paraId="0A806499">
      <w:pPr>
        <w:snapToGrid w:val="0"/>
        <w:spacing w:before="120" w:beforeLines="50" w:after="50"/>
        <w:rPr>
          <w:rFonts w:hint="eastAsia" w:ascii="仿宋" w:hAnsi="仿宋" w:eastAsia="仿宋" w:cs="仿宋"/>
          <w:color w:val="auto"/>
          <w:sz w:val="24"/>
          <w:szCs w:val="20"/>
          <w:highlight w:val="none"/>
        </w:rPr>
      </w:pPr>
    </w:p>
    <w:p w14:paraId="1F2969F2">
      <w:pPr>
        <w:snapToGrid w:val="0"/>
        <w:spacing w:before="120" w:beforeLines="50" w:after="50"/>
        <w:jc w:val="center"/>
        <w:rPr>
          <w:rFonts w:hint="eastAsia" w:ascii="仿宋" w:hAnsi="仿宋" w:eastAsia="仿宋" w:cs="仿宋"/>
          <w:b/>
          <w:color w:val="auto"/>
          <w:sz w:val="52"/>
          <w:szCs w:val="52"/>
          <w:highlight w:val="none"/>
        </w:rPr>
      </w:pPr>
      <w:r>
        <w:rPr>
          <w:rFonts w:hint="eastAsia" w:ascii="仿宋" w:hAnsi="仿宋" w:eastAsia="仿宋" w:cs="仿宋"/>
          <w:b/>
          <w:color w:val="auto"/>
          <w:sz w:val="52"/>
          <w:szCs w:val="52"/>
          <w:highlight w:val="none"/>
        </w:rPr>
        <w:t>资格证明文件（封面）</w:t>
      </w:r>
    </w:p>
    <w:p w14:paraId="139029F2">
      <w:pPr>
        <w:snapToGrid w:val="0"/>
        <w:spacing w:before="120" w:beforeLines="50" w:after="50"/>
        <w:rPr>
          <w:rFonts w:hint="eastAsia" w:ascii="仿宋" w:hAnsi="仿宋" w:eastAsia="仿宋" w:cs="仿宋"/>
          <w:bCs/>
          <w:color w:val="auto"/>
          <w:sz w:val="24"/>
          <w:szCs w:val="20"/>
          <w:highlight w:val="none"/>
        </w:rPr>
      </w:pPr>
    </w:p>
    <w:p w14:paraId="40737495">
      <w:pPr>
        <w:snapToGrid w:val="0"/>
        <w:spacing w:before="120" w:beforeLines="50" w:after="50"/>
        <w:rPr>
          <w:rFonts w:hint="eastAsia" w:ascii="仿宋" w:hAnsi="仿宋" w:eastAsia="仿宋" w:cs="仿宋"/>
          <w:bCs/>
          <w:color w:val="auto"/>
          <w:sz w:val="24"/>
          <w:szCs w:val="20"/>
          <w:highlight w:val="none"/>
        </w:rPr>
      </w:pPr>
    </w:p>
    <w:p w14:paraId="2ABEDFC0">
      <w:pPr>
        <w:snapToGrid w:val="0"/>
        <w:spacing w:before="120" w:beforeLines="50" w:after="50"/>
        <w:rPr>
          <w:rFonts w:hint="eastAsia" w:ascii="仿宋" w:hAnsi="仿宋" w:eastAsia="仿宋" w:cs="仿宋"/>
          <w:bCs/>
          <w:color w:val="auto"/>
          <w:sz w:val="24"/>
          <w:szCs w:val="20"/>
          <w:highlight w:val="none"/>
        </w:rPr>
      </w:pPr>
    </w:p>
    <w:p w14:paraId="3692DB62">
      <w:pPr>
        <w:snapToGrid w:val="0"/>
        <w:spacing w:before="120" w:beforeLines="50" w:after="50"/>
        <w:rPr>
          <w:rFonts w:hint="eastAsia" w:ascii="仿宋" w:hAnsi="仿宋" w:eastAsia="仿宋" w:cs="仿宋"/>
          <w:bCs/>
          <w:color w:val="auto"/>
          <w:sz w:val="24"/>
          <w:szCs w:val="20"/>
          <w:highlight w:val="none"/>
        </w:rPr>
      </w:pPr>
    </w:p>
    <w:p w14:paraId="67B94034">
      <w:pPr>
        <w:snapToGrid w:val="0"/>
        <w:spacing w:before="120" w:beforeLines="50" w:after="50"/>
        <w:rPr>
          <w:rFonts w:hint="eastAsia" w:ascii="仿宋" w:hAnsi="仿宋" w:eastAsia="仿宋" w:cs="仿宋"/>
          <w:bCs/>
          <w:color w:val="auto"/>
          <w:sz w:val="24"/>
          <w:szCs w:val="20"/>
          <w:highlight w:val="none"/>
        </w:rPr>
      </w:pPr>
    </w:p>
    <w:p w14:paraId="7C95EE3C">
      <w:pPr>
        <w:snapToGrid w:val="0"/>
        <w:spacing w:before="120" w:beforeLines="50" w:after="50"/>
        <w:ind w:firstLine="720" w:firstLineChars="225"/>
        <w:rPr>
          <w:rFonts w:hint="eastAsia" w:ascii="仿宋" w:hAnsi="仿宋" w:eastAsia="仿宋" w:cs="仿宋"/>
          <w:bCs/>
          <w:color w:val="auto"/>
          <w:sz w:val="32"/>
          <w:szCs w:val="32"/>
          <w:highlight w:val="none"/>
        </w:rPr>
      </w:pPr>
    </w:p>
    <w:p w14:paraId="6B4996FA">
      <w:pPr>
        <w:snapToGrid w:val="0"/>
        <w:spacing w:before="120"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25266D7C">
      <w:pPr>
        <w:snapToGrid w:val="0"/>
        <w:spacing w:before="120" w:beforeLines="50" w:after="50"/>
        <w:ind w:firstLine="720" w:firstLineChars="225"/>
        <w:rPr>
          <w:rFonts w:hint="eastAsia" w:ascii="仿宋" w:hAnsi="仿宋" w:eastAsia="仿宋" w:cs="仿宋"/>
          <w:bCs/>
          <w:color w:val="auto"/>
          <w:sz w:val="32"/>
          <w:szCs w:val="32"/>
          <w:highlight w:val="none"/>
        </w:rPr>
      </w:pPr>
    </w:p>
    <w:p w14:paraId="403C1906">
      <w:pPr>
        <w:snapToGrid w:val="0"/>
        <w:spacing w:before="120"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64684C64">
      <w:pPr>
        <w:snapToGrid w:val="0"/>
        <w:spacing w:before="120"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55704492">
      <w:pPr>
        <w:snapToGrid w:val="0"/>
        <w:spacing w:before="120"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24D61977">
      <w:pPr>
        <w:snapToGrid w:val="0"/>
        <w:spacing w:before="120" w:beforeLines="50" w:after="50"/>
        <w:ind w:firstLine="720" w:firstLineChars="225"/>
        <w:rPr>
          <w:rFonts w:hint="eastAsia" w:ascii="仿宋" w:hAnsi="仿宋" w:eastAsia="仿宋" w:cs="仿宋"/>
          <w:bCs/>
          <w:color w:val="auto"/>
          <w:sz w:val="32"/>
          <w:szCs w:val="32"/>
          <w:highlight w:val="none"/>
        </w:rPr>
      </w:pPr>
    </w:p>
    <w:p w14:paraId="0512104A">
      <w:pPr>
        <w:pStyle w:val="7"/>
        <w:snapToGrid w:val="0"/>
        <w:spacing w:before="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68E2A9C6">
      <w:pPr>
        <w:pStyle w:val="7"/>
        <w:snapToGrid w:val="0"/>
        <w:spacing w:before="50" w:after="50"/>
        <w:ind w:firstLine="720" w:firstLineChars="225"/>
        <w:rPr>
          <w:rFonts w:hint="eastAsia" w:ascii="仿宋" w:hAnsi="仿宋" w:eastAsia="仿宋" w:cs="仿宋"/>
          <w:bCs/>
          <w:color w:val="auto"/>
          <w:sz w:val="32"/>
          <w:szCs w:val="32"/>
          <w:highlight w:val="none"/>
        </w:rPr>
      </w:pPr>
    </w:p>
    <w:p w14:paraId="12B08758">
      <w:pPr>
        <w:pStyle w:val="7"/>
        <w:snapToGrid w:val="0"/>
        <w:spacing w:before="50" w:after="50"/>
        <w:ind w:firstLine="720" w:firstLineChars="225"/>
        <w:rPr>
          <w:rFonts w:hint="eastAsia" w:ascii="仿宋" w:hAnsi="仿宋" w:eastAsia="仿宋" w:cs="仿宋"/>
          <w:bCs/>
          <w:color w:val="auto"/>
          <w:sz w:val="32"/>
          <w:szCs w:val="32"/>
          <w:highlight w:val="none"/>
        </w:rPr>
      </w:pPr>
    </w:p>
    <w:p w14:paraId="4255F32E">
      <w:pPr>
        <w:pStyle w:val="7"/>
        <w:snapToGrid w:val="0"/>
        <w:spacing w:before="50" w:after="50"/>
        <w:ind w:firstLine="720" w:firstLineChars="225"/>
        <w:rPr>
          <w:rFonts w:hint="eastAsia" w:ascii="仿宋" w:hAnsi="仿宋" w:eastAsia="仿宋" w:cs="仿宋"/>
          <w:bCs/>
          <w:color w:val="auto"/>
          <w:sz w:val="32"/>
          <w:szCs w:val="32"/>
          <w:highlight w:val="none"/>
        </w:rPr>
      </w:pPr>
    </w:p>
    <w:p w14:paraId="28A437AF">
      <w:pPr>
        <w:pStyle w:val="7"/>
        <w:snapToGrid w:val="0"/>
        <w:spacing w:before="50" w:after="50"/>
        <w:ind w:firstLine="1280" w:firstLineChars="400"/>
        <w:rPr>
          <w:rFonts w:hint="eastAsia" w:ascii="仿宋" w:hAnsi="仿宋" w:eastAsia="仿宋" w:cs="仿宋"/>
          <w:bCs/>
          <w:color w:val="auto"/>
          <w:sz w:val="32"/>
          <w:szCs w:val="32"/>
          <w:highlight w:val="none"/>
        </w:rPr>
      </w:pPr>
    </w:p>
    <w:p w14:paraId="164EB005">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2FC34512">
      <w:pPr>
        <w:snapToGrid w:val="0"/>
        <w:spacing w:before="120" w:beforeLines="50" w:after="50" w:line="360" w:lineRule="auto"/>
        <w:jc w:val="center"/>
        <w:rPr>
          <w:rFonts w:hint="eastAsia" w:ascii="仿宋" w:hAnsi="仿宋" w:eastAsia="仿宋" w:cs="仿宋"/>
          <w:b/>
          <w:color w:val="auto"/>
          <w:kern w:val="0"/>
          <w:sz w:val="36"/>
          <w:szCs w:val="36"/>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kern w:val="0"/>
          <w:sz w:val="36"/>
          <w:szCs w:val="36"/>
          <w:highlight w:val="none"/>
        </w:rPr>
        <w:t>资格证明文件目录</w:t>
      </w:r>
    </w:p>
    <w:p w14:paraId="478AA5A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营业执照(或事业法人登记证或其他工商等登记证明材料)复印件（供应商为自然人的，须提供</w:t>
      </w:r>
      <w:r>
        <w:rPr>
          <w:rFonts w:hint="eastAsia" w:ascii="仿宋" w:hAnsi="仿宋" w:eastAsia="仿宋" w:cs="仿宋"/>
          <w:color w:val="auto"/>
          <w:kern w:val="0"/>
          <w:sz w:val="24"/>
          <w:highlight w:val="none"/>
        </w:rPr>
        <w:t>自然人的身份证明</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……………………………………………………………………（页码）</w:t>
      </w:r>
    </w:p>
    <w:p w14:paraId="76ACB6B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二、符合参与政府采购活动的资格条件依法缴纳税收、社会保障资金等方面的材料………………………………………………………………………………………………（页码）</w:t>
      </w:r>
    </w:p>
    <w:p w14:paraId="2BD41A6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三、财务状况报告方面的材料………………………………………………………………（页码）</w:t>
      </w:r>
    </w:p>
    <w:p w14:paraId="6B1D221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四、供应商直接控股股东信息表</w:t>
      </w:r>
      <w:r>
        <w:rPr>
          <w:rFonts w:hint="eastAsia" w:ascii="仿宋" w:hAnsi="仿宋" w:eastAsia="仿宋" w:cs="仿宋"/>
          <w:color w:val="auto"/>
          <w:kern w:val="0"/>
          <w:sz w:val="24"/>
          <w:highlight w:val="none"/>
        </w:rPr>
        <w:t>……………………………………………………………（页码）</w:t>
      </w:r>
    </w:p>
    <w:p w14:paraId="72A172D5">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五、供应商直接关联关系信息表</w:t>
      </w:r>
      <w:r>
        <w:rPr>
          <w:rFonts w:hint="eastAsia" w:ascii="仿宋" w:hAnsi="仿宋" w:eastAsia="仿宋" w:cs="仿宋"/>
          <w:color w:val="auto"/>
          <w:kern w:val="0"/>
          <w:sz w:val="24"/>
          <w:highlight w:val="none"/>
        </w:rPr>
        <w:t>……………………………………………………………（页码）</w:t>
      </w:r>
    </w:p>
    <w:p w14:paraId="6F5E787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六、资格声明函………………………………………………………………………………（页码）</w:t>
      </w:r>
    </w:p>
    <w:p w14:paraId="4871F81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七、</w:t>
      </w:r>
      <w:r>
        <w:rPr>
          <w:rFonts w:hint="eastAsia" w:ascii="仿宋" w:hAnsi="仿宋" w:eastAsia="仿宋" w:cs="仿宋"/>
          <w:color w:val="auto"/>
          <w:sz w:val="24"/>
          <w:highlight w:val="none"/>
        </w:rPr>
        <w:t>本项目的特定资格要求</w:t>
      </w:r>
      <w:r>
        <w:rPr>
          <w:rFonts w:hint="eastAsia" w:ascii="仿宋" w:hAnsi="仿宋" w:eastAsia="仿宋" w:cs="仿宋"/>
          <w:color w:val="auto"/>
          <w:kern w:val="0"/>
          <w:sz w:val="24"/>
          <w:highlight w:val="none"/>
        </w:rPr>
        <w:t>……………………………………………………………………（页码）</w:t>
      </w:r>
    </w:p>
    <w:p w14:paraId="4A2A3BB2">
      <w:pPr>
        <w:pStyle w:val="89"/>
        <w:ind w:firstLine="0" w:firstLineChars="0"/>
        <w:rPr>
          <w:rFonts w:hint="eastAsia" w:ascii="仿宋" w:hAnsi="仿宋" w:eastAsia="仿宋" w:cs="仿宋"/>
          <w:b/>
          <w:bCs/>
          <w:color w:val="auto"/>
          <w:szCs w:val="24"/>
          <w:highlight w:val="none"/>
        </w:rPr>
      </w:pPr>
      <w:r>
        <w:rPr>
          <w:rFonts w:hint="eastAsia" w:ascii="仿宋" w:hAnsi="仿宋" w:eastAsia="仿宋" w:cs="仿宋"/>
          <w:color w:val="auto"/>
          <w:szCs w:val="24"/>
          <w:highlight w:val="none"/>
        </w:rPr>
        <w:t>八、中小企业声明函或残疾人福利性单位声明函或供应商属于监狱企业的证明材料</w:t>
      </w:r>
      <w:r>
        <w:rPr>
          <w:rFonts w:hint="eastAsia" w:ascii="仿宋" w:hAnsi="仿宋" w:eastAsia="仿宋" w:cs="仿宋"/>
          <w:color w:val="auto"/>
          <w:highlight w:val="none"/>
        </w:rPr>
        <w:t>………………………………………………………………………………………………（页码）</w:t>
      </w:r>
    </w:p>
    <w:p w14:paraId="1B4356CF">
      <w:pPr>
        <w:pStyle w:val="89"/>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九、除磋商文件规定必须提供以外，供应商认为需要提供的其他证明材料</w:t>
      </w:r>
      <w:r>
        <w:rPr>
          <w:rFonts w:hint="eastAsia" w:ascii="仿宋" w:hAnsi="仿宋" w:eastAsia="仿宋" w:cs="仿宋"/>
          <w:color w:val="auto"/>
          <w:highlight w:val="none"/>
        </w:rPr>
        <w:t>……………（页码）</w:t>
      </w:r>
    </w:p>
    <w:p w14:paraId="1A922382">
      <w:pPr>
        <w:pStyle w:val="89"/>
        <w:ind w:firstLine="0" w:firstLineChars="0"/>
        <w:rPr>
          <w:rFonts w:hint="eastAsia" w:ascii="仿宋" w:hAnsi="仿宋" w:eastAsia="仿宋" w:cs="仿宋"/>
          <w:color w:val="auto"/>
          <w:highlight w:val="none"/>
        </w:rPr>
      </w:pPr>
    </w:p>
    <w:p w14:paraId="1A9F808D">
      <w:pPr>
        <w:spacing w:line="360" w:lineRule="auto"/>
        <w:rPr>
          <w:rFonts w:hint="eastAsia" w:ascii="仿宋" w:hAnsi="仿宋" w:eastAsia="仿宋" w:cs="仿宋"/>
          <w:b/>
          <w:bCs/>
          <w:color w:val="auto"/>
          <w:sz w:val="24"/>
          <w:highlight w:val="none"/>
        </w:rPr>
      </w:pPr>
    </w:p>
    <w:p w14:paraId="305B9131">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74E1664F">
      <w:pPr>
        <w:snapToGrid w:val="0"/>
        <w:spacing w:before="120" w:beforeLines="50" w:after="50" w:line="360" w:lineRule="auto"/>
        <w:ind w:left="142" w:firstLine="420" w:firstLineChars="200"/>
        <w:jc w:val="left"/>
        <w:rPr>
          <w:rFonts w:hint="eastAsia" w:ascii="仿宋" w:hAnsi="仿宋" w:eastAsia="仿宋" w:cs="仿宋"/>
          <w:color w:val="auto"/>
          <w:szCs w:val="21"/>
          <w:highlight w:val="none"/>
        </w:rPr>
      </w:pPr>
    </w:p>
    <w:p w14:paraId="0D46B11E">
      <w:pPr>
        <w:spacing w:line="300" w:lineRule="auto"/>
        <w:rPr>
          <w:rFonts w:hint="eastAsia" w:ascii="仿宋" w:hAnsi="仿宋" w:eastAsia="仿宋" w:cs="仿宋"/>
          <w:color w:val="auto"/>
          <w:szCs w:val="21"/>
          <w:highlight w:val="none"/>
        </w:rPr>
      </w:pPr>
    </w:p>
    <w:p w14:paraId="62706839">
      <w:pPr>
        <w:spacing w:line="300" w:lineRule="auto"/>
        <w:rPr>
          <w:rFonts w:hint="eastAsia" w:ascii="仿宋" w:hAnsi="仿宋" w:eastAsia="仿宋" w:cs="仿宋"/>
          <w:color w:val="auto"/>
          <w:szCs w:val="21"/>
          <w:highlight w:val="none"/>
        </w:rPr>
      </w:pPr>
    </w:p>
    <w:p w14:paraId="1E35E645">
      <w:pPr>
        <w:spacing w:line="300" w:lineRule="auto"/>
        <w:rPr>
          <w:rFonts w:hint="eastAsia" w:ascii="仿宋" w:hAnsi="仿宋" w:eastAsia="仿宋" w:cs="仿宋"/>
          <w:color w:val="auto"/>
          <w:szCs w:val="21"/>
          <w:highlight w:val="none"/>
        </w:rPr>
      </w:pPr>
    </w:p>
    <w:p w14:paraId="22A6F5CC">
      <w:pPr>
        <w:spacing w:line="300" w:lineRule="auto"/>
        <w:rPr>
          <w:rFonts w:hint="eastAsia" w:ascii="仿宋" w:hAnsi="仿宋" w:eastAsia="仿宋" w:cs="仿宋"/>
          <w:color w:val="auto"/>
          <w:szCs w:val="21"/>
          <w:highlight w:val="none"/>
        </w:rPr>
      </w:pPr>
    </w:p>
    <w:p w14:paraId="5AFF8EFD">
      <w:pPr>
        <w:spacing w:line="300" w:lineRule="auto"/>
        <w:rPr>
          <w:rFonts w:hint="eastAsia" w:ascii="仿宋" w:hAnsi="仿宋" w:eastAsia="仿宋" w:cs="仿宋"/>
          <w:color w:val="auto"/>
          <w:szCs w:val="21"/>
          <w:highlight w:val="none"/>
        </w:rPr>
      </w:pPr>
    </w:p>
    <w:p w14:paraId="76E95928">
      <w:pPr>
        <w:spacing w:line="300" w:lineRule="auto"/>
        <w:rPr>
          <w:rFonts w:hint="eastAsia" w:ascii="仿宋" w:hAnsi="仿宋" w:eastAsia="仿宋" w:cs="仿宋"/>
          <w:color w:val="auto"/>
          <w:szCs w:val="21"/>
          <w:highlight w:val="none"/>
        </w:rPr>
      </w:pPr>
    </w:p>
    <w:p w14:paraId="7487091C">
      <w:pPr>
        <w:pStyle w:val="17"/>
        <w:spacing w:line="360" w:lineRule="auto"/>
        <w:ind w:firstLine="602" w:firstLineChars="200"/>
        <w:rPr>
          <w:rFonts w:hint="eastAsia" w:ascii="仿宋" w:hAnsi="仿宋" w:eastAsia="仿宋" w:cs="仿宋"/>
          <w:b/>
          <w:color w:val="auto"/>
          <w:sz w:val="30"/>
          <w:szCs w:val="30"/>
          <w:highlight w:val="none"/>
        </w:rPr>
        <w:sectPr>
          <w:pgSz w:w="11910" w:h="16840"/>
          <w:pgMar w:top="1440" w:right="1080" w:bottom="1440" w:left="1080" w:header="720" w:footer="720" w:gutter="0"/>
          <w:pgNumType w:fmt="decimal"/>
          <w:cols w:space="720" w:num="1"/>
        </w:sectPr>
      </w:pPr>
    </w:p>
    <w:p w14:paraId="63B55FDD">
      <w:pPr>
        <w:pStyle w:val="17"/>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一、营业执照(或事业法人登记证或其他工商等登记证明材料)复印件（供应商为自然人的，提供自然人的身份证明）</w:t>
      </w:r>
    </w:p>
    <w:p w14:paraId="2012B772">
      <w:pPr>
        <w:pStyle w:val="17"/>
        <w:spacing w:line="360" w:lineRule="auto"/>
        <w:ind w:firstLine="602" w:firstLineChars="200"/>
        <w:rPr>
          <w:rFonts w:hint="eastAsia" w:ascii="仿宋" w:hAnsi="仿宋" w:eastAsia="仿宋" w:cs="仿宋"/>
          <w:b/>
          <w:color w:val="auto"/>
          <w:sz w:val="30"/>
          <w:szCs w:val="30"/>
          <w:highlight w:val="none"/>
        </w:rPr>
      </w:pPr>
    </w:p>
    <w:p w14:paraId="759295C1">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3FA2BB6">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 xml:space="preserve">日期：  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 月   日</w:t>
      </w:r>
    </w:p>
    <w:p w14:paraId="2F07D9A0">
      <w:pPr>
        <w:snapToGrid w:val="0"/>
        <w:spacing w:before="120" w:beforeLines="50" w:after="50"/>
        <w:rPr>
          <w:rFonts w:hint="eastAsia" w:ascii="仿宋" w:hAnsi="仿宋" w:eastAsia="仿宋" w:cs="仿宋"/>
          <w:color w:val="auto"/>
          <w:sz w:val="24"/>
          <w:szCs w:val="20"/>
          <w:highlight w:val="none"/>
        </w:rPr>
      </w:pPr>
    </w:p>
    <w:p w14:paraId="5EF6F152">
      <w:pPr>
        <w:pStyle w:val="17"/>
        <w:spacing w:line="360" w:lineRule="auto"/>
        <w:ind w:firstLine="602" w:firstLineChars="200"/>
        <w:rPr>
          <w:rFonts w:hint="eastAsia" w:ascii="仿宋" w:hAnsi="仿宋" w:eastAsia="仿宋" w:cs="仿宋"/>
          <w:b/>
          <w:color w:val="auto"/>
          <w:sz w:val="30"/>
          <w:szCs w:val="30"/>
          <w:highlight w:val="none"/>
        </w:rPr>
      </w:pPr>
    </w:p>
    <w:p w14:paraId="7B743220">
      <w:pPr>
        <w:pStyle w:val="17"/>
        <w:spacing w:line="360" w:lineRule="auto"/>
        <w:ind w:firstLine="602" w:firstLineChars="200"/>
        <w:rPr>
          <w:rFonts w:hint="eastAsia" w:ascii="仿宋" w:hAnsi="仿宋" w:eastAsia="仿宋" w:cs="仿宋"/>
          <w:b/>
          <w:color w:val="auto"/>
          <w:sz w:val="30"/>
          <w:szCs w:val="30"/>
          <w:highlight w:val="none"/>
        </w:rPr>
      </w:pPr>
    </w:p>
    <w:p w14:paraId="4A226A3A">
      <w:pPr>
        <w:pStyle w:val="17"/>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二、符合参与政府采购活动的资格条件依法缴纳税收、社会保障资金等方面的材料</w:t>
      </w:r>
    </w:p>
    <w:p w14:paraId="6484A117">
      <w:pPr>
        <w:spacing w:line="300" w:lineRule="auto"/>
        <w:rPr>
          <w:rFonts w:hint="eastAsia" w:ascii="仿宋" w:hAnsi="仿宋" w:eastAsia="仿宋" w:cs="仿宋"/>
          <w:color w:val="auto"/>
          <w:szCs w:val="21"/>
          <w:highlight w:val="none"/>
        </w:rPr>
      </w:pPr>
    </w:p>
    <w:p w14:paraId="3C516636">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37385AF">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 xml:space="preserve">日期：  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月   日</w:t>
      </w:r>
    </w:p>
    <w:p w14:paraId="17FB64BC">
      <w:pPr>
        <w:spacing w:line="300" w:lineRule="auto"/>
        <w:rPr>
          <w:rFonts w:hint="eastAsia" w:ascii="仿宋" w:hAnsi="仿宋" w:eastAsia="仿宋" w:cs="仿宋"/>
          <w:color w:val="auto"/>
          <w:szCs w:val="21"/>
          <w:highlight w:val="none"/>
        </w:rPr>
      </w:pPr>
    </w:p>
    <w:p w14:paraId="28BCA53E">
      <w:pPr>
        <w:spacing w:line="300" w:lineRule="auto"/>
        <w:ind w:firstLine="596" w:firstLineChars="198"/>
        <w:rPr>
          <w:rFonts w:hint="eastAsia" w:ascii="仿宋" w:hAnsi="仿宋" w:eastAsia="仿宋" w:cs="仿宋"/>
          <w:b/>
          <w:color w:val="auto"/>
          <w:kern w:val="0"/>
          <w:sz w:val="30"/>
          <w:szCs w:val="30"/>
          <w:highlight w:val="none"/>
        </w:rPr>
      </w:pPr>
    </w:p>
    <w:p w14:paraId="4AB4E6CB">
      <w:pPr>
        <w:spacing w:line="300" w:lineRule="auto"/>
        <w:ind w:firstLine="596" w:firstLineChars="198"/>
        <w:rPr>
          <w:rFonts w:hint="eastAsia" w:ascii="仿宋" w:hAnsi="仿宋" w:eastAsia="仿宋" w:cs="仿宋"/>
          <w:b/>
          <w:color w:val="auto"/>
          <w:kern w:val="0"/>
          <w:sz w:val="30"/>
          <w:szCs w:val="30"/>
          <w:highlight w:val="none"/>
        </w:rPr>
      </w:pPr>
    </w:p>
    <w:p w14:paraId="189BAFF6">
      <w:pPr>
        <w:spacing w:line="300" w:lineRule="auto"/>
        <w:ind w:firstLine="596" w:firstLineChars="198"/>
        <w:rPr>
          <w:rFonts w:hint="eastAsia" w:ascii="仿宋" w:hAnsi="仿宋" w:eastAsia="仿宋" w:cs="仿宋"/>
          <w:b/>
          <w:color w:val="auto"/>
          <w:kern w:val="0"/>
          <w:sz w:val="30"/>
          <w:szCs w:val="30"/>
          <w:highlight w:val="none"/>
        </w:rPr>
      </w:pPr>
    </w:p>
    <w:p w14:paraId="3200CF20">
      <w:pPr>
        <w:spacing w:line="30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三、财务状况报告方面的材料</w:t>
      </w:r>
    </w:p>
    <w:p w14:paraId="778AA1EA">
      <w:pPr>
        <w:spacing w:line="300" w:lineRule="auto"/>
        <w:rPr>
          <w:rFonts w:hint="eastAsia" w:ascii="仿宋" w:hAnsi="仿宋" w:eastAsia="仿宋" w:cs="仿宋"/>
          <w:color w:val="auto"/>
          <w:szCs w:val="21"/>
          <w:highlight w:val="none"/>
        </w:rPr>
      </w:pPr>
    </w:p>
    <w:p w14:paraId="5114C53A">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48AE6A58">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 xml:space="preserve">日期：  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 月   日</w:t>
      </w:r>
    </w:p>
    <w:p w14:paraId="72A02BE6">
      <w:pPr>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1DDAD99">
      <w:pPr>
        <w:snapToGrid w:val="0"/>
        <w:spacing w:before="120" w:beforeLines="50" w:after="50" w:line="360" w:lineRule="auto"/>
        <w:jc w:val="center"/>
        <w:rPr>
          <w:rFonts w:hint="eastAsia" w:ascii="仿宋" w:hAnsi="仿宋" w:eastAsia="仿宋" w:cs="仿宋"/>
          <w:b/>
          <w:color w:val="auto"/>
          <w:sz w:val="24"/>
          <w:highlight w:val="none"/>
        </w:rPr>
      </w:pPr>
    </w:p>
    <w:p w14:paraId="1BE1792E">
      <w:pPr>
        <w:spacing w:line="36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r>
        <w:rPr>
          <w:rFonts w:hint="eastAsia" w:ascii="仿宋" w:hAnsi="仿宋" w:eastAsia="仿宋" w:cs="仿宋"/>
          <w:b/>
          <w:color w:val="auto"/>
          <w:kern w:val="0"/>
          <w:sz w:val="30"/>
          <w:szCs w:val="30"/>
          <w:highlight w:val="none"/>
        </w:rPr>
        <w:t>四、供应商直接控股股东信息表</w:t>
      </w:r>
    </w:p>
    <w:p w14:paraId="2F0B9381">
      <w:pPr>
        <w:spacing w:line="360" w:lineRule="auto"/>
        <w:jc w:val="center"/>
        <w:rPr>
          <w:rFonts w:hint="eastAsia" w:ascii="仿宋" w:hAnsi="仿宋" w:eastAsia="仿宋" w:cs="仿宋"/>
          <w:b/>
          <w:color w:val="auto"/>
          <w:kern w:val="0"/>
          <w:sz w:val="30"/>
          <w:szCs w:val="30"/>
          <w:highlight w:val="none"/>
        </w:rPr>
      </w:pPr>
    </w:p>
    <w:p w14:paraId="5BB97A65">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kern w:val="0"/>
          <w:sz w:val="30"/>
          <w:szCs w:val="30"/>
          <w:highlight w:val="none"/>
        </w:rPr>
        <w:t>供应商直接控股股东信息表</w:t>
      </w: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41D423B">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B065D6">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3719D7">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DFA2A4">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F8E475">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22F42">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5D93153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A3B5DB">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BBC9D">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26144">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B6F9D">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4644C6">
            <w:pPr>
              <w:widowControl/>
              <w:spacing w:line="360" w:lineRule="auto"/>
              <w:jc w:val="center"/>
              <w:rPr>
                <w:rFonts w:hint="eastAsia" w:ascii="仿宋" w:hAnsi="仿宋" w:eastAsia="仿宋" w:cs="仿宋"/>
                <w:color w:val="auto"/>
                <w:kern w:val="0"/>
                <w:sz w:val="24"/>
                <w:highlight w:val="none"/>
              </w:rPr>
            </w:pPr>
          </w:p>
        </w:tc>
      </w:tr>
      <w:tr w14:paraId="1C6ADEA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040D54">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21CC9B">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AE73AE">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A32D57">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6F74B5">
            <w:pPr>
              <w:widowControl/>
              <w:spacing w:line="360" w:lineRule="auto"/>
              <w:jc w:val="center"/>
              <w:rPr>
                <w:rFonts w:hint="eastAsia" w:ascii="仿宋" w:hAnsi="仿宋" w:eastAsia="仿宋" w:cs="仿宋"/>
                <w:color w:val="auto"/>
                <w:kern w:val="0"/>
                <w:sz w:val="24"/>
                <w:highlight w:val="none"/>
              </w:rPr>
            </w:pPr>
          </w:p>
        </w:tc>
      </w:tr>
      <w:tr w14:paraId="187BF29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2397B4">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105E4A">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CA5C35">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0AA505">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554E31">
            <w:pPr>
              <w:widowControl/>
              <w:spacing w:line="360" w:lineRule="auto"/>
              <w:jc w:val="center"/>
              <w:rPr>
                <w:rFonts w:hint="eastAsia" w:ascii="仿宋" w:hAnsi="仿宋" w:eastAsia="仿宋" w:cs="仿宋"/>
                <w:color w:val="auto"/>
                <w:kern w:val="0"/>
                <w:sz w:val="24"/>
                <w:highlight w:val="none"/>
              </w:rPr>
            </w:pPr>
          </w:p>
        </w:tc>
      </w:tr>
      <w:tr w14:paraId="1E6860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3094E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B4C2F4">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6DC80A">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FC68AA">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5510E5">
            <w:pPr>
              <w:widowControl/>
              <w:spacing w:line="360" w:lineRule="auto"/>
              <w:jc w:val="center"/>
              <w:rPr>
                <w:rFonts w:hint="eastAsia" w:ascii="仿宋" w:hAnsi="仿宋" w:eastAsia="仿宋" w:cs="仿宋"/>
                <w:color w:val="auto"/>
                <w:kern w:val="0"/>
                <w:sz w:val="24"/>
                <w:highlight w:val="none"/>
              </w:rPr>
            </w:pPr>
          </w:p>
        </w:tc>
      </w:tr>
    </w:tbl>
    <w:p w14:paraId="7192DBD0">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38D42912">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9820D9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2.本表所指的控股关系仅限于直接控股关系，不包括间接的控股关系。公司实际控制人与公司之间的关系不属于本表所指的直接控股关系。</w:t>
      </w:r>
    </w:p>
    <w:p w14:paraId="75284D39">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3.供应商不存在直接控股股东的，则填“无”。</w:t>
      </w:r>
    </w:p>
    <w:p w14:paraId="0EBD333E">
      <w:pPr>
        <w:snapToGrid w:val="0"/>
        <w:spacing w:line="360" w:lineRule="auto"/>
        <w:jc w:val="left"/>
        <w:rPr>
          <w:rFonts w:hint="eastAsia" w:ascii="仿宋" w:hAnsi="仿宋" w:eastAsia="仿宋" w:cs="仿宋"/>
          <w:color w:val="auto"/>
          <w:sz w:val="24"/>
          <w:highlight w:val="none"/>
        </w:rPr>
      </w:pPr>
    </w:p>
    <w:p w14:paraId="707D7C46">
      <w:pPr>
        <w:snapToGrid w:val="0"/>
        <w:spacing w:line="360" w:lineRule="auto"/>
        <w:jc w:val="left"/>
        <w:rPr>
          <w:rFonts w:hint="eastAsia" w:ascii="仿宋" w:hAnsi="仿宋" w:eastAsia="仿宋" w:cs="仿宋"/>
          <w:color w:val="auto"/>
          <w:sz w:val="24"/>
          <w:highlight w:val="none"/>
        </w:rPr>
      </w:pPr>
    </w:p>
    <w:p w14:paraId="390918EC">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2AE5804">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 xml:space="preserve">日期：  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 月   日</w:t>
      </w:r>
    </w:p>
    <w:p w14:paraId="72B20126">
      <w:pPr>
        <w:snapToGrid w:val="0"/>
        <w:rPr>
          <w:rFonts w:hint="eastAsia" w:ascii="仿宋" w:hAnsi="仿宋" w:eastAsia="仿宋" w:cs="仿宋"/>
          <w:b/>
          <w:color w:val="auto"/>
          <w:kern w:val="0"/>
          <w:sz w:val="30"/>
          <w:szCs w:val="30"/>
          <w:highlight w:val="none"/>
        </w:rPr>
      </w:pPr>
    </w:p>
    <w:p w14:paraId="6BFF54D1">
      <w:pPr>
        <w:snapToGrid w:val="0"/>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r>
        <w:rPr>
          <w:rFonts w:hint="eastAsia" w:ascii="仿宋" w:hAnsi="仿宋" w:eastAsia="仿宋" w:cs="仿宋"/>
          <w:b/>
          <w:color w:val="auto"/>
          <w:kern w:val="0"/>
          <w:sz w:val="30"/>
          <w:szCs w:val="30"/>
          <w:highlight w:val="none"/>
        </w:rPr>
        <w:t>五、供应商直接管理关系信息表</w:t>
      </w:r>
    </w:p>
    <w:p w14:paraId="3E2EBFAF">
      <w:pPr>
        <w:snapToGrid w:val="0"/>
        <w:spacing w:line="360" w:lineRule="auto"/>
        <w:jc w:val="center"/>
        <w:rPr>
          <w:rFonts w:hint="eastAsia" w:ascii="仿宋" w:hAnsi="仿宋" w:eastAsia="仿宋" w:cs="仿宋"/>
          <w:b/>
          <w:color w:val="auto"/>
          <w:kern w:val="0"/>
          <w:sz w:val="30"/>
          <w:szCs w:val="30"/>
          <w:highlight w:val="none"/>
        </w:rPr>
      </w:pPr>
    </w:p>
    <w:p w14:paraId="6C737F80">
      <w:pPr>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kern w:val="0"/>
          <w:sz w:val="30"/>
          <w:szCs w:val="30"/>
          <w:highlight w:val="none"/>
        </w:rPr>
        <w:t>供应商直接管理关系信息表</w:t>
      </w: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24AF450">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8EF33A">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B3BAAE">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BFEC81">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67C515">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0F5F9B2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538CAE">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E5097E">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7100AF">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382B58">
            <w:pPr>
              <w:widowControl/>
              <w:spacing w:line="360" w:lineRule="auto"/>
              <w:jc w:val="center"/>
              <w:rPr>
                <w:rFonts w:hint="eastAsia" w:ascii="仿宋" w:hAnsi="仿宋" w:eastAsia="仿宋" w:cs="仿宋"/>
                <w:color w:val="auto"/>
                <w:kern w:val="0"/>
                <w:sz w:val="24"/>
                <w:highlight w:val="none"/>
              </w:rPr>
            </w:pPr>
          </w:p>
        </w:tc>
      </w:tr>
      <w:tr w14:paraId="696E90C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805EE8">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B2EEEB">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6DD1A3">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91427B">
            <w:pPr>
              <w:widowControl/>
              <w:spacing w:line="360" w:lineRule="auto"/>
              <w:jc w:val="center"/>
              <w:rPr>
                <w:rFonts w:hint="eastAsia" w:ascii="仿宋" w:hAnsi="仿宋" w:eastAsia="仿宋" w:cs="仿宋"/>
                <w:color w:val="auto"/>
                <w:kern w:val="0"/>
                <w:sz w:val="24"/>
                <w:highlight w:val="none"/>
              </w:rPr>
            </w:pPr>
          </w:p>
        </w:tc>
      </w:tr>
      <w:tr w14:paraId="61ACB5C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0E8A28">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CB08CA">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E1E69E">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52B5EA">
            <w:pPr>
              <w:widowControl/>
              <w:spacing w:line="360" w:lineRule="auto"/>
              <w:jc w:val="center"/>
              <w:rPr>
                <w:rFonts w:hint="eastAsia" w:ascii="仿宋" w:hAnsi="仿宋" w:eastAsia="仿宋" w:cs="仿宋"/>
                <w:color w:val="auto"/>
                <w:kern w:val="0"/>
                <w:sz w:val="24"/>
                <w:highlight w:val="none"/>
              </w:rPr>
            </w:pPr>
          </w:p>
        </w:tc>
      </w:tr>
      <w:tr w14:paraId="794AD63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ACA1A0">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90FC53">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A3AFE6">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93047">
            <w:pPr>
              <w:widowControl/>
              <w:spacing w:line="360" w:lineRule="auto"/>
              <w:jc w:val="center"/>
              <w:rPr>
                <w:rFonts w:hint="eastAsia" w:ascii="仿宋" w:hAnsi="仿宋" w:eastAsia="仿宋" w:cs="仿宋"/>
                <w:color w:val="auto"/>
                <w:kern w:val="0"/>
                <w:sz w:val="24"/>
                <w:highlight w:val="none"/>
              </w:rPr>
            </w:pPr>
          </w:p>
        </w:tc>
      </w:tr>
    </w:tbl>
    <w:p w14:paraId="2583ED1F">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5047F13E">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1.管理关系：是指不具有出资持股关系的其他单位之间存在的管理与被管理关系，如一些上下级关系的事业单位和团体组织。</w:t>
      </w:r>
    </w:p>
    <w:p w14:paraId="19B6960B">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2.本表所指的管理关系仅限于直接管理关系，不包括间接的管理关系。</w:t>
      </w:r>
    </w:p>
    <w:p w14:paraId="4DBB667F">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3.供应商不存在直接管理关系的，则填“无”。</w:t>
      </w:r>
    </w:p>
    <w:p w14:paraId="3501527E">
      <w:pPr>
        <w:spacing w:line="360" w:lineRule="auto"/>
        <w:jc w:val="left"/>
        <w:rPr>
          <w:rFonts w:hint="eastAsia" w:ascii="仿宋" w:hAnsi="仿宋" w:eastAsia="仿宋" w:cs="仿宋"/>
          <w:color w:val="auto"/>
          <w:sz w:val="24"/>
          <w:highlight w:val="none"/>
        </w:rPr>
      </w:pPr>
    </w:p>
    <w:p w14:paraId="3BD28555">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p>
    <w:p w14:paraId="5C64AB2E">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p>
    <w:p w14:paraId="163B761F">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F6BDCDB">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351AF4F1">
      <w:pPr>
        <w:spacing w:line="32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DFB3FD2">
      <w:pPr>
        <w:spacing w:line="320" w:lineRule="exact"/>
        <w:ind w:firstLine="48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kern w:val="0"/>
          <w:sz w:val="30"/>
          <w:szCs w:val="30"/>
          <w:highlight w:val="none"/>
        </w:rPr>
        <w:t>六、资格声明函</w:t>
      </w:r>
    </w:p>
    <w:p w14:paraId="2804FF86">
      <w:pPr>
        <w:spacing w:line="320" w:lineRule="exact"/>
        <w:jc w:val="center"/>
        <w:rPr>
          <w:rFonts w:hint="eastAsia" w:ascii="仿宋" w:hAnsi="仿宋" w:eastAsia="仿宋" w:cs="仿宋"/>
          <w:b/>
          <w:color w:val="auto"/>
          <w:sz w:val="32"/>
          <w:szCs w:val="32"/>
          <w:highlight w:val="none"/>
        </w:rPr>
      </w:pPr>
    </w:p>
    <w:p w14:paraId="1ACC9340">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资格声明函</w:t>
      </w:r>
    </w:p>
    <w:p w14:paraId="51D1D9C1">
      <w:pPr>
        <w:spacing w:line="320" w:lineRule="exact"/>
        <w:jc w:val="center"/>
        <w:rPr>
          <w:rFonts w:hint="eastAsia" w:ascii="仿宋" w:hAnsi="仿宋" w:eastAsia="仿宋" w:cs="仿宋"/>
          <w:color w:val="auto"/>
          <w:sz w:val="24"/>
          <w:szCs w:val="20"/>
          <w:highlight w:val="none"/>
        </w:rPr>
      </w:pPr>
    </w:p>
    <w:p w14:paraId="30335E3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w:t>
      </w:r>
    </w:p>
    <w:p w14:paraId="2372FF6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系中华人民共和国合法供应商，经营地址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4A7D88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我方愿意参加贵方组织的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项目的竞标，为便于贵方公正、择优地确定成交供应商及其竞标产品和服务，我方就本次竞标有关事项郑重声明如下：</w:t>
      </w:r>
    </w:p>
    <w:p w14:paraId="3C9BA88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1.我方向贵方提交的所有响应文件、资料都是准确的和真实的。</w:t>
      </w:r>
    </w:p>
    <w:p w14:paraId="447CB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061399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3.在此，我方宣布同意如下：</w:t>
      </w:r>
    </w:p>
    <w:p w14:paraId="0FB8A48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（1）将按磋商文件的约定履行合同责任和义务；</w:t>
      </w:r>
    </w:p>
    <w:p w14:paraId="5D0A604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（2）已详细审查全部磋商文件，包括澄清或者更正公告（如有）；</w:t>
      </w:r>
    </w:p>
    <w:p w14:paraId="56D6C18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（3）同意提供按照贵方可能要求的与磋商有关的一切数据或者资料；</w:t>
      </w:r>
    </w:p>
    <w:p w14:paraId="46389FC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（4）响应磋商文件规定的竞标有效期。</w:t>
      </w:r>
    </w:p>
    <w:p w14:paraId="22C57B2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D2DB18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21B4F2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340F91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07DD6B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E586D86">
      <w:pPr>
        <w:pStyle w:val="17"/>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7.与本磋商有关的一切正式往来信函请寄：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邮政编号：</w:t>
      </w:r>
      <w:r>
        <w:rPr>
          <w:rFonts w:hint="eastAsia" w:ascii="仿宋" w:hAnsi="仿宋" w:eastAsia="仿宋" w:cs="仿宋"/>
          <w:color w:val="auto"/>
          <w:sz w:val="24"/>
          <w:szCs w:val="24"/>
          <w:highlight w:val="none"/>
          <w:u w:val="single"/>
        </w:rPr>
        <w:t xml:space="preserve">        </w:t>
      </w:r>
    </w:p>
    <w:p w14:paraId="555DD3CD">
      <w:pPr>
        <w:pStyle w:val="1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电子函件：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226A1407">
      <w:pPr>
        <w:pStyle w:val="15"/>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账号：</w:t>
      </w:r>
      <w:r>
        <w:rPr>
          <w:rFonts w:hint="eastAsia" w:ascii="仿宋" w:hAnsi="仿宋" w:eastAsia="仿宋" w:cs="仿宋"/>
          <w:color w:val="auto"/>
          <w:sz w:val="24"/>
          <w:highlight w:val="none"/>
          <w:u w:val="single"/>
        </w:rPr>
        <w:t xml:space="preserve">                               </w:t>
      </w:r>
    </w:p>
    <w:p w14:paraId="15F06D9A">
      <w:pPr>
        <w:pStyle w:val="15"/>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8.以上事项如有虚假或者隐瞒，我方愿意承担一切后果，并不再寻求任何旨在减轻或者免除法律责任的辩解。</w:t>
      </w:r>
    </w:p>
    <w:p w14:paraId="4B17A443">
      <w:pPr>
        <w:pStyle w:val="15"/>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6FC19ECF">
      <w:pPr>
        <w:pStyle w:val="15"/>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注：如为联合体竞标，盖章处须加盖联合体各方公章并由联合体各方法定代表人签署，否则其响应文件按无效响应处理。</w:t>
      </w:r>
    </w:p>
    <w:p w14:paraId="61132C39">
      <w:pPr>
        <w:pStyle w:val="15"/>
        <w:tabs>
          <w:tab w:val="left" w:pos="939"/>
        </w:tabs>
        <w:spacing w:line="360" w:lineRule="auto"/>
        <w:ind w:left="0" w:leftChars="0" w:firstLine="480" w:firstLineChars="200"/>
        <w:rPr>
          <w:rFonts w:hint="eastAsia" w:ascii="仿宋" w:hAnsi="仿宋" w:eastAsia="仿宋" w:cs="仿宋"/>
          <w:color w:val="auto"/>
          <w:sz w:val="24"/>
          <w:highlight w:val="none"/>
        </w:rPr>
      </w:pPr>
    </w:p>
    <w:p w14:paraId="605669D5">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42762A1">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525A2BD5">
      <w:pPr>
        <w:widowControl/>
        <w:spacing w:line="360" w:lineRule="auto"/>
        <w:jc w:val="left"/>
        <w:rPr>
          <w:rFonts w:hint="eastAsia" w:ascii="仿宋" w:hAnsi="仿宋" w:eastAsia="仿宋" w:cs="仿宋"/>
          <w:color w:val="auto"/>
          <w:kern w:val="0"/>
          <w:sz w:val="24"/>
          <w:highlight w:val="none"/>
          <w:lang w:val="zh-CN"/>
        </w:rPr>
        <w:sectPr>
          <w:pgSz w:w="11910" w:h="16840"/>
          <w:pgMar w:top="1440" w:right="1080" w:bottom="1440" w:left="1080" w:header="720" w:footer="720" w:gutter="0"/>
          <w:pgNumType w:fmt="decimal"/>
          <w:cols w:space="720" w:num="1"/>
        </w:sectPr>
      </w:pPr>
    </w:p>
    <w:p w14:paraId="5E86DCB1">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kern w:val="0"/>
          <w:sz w:val="30"/>
          <w:szCs w:val="30"/>
          <w:highlight w:val="none"/>
        </w:rPr>
        <w:t>七、本项目的特定资格要求</w:t>
      </w:r>
    </w:p>
    <w:p w14:paraId="136B425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708DB7C8">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2453F189">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C756966">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20EB85A3">
      <w:pPr>
        <w:widowControl/>
        <w:spacing w:line="360" w:lineRule="auto"/>
        <w:jc w:val="left"/>
        <w:rPr>
          <w:rFonts w:hint="eastAsia" w:ascii="仿宋" w:hAnsi="仿宋" w:eastAsia="仿宋" w:cs="仿宋"/>
          <w:b/>
          <w:bCs/>
          <w:color w:val="auto"/>
          <w:highlight w:val="none"/>
        </w:rPr>
      </w:pPr>
    </w:p>
    <w:p w14:paraId="37DC28EC">
      <w:pPr>
        <w:snapToGrid w:val="0"/>
        <w:spacing w:line="360" w:lineRule="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r>
        <w:rPr>
          <w:rFonts w:hint="eastAsia" w:ascii="仿宋" w:hAnsi="仿宋" w:eastAsia="仿宋" w:cs="仿宋"/>
          <w:b/>
          <w:color w:val="auto"/>
          <w:sz w:val="30"/>
          <w:szCs w:val="30"/>
          <w:highlight w:val="none"/>
        </w:rPr>
        <w:t xml:space="preserve">  八、中小企业声明函或残疾人福利性单位声明函或供应商属于监狱企业的证明材料</w:t>
      </w:r>
    </w:p>
    <w:p w14:paraId="1D2AF363">
      <w:pPr>
        <w:spacing w:after="165" w:afterLines="50" w:line="360" w:lineRule="auto"/>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中小企业声明函（工程类）</w:t>
      </w:r>
    </w:p>
    <w:p w14:paraId="3F1BA058">
      <w:pPr>
        <w:pStyle w:val="13"/>
        <w:spacing w:after="0" w:line="360" w:lineRule="auto"/>
        <w:ind w:left="-426" w:right="142" w:firstLine="6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本公司郑重声明，根据《政府采购促进中小企业发展管理办法》（财库﹝2020﹞46号）的规定，本公司参加</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采购活动，工程的施工单位全部为符合政策要求的</w:t>
      </w:r>
      <w:r>
        <w:rPr>
          <w:rFonts w:hint="eastAsia" w:ascii="仿宋" w:hAnsi="仿宋" w:eastAsia="仿宋" w:cs="仿宋"/>
          <w:color w:val="auto"/>
          <w:sz w:val="24"/>
          <w:highlight w:val="none"/>
          <w:lang w:eastAsia="zh-CN"/>
        </w:rPr>
        <w:t>中小</w:t>
      </w:r>
      <w:r>
        <w:rPr>
          <w:rFonts w:hint="eastAsia" w:ascii="仿宋" w:hAnsi="仿宋" w:eastAsia="仿宋" w:cs="仿宋"/>
          <w:color w:val="auto"/>
          <w:sz w:val="24"/>
          <w:highlight w:val="none"/>
        </w:rPr>
        <w:t>企业（或者：服务全部由符合政策要求的</w:t>
      </w:r>
      <w:r>
        <w:rPr>
          <w:rFonts w:hint="eastAsia" w:ascii="仿宋" w:hAnsi="仿宋" w:eastAsia="仿宋" w:cs="仿宋"/>
          <w:color w:val="auto"/>
          <w:sz w:val="24"/>
          <w:highlight w:val="none"/>
          <w:lang w:eastAsia="zh-CN"/>
        </w:rPr>
        <w:t>中小</w:t>
      </w:r>
      <w:r>
        <w:rPr>
          <w:rFonts w:hint="eastAsia" w:ascii="仿宋" w:hAnsi="仿宋" w:eastAsia="仿宋" w:cs="仿宋"/>
          <w:color w:val="auto"/>
          <w:sz w:val="24"/>
          <w:highlight w:val="none"/>
        </w:rPr>
        <w:t>企业承接）。相关企业（含联合体中的</w:t>
      </w:r>
      <w:r>
        <w:rPr>
          <w:rFonts w:hint="eastAsia" w:ascii="仿宋" w:hAnsi="仿宋" w:eastAsia="仿宋" w:cs="仿宋"/>
          <w:color w:val="auto"/>
          <w:sz w:val="24"/>
          <w:highlight w:val="none"/>
          <w:lang w:eastAsia="zh-CN"/>
        </w:rPr>
        <w:t>中小</w:t>
      </w:r>
      <w:r>
        <w:rPr>
          <w:rFonts w:hint="eastAsia" w:ascii="仿宋" w:hAnsi="仿宋" w:eastAsia="仿宋" w:cs="仿宋"/>
          <w:color w:val="auto"/>
          <w:sz w:val="24"/>
          <w:highlight w:val="none"/>
        </w:rPr>
        <w:t>企业、签订分包意向协议的</w:t>
      </w:r>
      <w:r>
        <w:rPr>
          <w:rFonts w:hint="eastAsia" w:ascii="仿宋" w:hAnsi="仿宋" w:eastAsia="仿宋" w:cs="仿宋"/>
          <w:color w:val="auto"/>
          <w:sz w:val="24"/>
          <w:highlight w:val="none"/>
          <w:lang w:eastAsia="zh-CN"/>
        </w:rPr>
        <w:t>中小</w:t>
      </w:r>
      <w:r>
        <w:rPr>
          <w:rFonts w:hint="eastAsia" w:ascii="仿宋" w:hAnsi="仿宋" w:eastAsia="仿宋" w:cs="仿宋"/>
          <w:color w:val="auto"/>
          <w:sz w:val="24"/>
          <w:highlight w:val="none"/>
        </w:rPr>
        <w:t>企业）的具体情况如下：</w:t>
      </w:r>
    </w:p>
    <w:p w14:paraId="60252117">
      <w:pPr>
        <w:tabs>
          <w:tab w:val="left" w:pos="1384"/>
          <w:tab w:val="left" w:pos="4562"/>
          <w:tab w:val="left" w:pos="6803"/>
        </w:tabs>
        <w:spacing w:line="360" w:lineRule="auto"/>
        <w:ind w:left="-426" w:right="-58" w:firstLine="65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行业；承建（承接）企业为</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（中型企业、小型企业、微型企业）</w:t>
      </w:r>
      <w:r>
        <w:rPr>
          <w:rFonts w:hint="eastAsia" w:ascii="仿宋" w:hAnsi="仿宋" w:eastAsia="仿宋" w:cs="仿宋"/>
          <w:color w:val="auto"/>
          <w:sz w:val="24"/>
          <w:highlight w:val="none"/>
        </w:rPr>
        <w:t>；</w:t>
      </w:r>
    </w:p>
    <w:p w14:paraId="44CCE473">
      <w:pPr>
        <w:tabs>
          <w:tab w:val="left" w:pos="1065"/>
          <w:tab w:val="left" w:pos="6477"/>
        </w:tabs>
        <w:spacing w:line="360" w:lineRule="auto"/>
        <w:ind w:left="-426" w:right="-58" w:firstLine="65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行业；承建（承接）企业为</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（中型企业、小型企业、微型企业）</w:t>
      </w:r>
      <w:r>
        <w:rPr>
          <w:rFonts w:hint="eastAsia" w:ascii="仿宋" w:hAnsi="仿宋" w:eastAsia="仿宋" w:cs="仿宋"/>
          <w:color w:val="auto"/>
          <w:sz w:val="24"/>
          <w:highlight w:val="none"/>
        </w:rPr>
        <w:t>；</w:t>
      </w:r>
    </w:p>
    <w:p w14:paraId="4729DE23">
      <w:pPr>
        <w:pStyle w:val="13"/>
        <w:spacing w:after="0" w:line="360" w:lineRule="auto"/>
        <w:ind w:left="142" w:right="142"/>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2A9FEE0">
      <w:pPr>
        <w:pStyle w:val="13"/>
        <w:spacing w:after="0" w:line="360" w:lineRule="auto"/>
        <w:ind w:left="-405" w:leftChars="-193" w:right="142" w:firstLine="453" w:firstLineChars="189"/>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D4276A8">
      <w:pPr>
        <w:pStyle w:val="13"/>
        <w:spacing w:after="0" w:line="360" w:lineRule="auto"/>
        <w:ind w:left="-426" w:right="142" w:firstLine="567"/>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8DF0382">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94F6014">
      <w:pPr>
        <w:autoSpaceDE w:val="0"/>
        <w:autoSpaceDN w:val="0"/>
        <w:spacing w:line="360" w:lineRule="auto"/>
        <w:ind w:firstLine="6240" w:firstLineChars="26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日期：  年  月   日</w:t>
      </w:r>
    </w:p>
    <w:p w14:paraId="6F2B0675">
      <w:pPr>
        <w:spacing w:line="360" w:lineRule="auto"/>
        <w:jc w:val="left"/>
        <w:rPr>
          <w:rFonts w:hint="eastAsia" w:ascii="仿宋" w:hAnsi="仿宋" w:eastAsia="仿宋" w:cs="仿宋"/>
          <w:b/>
          <w:color w:val="auto"/>
          <w:sz w:val="28"/>
          <w:szCs w:val="28"/>
          <w:highlight w:val="none"/>
        </w:rPr>
      </w:pPr>
      <w:r>
        <w:rPr>
          <w:rFonts w:hint="eastAsia" w:ascii="仿宋" w:hAnsi="仿宋" w:eastAsia="仿宋" w:cs="仿宋"/>
          <w:color w:val="auto"/>
          <w:sz w:val="22"/>
          <w:szCs w:val="22"/>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9FBF46E">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3E0C8F57">
      <w:pPr>
        <w:spacing w:line="520" w:lineRule="exact"/>
        <w:jc w:val="center"/>
        <w:rPr>
          <w:rFonts w:hint="eastAsia" w:ascii="仿宋" w:hAnsi="仿宋" w:eastAsia="仿宋" w:cs="仿宋"/>
          <w:b/>
          <w:bCs/>
          <w:color w:val="auto"/>
          <w:sz w:val="30"/>
          <w:szCs w:val="30"/>
          <w:highlight w:val="none"/>
        </w:rPr>
        <w:sectPr>
          <w:pgSz w:w="11905" w:h="16838"/>
          <w:pgMar w:top="1440" w:right="1080" w:bottom="1440" w:left="1080" w:header="720" w:footer="720" w:gutter="0"/>
          <w:pgNumType w:fmt="decimal"/>
          <w:cols w:space="720" w:num="1"/>
          <w:docGrid w:type="lines" w:linePitch="331" w:charSpace="0"/>
        </w:sectPr>
      </w:pPr>
    </w:p>
    <w:p w14:paraId="56547482">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b/>
          <w:bCs/>
          <w:color w:val="auto"/>
          <w:sz w:val="30"/>
          <w:szCs w:val="30"/>
          <w:highlight w:val="none"/>
        </w:rPr>
        <w:t>残疾人福利性单位声明函</w:t>
      </w:r>
    </w:p>
    <w:p w14:paraId="25648906">
      <w:pPr>
        <w:spacing w:line="520" w:lineRule="exact"/>
        <w:rPr>
          <w:rFonts w:hint="eastAsia" w:ascii="仿宋" w:hAnsi="仿宋" w:eastAsia="仿宋" w:cs="仿宋"/>
          <w:color w:val="auto"/>
          <w:sz w:val="32"/>
          <w:szCs w:val="32"/>
          <w:highlight w:val="none"/>
        </w:rPr>
      </w:pPr>
    </w:p>
    <w:p w14:paraId="750C9F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采购活动由本单位提供服务。</w:t>
      </w:r>
    </w:p>
    <w:p w14:paraId="7D650A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1ACD4832">
      <w:pPr>
        <w:spacing w:line="360" w:lineRule="auto"/>
        <w:rPr>
          <w:rFonts w:hint="eastAsia" w:ascii="仿宋" w:hAnsi="仿宋" w:eastAsia="仿宋" w:cs="仿宋"/>
          <w:color w:val="auto"/>
          <w:sz w:val="24"/>
          <w:highlight w:val="none"/>
        </w:rPr>
      </w:pPr>
    </w:p>
    <w:p w14:paraId="502A538B">
      <w:pPr>
        <w:spacing w:line="360" w:lineRule="auto"/>
        <w:rPr>
          <w:rFonts w:hint="eastAsia" w:ascii="仿宋" w:hAnsi="仿宋" w:eastAsia="仿宋" w:cs="仿宋"/>
          <w:color w:val="auto"/>
          <w:sz w:val="24"/>
          <w:highlight w:val="none"/>
        </w:rPr>
      </w:pPr>
    </w:p>
    <w:p w14:paraId="4E789050">
      <w:pPr>
        <w:spacing w:line="360" w:lineRule="auto"/>
        <w:rPr>
          <w:rFonts w:hint="eastAsia" w:ascii="仿宋" w:hAnsi="仿宋" w:eastAsia="仿宋" w:cs="仿宋"/>
          <w:color w:val="auto"/>
          <w:sz w:val="24"/>
          <w:highlight w:val="none"/>
        </w:rPr>
      </w:pPr>
    </w:p>
    <w:p w14:paraId="50479E5C">
      <w:pPr>
        <w:spacing w:line="360" w:lineRule="auto"/>
        <w:ind w:firstLine="2400" w:firstLineChars="10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供应商名称（电子签章）：</w:t>
      </w:r>
    </w:p>
    <w:p w14:paraId="64FD4DA2">
      <w:pPr>
        <w:spacing w:line="360" w:lineRule="auto"/>
        <w:ind w:firstLine="4320" w:firstLineChars="180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   年   月   日</w:t>
      </w:r>
    </w:p>
    <w:p w14:paraId="7C59C8A1">
      <w:pPr>
        <w:spacing w:line="360" w:lineRule="auto"/>
        <w:rPr>
          <w:rFonts w:hint="eastAsia" w:ascii="仿宋" w:hAnsi="仿宋" w:eastAsia="仿宋" w:cs="仿宋"/>
          <w:color w:val="auto"/>
          <w:sz w:val="24"/>
          <w:highlight w:val="none"/>
        </w:rPr>
      </w:pPr>
    </w:p>
    <w:p w14:paraId="6059B85B">
      <w:pPr>
        <w:spacing w:line="360" w:lineRule="auto"/>
        <w:rPr>
          <w:rFonts w:hint="eastAsia" w:ascii="仿宋" w:hAnsi="仿宋" w:eastAsia="仿宋" w:cs="仿宋"/>
          <w:color w:val="auto"/>
          <w:sz w:val="24"/>
          <w:highlight w:val="none"/>
        </w:rPr>
      </w:pPr>
    </w:p>
    <w:p w14:paraId="5B2C5585">
      <w:pPr>
        <w:spacing w:line="360" w:lineRule="auto"/>
        <w:rPr>
          <w:rFonts w:hint="eastAsia" w:ascii="仿宋" w:hAnsi="仿宋" w:eastAsia="仿宋" w:cs="仿宋"/>
          <w:color w:val="auto"/>
          <w:sz w:val="24"/>
          <w:highlight w:val="none"/>
        </w:rPr>
      </w:pPr>
    </w:p>
    <w:p w14:paraId="099C192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6CFCF03">
      <w:pPr>
        <w:spacing w:line="520" w:lineRule="exact"/>
        <w:jc w:val="center"/>
        <w:rPr>
          <w:rFonts w:hint="eastAsia" w:ascii="仿宋" w:hAnsi="仿宋" w:eastAsia="仿宋" w:cs="仿宋"/>
          <w:color w:val="auto"/>
          <w:sz w:val="24"/>
          <w:highlight w:val="none"/>
        </w:rPr>
      </w:pPr>
    </w:p>
    <w:p w14:paraId="4E4722A9">
      <w:pPr>
        <w:snapToGrid w:val="0"/>
        <w:spacing w:line="360" w:lineRule="auto"/>
        <w:ind w:firstLine="602" w:firstLineChars="200"/>
        <w:rPr>
          <w:rFonts w:hint="eastAsia" w:ascii="仿宋" w:hAnsi="仿宋" w:eastAsia="仿宋" w:cs="仿宋"/>
          <w:b/>
          <w:color w:val="auto"/>
          <w:sz w:val="30"/>
          <w:szCs w:val="30"/>
          <w:highlight w:val="none"/>
        </w:rPr>
      </w:pPr>
    </w:p>
    <w:p w14:paraId="20A4627E">
      <w:pPr>
        <w:snapToGrid w:val="0"/>
        <w:spacing w:line="360" w:lineRule="auto"/>
        <w:ind w:firstLine="602" w:firstLineChars="200"/>
        <w:rPr>
          <w:rFonts w:hint="eastAsia" w:ascii="仿宋" w:hAnsi="仿宋" w:eastAsia="仿宋" w:cs="仿宋"/>
          <w:b/>
          <w:color w:val="auto"/>
          <w:sz w:val="30"/>
          <w:szCs w:val="30"/>
          <w:highlight w:val="none"/>
        </w:rPr>
      </w:pPr>
    </w:p>
    <w:p w14:paraId="0BDD9422">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九、除磋商文件规定必须提供以外，供应商认为需要提供的其他证明材料</w:t>
      </w:r>
    </w:p>
    <w:p w14:paraId="698A5643">
      <w:pPr>
        <w:snapToGrid w:val="0"/>
        <w:spacing w:line="360" w:lineRule="auto"/>
        <w:ind w:firstLine="602" w:firstLineChars="200"/>
        <w:rPr>
          <w:rFonts w:hint="eastAsia" w:ascii="仿宋" w:hAnsi="仿宋" w:eastAsia="仿宋" w:cs="仿宋"/>
          <w:b/>
          <w:color w:val="auto"/>
          <w:sz w:val="30"/>
          <w:szCs w:val="30"/>
          <w:highlight w:val="none"/>
        </w:rPr>
      </w:pPr>
    </w:p>
    <w:p w14:paraId="1914665F">
      <w:pPr>
        <w:spacing w:line="360" w:lineRule="auto"/>
        <w:ind w:firstLine="2400" w:firstLineChars="1000"/>
        <w:rPr>
          <w:rFonts w:hint="eastAsia" w:ascii="仿宋" w:hAnsi="仿宋" w:eastAsia="仿宋" w:cs="仿宋"/>
          <w:color w:val="auto"/>
          <w:sz w:val="24"/>
          <w:highlight w:val="none"/>
        </w:rPr>
      </w:pPr>
      <w:bookmarkStart w:id="95" w:name="_Toc32726"/>
      <w:bookmarkStart w:id="96" w:name="_Toc80205940"/>
      <w:r>
        <w:rPr>
          <w:rFonts w:hint="eastAsia" w:ascii="仿宋" w:hAnsi="仿宋" w:eastAsia="仿宋" w:cs="仿宋"/>
          <w:color w:val="auto"/>
          <w:sz w:val="24"/>
          <w:highlight w:val="none"/>
        </w:rPr>
        <w:t>供应商名称（电子签章）：</w:t>
      </w:r>
    </w:p>
    <w:p w14:paraId="7EAB0987">
      <w:pPr>
        <w:spacing w:line="360" w:lineRule="auto"/>
        <w:ind w:firstLine="4320" w:firstLineChars="180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   年   月   日</w:t>
      </w:r>
    </w:p>
    <w:p w14:paraId="6EA03995">
      <w:pPr>
        <w:pStyle w:val="3"/>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97" w:name="_Toc18609"/>
      <w:bookmarkStart w:id="98" w:name="_Toc973"/>
      <w:r>
        <w:rPr>
          <w:rFonts w:hint="eastAsia" w:ascii="仿宋" w:hAnsi="仿宋" w:eastAsia="仿宋" w:cs="仿宋"/>
          <w:b w:val="0"/>
          <w:bCs w:val="0"/>
          <w:color w:val="auto"/>
          <w:highlight w:val="none"/>
        </w:rPr>
        <w:t>第三节 商务技术文件格式</w:t>
      </w:r>
      <w:bookmarkEnd w:id="95"/>
      <w:bookmarkEnd w:id="96"/>
      <w:bookmarkEnd w:id="97"/>
      <w:bookmarkEnd w:id="98"/>
    </w:p>
    <w:p w14:paraId="7A866A4A">
      <w:pPr>
        <w:snapToGrid w:val="0"/>
        <w:spacing w:before="165"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
          <w:bCs/>
          <w:color w:val="auto"/>
          <w:sz w:val="24"/>
          <w:highlight w:val="none"/>
        </w:rPr>
        <w:t xml:space="preserve">       </w:t>
      </w:r>
      <w:r>
        <w:rPr>
          <w:rFonts w:hint="eastAsia" w:ascii="仿宋" w:hAnsi="仿宋" w:eastAsia="仿宋" w:cs="仿宋"/>
          <w:b/>
          <w:bCs/>
          <w:color w:val="auto"/>
          <w:highlight w:val="none"/>
        </w:rPr>
        <w:t>全流程电子文件</w:t>
      </w:r>
    </w:p>
    <w:p w14:paraId="73DA93C7">
      <w:pPr>
        <w:snapToGrid w:val="0"/>
        <w:spacing w:before="165" w:beforeLines="50" w:after="50"/>
        <w:rPr>
          <w:rFonts w:hint="eastAsia" w:ascii="仿宋" w:hAnsi="仿宋" w:eastAsia="仿宋" w:cs="仿宋"/>
          <w:color w:val="auto"/>
          <w:sz w:val="24"/>
          <w:szCs w:val="20"/>
          <w:highlight w:val="none"/>
        </w:rPr>
      </w:pPr>
    </w:p>
    <w:p w14:paraId="20B88FA3">
      <w:pPr>
        <w:snapToGrid w:val="0"/>
        <w:spacing w:before="165" w:beforeLines="50" w:after="50"/>
        <w:rPr>
          <w:rFonts w:hint="eastAsia" w:ascii="仿宋" w:hAnsi="仿宋" w:eastAsia="仿宋" w:cs="仿宋"/>
          <w:color w:val="auto"/>
          <w:sz w:val="24"/>
          <w:szCs w:val="20"/>
          <w:highlight w:val="none"/>
        </w:rPr>
      </w:pPr>
    </w:p>
    <w:p w14:paraId="024BB0B7">
      <w:pPr>
        <w:snapToGrid w:val="0"/>
        <w:spacing w:before="165" w:beforeLines="50" w:after="50"/>
        <w:rPr>
          <w:rFonts w:hint="eastAsia" w:ascii="仿宋" w:hAnsi="仿宋" w:eastAsia="仿宋" w:cs="仿宋"/>
          <w:color w:val="auto"/>
          <w:sz w:val="24"/>
          <w:szCs w:val="20"/>
          <w:highlight w:val="none"/>
        </w:rPr>
      </w:pPr>
    </w:p>
    <w:p w14:paraId="6A3AF71F">
      <w:pPr>
        <w:snapToGrid w:val="0"/>
        <w:spacing w:before="165" w:beforeLines="50" w:after="50"/>
        <w:jc w:val="center"/>
        <w:rPr>
          <w:rFonts w:hint="eastAsia" w:ascii="仿宋" w:hAnsi="仿宋" w:eastAsia="仿宋" w:cs="仿宋"/>
          <w:b/>
          <w:color w:val="auto"/>
          <w:sz w:val="52"/>
          <w:szCs w:val="52"/>
          <w:highlight w:val="none"/>
        </w:rPr>
      </w:pPr>
      <w:r>
        <w:rPr>
          <w:rFonts w:hint="eastAsia" w:ascii="仿宋" w:hAnsi="仿宋" w:eastAsia="仿宋" w:cs="仿宋"/>
          <w:b/>
          <w:color w:val="auto"/>
          <w:sz w:val="52"/>
          <w:szCs w:val="52"/>
          <w:highlight w:val="none"/>
        </w:rPr>
        <w:t>商务技术文件（封面）</w:t>
      </w:r>
    </w:p>
    <w:p w14:paraId="4B4A1992">
      <w:pPr>
        <w:snapToGrid w:val="0"/>
        <w:spacing w:before="165" w:beforeLines="50" w:after="50"/>
        <w:rPr>
          <w:rFonts w:hint="eastAsia" w:ascii="仿宋" w:hAnsi="仿宋" w:eastAsia="仿宋" w:cs="仿宋"/>
          <w:bCs/>
          <w:color w:val="auto"/>
          <w:sz w:val="24"/>
          <w:szCs w:val="20"/>
          <w:highlight w:val="none"/>
        </w:rPr>
      </w:pPr>
    </w:p>
    <w:p w14:paraId="1E5FC5C2">
      <w:pPr>
        <w:snapToGrid w:val="0"/>
        <w:spacing w:before="165" w:beforeLines="50" w:after="50"/>
        <w:rPr>
          <w:rFonts w:hint="eastAsia" w:ascii="仿宋" w:hAnsi="仿宋" w:eastAsia="仿宋" w:cs="仿宋"/>
          <w:bCs/>
          <w:color w:val="auto"/>
          <w:sz w:val="24"/>
          <w:szCs w:val="20"/>
          <w:highlight w:val="none"/>
        </w:rPr>
      </w:pPr>
    </w:p>
    <w:p w14:paraId="4590D176">
      <w:pPr>
        <w:snapToGrid w:val="0"/>
        <w:spacing w:before="165" w:beforeLines="50" w:after="50"/>
        <w:rPr>
          <w:rFonts w:hint="eastAsia" w:ascii="仿宋" w:hAnsi="仿宋" w:eastAsia="仿宋" w:cs="仿宋"/>
          <w:bCs/>
          <w:color w:val="auto"/>
          <w:sz w:val="24"/>
          <w:szCs w:val="20"/>
          <w:highlight w:val="none"/>
        </w:rPr>
      </w:pPr>
    </w:p>
    <w:p w14:paraId="451D14D1">
      <w:pPr>
        <w:snapToGrid w:val="0"/>
        <w:spacing w:before="165" w:beforeLines="50" w:after="50"/>
        <w:rPr>
          <w:rFonts w:hint="eastAsia" w:ascii="仿宋" w:hAnsi="仿宋" w:eastAsia="仿宋" w:cs="仿宋"/>
          <w:bCs/>
          <w:color w:val="auto"/>
          <w:sz w:val="24"/>
          <w:szCs w:val="20"/>
          <w:highlight w:val="none"/>
        </w:rPr>
      </w:pPr>
    </w:p>
    <w:p w14:paraId="31E26D95">
      <w:pPr>
        <w:snapToGrid w:val="0"/>
        <w:spacing w:before="165" w:beforeLines="50" w:after="50"/>
        <w:rPr>
          <w:rFonts w:hint="eastAsia" w:ascii="仿宋" w:hAnsi="仿宋" w:eastAsia="仿宋" w:cs="仿宋"/>
          <w:bCs/>
          <w:color w:val="auto"/>
          <w:sz w:val="24"/>
          <w:szCs w:val="20"/>
          <w:highlight w:val="none"/>
        </w:rPr>
      </w:pPr>
    </w:p>
    <w:p w14:paraId="21FDBDBD">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0EEC028D">
      <w:pPr>
        <w:snapToGrid w:val="0"/>
        <w:spacing w:before="165" w:beforeLines="50" w:after="50"/>
        <w:ind w:firstLine="720" w:firstLineChars="225"/>
        <w:rPr>
          <w:rFonts w:hint="eastAsia" w:ascii="仿宋" w:hAnsi="仿宋" w:eastAsia="仿宋" w:cs="仿宋"/>
          <w:bCs/>
          <w:color w:val="auto"/>
          <w:sz w:val="32"/>
          <w:szCs w:val="32"/>
          <w:highlight w:val="none"/>
        </w:rPr>
      </w:pPr>
    </w:p>
    <w:p w14:paraId="2CD98121">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38E687ED">
      <w:pPr>
        <w:snapToGrid w:val="0"/>
        <w:spacing w:before="165"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4B641B08">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2633E639">
      <w:pPr>
        <w:snapToGrid w:val="0"/>
        <w:spacing w:before="165" w:beforeLines="50" w:after="50"/>
        <w:ind w:firstLine="720" w:firstLineChars="225"/>
        <w:rPr>
          <w:rFonts w:hint="eastAsia" w:ascii="仿宋" w:hAnsi="仿宋" w:eastAsia="仿宋" w:cs="仿宋"/>
          <w:bCs/>
          <w:color w:val="auto"/>
          <w:sz w:val="32"/>
          <w:szCs w:val="32"/>
          <w:highlight w:val="none"/>
        </w:rPr>
      </w:pPr>
    </w:p>
    <w:p w14:paraId="2C864EC9">
      <w:pPr>
        <w:pStyle w:val="7"/>
        <w:snapToGrid w:val="0"/>
        <w:spacing w:before="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11F372F0">
      <w:pPr>
        <w:pStyle w:val="7"/>
        <w:snapToGrid w:val="0"/>
        <w:spacing w:before="50" w:after="50"/>
        <w:ind w:firstLine="720" w:firstLineChars="225"/>
        <w:rPr>
          <w:rFonts w:hint="eastAsia" w:ascii="仿宋" w:hAnsi="仿宋" w:eastAsia="仿宋" w:cs="仿宋"/>
          <w:bCs/>
          <w:color w:val="auto"/>
          <w:sz w:val="32"/>
          <w:szCs w:val="32"/>
          <w:highlight w:val="none"/>
        </w:rPr>
      </w:pPr>
    </w:p>
    <w:p w14:paraId="40A2E100">
      <w:pPr>
        <w:pStyle w:val="7"/>
        <w:snapToGrid w:val="0"/>
        <w:spacing w:before="50" w:after="50"/>
        <w:ind w:firstLine="720" w:firstLineChars="225"/>
        <w:rPr>
          <w:rFonts w:hint="eastAsia" w:ascii="仿宋" w:hAnsi="仿宋" w:eastAsia="仿宋" w:cs="仿宋"/>
          <w:bCs/>
          <w:color w:val="auto"/>
          <w:sz w:val="32"/>
          <w:szCs w:val="32"/>
          <w:highlight w:val="none"/>
        </w:rPr>
      </w:pPr>
    </w:p>
    <w:p w14:paraId="30BCE75C">
      <w:pPr>
        <w:pStyle w:val="7"/>
        <w:snapToGrid w:val="0"/>
        <w:spacing w:before="50" w:after="50"/>
        <w:ind w:firstLine="1280" w:firstLineChars="400"/>
        <w:rPr>
          <w:rFonts w:hint="eastAsia" w:ascii="仿宋" w:hAnsi="仿宋" w:eastAsia="仿宋" w:cs="仿宋"/>
          <w:bCs/>
          <w:color w:val="auto"/>
          <w:sz w:val="32"/>
          <w:szCs w:val="32"/>
          <w:highlight w:val="none"/>
        </w:rPr>
      </w:pPr>
    </w:p>
    <w:p w14:paraId="70A2A833">
      <w:pPr>
        <w:snapToGrid w:val="0"/>
        <w:spacing w:before="165"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68AC6704">
      <w:pPr>
        <w:snapToGrid w:val="0"/>
        <w:spacing w:before="165" w:beforeLines="50" w:after="50" w:line="360" w:lineRule="auto"/>
        <w:ind w:left="142" w:firstLine="643" w:firstLineChars="200"/>
        <w:jc w:val="left"/>
        <w:rPr>
          <w:rFonts w:hint="eastAsia" w:ascii="仿宋" w:hAnsi="仿宋" w:eastAsia="仿宋" w:cs="仿宋"/>
          <w:b/>
          <w:bCs/>
          <w:color w:val="auto"/>
          <w:sz w:val="32"/>
          <w:szCs w:val="32"/>
          <w:highlight w:val="none"/>
        </w:rPr>
        <w:sectPr>
          <w:pgSz w:w="11905" w:h="16838"/>
          <w:pgMar w:top="1440" w:right="1080" w:bottom="1440" w:left="1080" w:header="720" w:footer="720" w:gutter="0"/>
          <w:pgNumType w:fmt="decimal"/>
          <w:cols w:space="720" w:num="1"/>
          <w:docGrid w:type="lines" w:linePitch="331" w:charSpace="0"/>
        </w:sectPr>
      </w:pPr>
    </w:p>
    <w:p w14:paraId="54A8D0A9">
      <w:pPr>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商务技术文件目录</w:t>
      </w:r>
    </w:p>
    <w:p w14:paraId="226EFA1C">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一、无串通竞标行为的承诺函………………………………………………（页码）</w:t>
      </w:r>
    </w:p>
    <w:p w14:paraId="3D251636">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二、法定代表人身份证明书及法定代表人有效身份证正反面复印件……（页码）</w:t>
      </w:r>
    </w:p>
    <w:p w14:paraId="13E36817">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三、法定代表人授权委托书及委托代理人有效身份证正反面复印件（如有委托时）……………</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73B75BD0">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val="zh-CN"/>
        </w:rPr>
        <w:t>四、商务条款偏离表………………………………</w:t>
      </w:r>
      <w:r>
        <w:rPr>
          <w:rFonts w:hint="eastAsia" w:ascii="仿宋" w:hAnsi="仿宋" w:eastAsia="仿宋" w:cs="仿宋"/>
          <w:color w:val="auto"/>
          <w:highlight w:val="none"/>
        </w:rPr>
        <w:t>…………………………（页码）</w:t>
      </w:r>
    </w:p>
    <w:p w14:paraId="5A90AF9C">
      <w:pPr>
        <w:pStyle w:val="83"/>
        <w:spacing w:line="360" w:lineRule="auto"/>
        <w:rPr>
          <w:rFonts w:hint="eastAsia" w:ascii="仿宋" w:hAnsi="仿宋" w:eastAsia="仿宋" w:cs="仿宋"/>
          <w:color w:val="auto"/>
          <w:highlight w:val="none"/>
          <w:lang w:val="zh-CN"/>
        </w:rPr>
      </w:pPr>
      <w:bookmarkStart w:id="99" w:name="OLE_LINK6"/>
      <w:bookmarkStart w:id="100" w:name="OLE_LINK7"/>
      <w:bookmarkStart w:id="101" w:name="OLE_LINK5"/>
      <w:r>
        <w:rPr>
          <w:rFonts w:hint="eastAsia" w:ascii="仿宋" w:hAnsi="仿宋" w:eastAsia="仿宋" w:cs="仿宋"/>
          <w:color w:val="auto"/>
          <w:highlight w:val="none"/>
          <w:lang w:val="zh-CN"/>
        </w:rPr>
        <w:t>五、竞标人情况介绍……</w:t>
      </w:r>
      <w:r>
        <w:rPr>
          <w:rFonts w:hint="eastAsia" w:ascii="仿宋" w:hAnsi="仿宋" w:eastAsia="仿宋" w:cs="仿宋"/>
          <w:color w:val="auto"/>
          <w:highlight w:val="none"/>
        </w:rPr>
        <w:t>……………………………………………………（页码）</w:t>
      </w:r>
    </w:p>
    <w:p w14:paraId="026C17C8">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val="zh-CN"/>
        </w:rPr>
        <w:t>六、供应商类似的业绩证明文件…………………………</w:t>
      </w:r>
      <w:r>
        <w:rPr>
          <w:rFonts w:hint="eastAsia" w:ascii="仿宋" w:hAnsi="仿宋" w:eastAsia="仿宋" w:cs="仿宋"/>
          <w:color w:val="auto"/>
          <w:highlight w:val="none"/>
        </w:rPr>
        <w:t>…………………（页码）</w:t>
      </w:r>
    </w:p>
    <w:p w14:paraId="621E91E3">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七、技术需求偏离表</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bookmarkEnd w:id="99"/>
      <w:bookmarkEnd w:id="100"/>
    </w:p>
    <w:bookmarkEnd w:id="101"/>
    <w:p w14:paraId="3FACF687">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八、</w:t>
      </w:r>
      <w:r>
        <w:rPr>
          <w:rFonts w:hint="eastAsia" w:ascii="仿宋" w:hAnsi="仿宋" w:eastAsia="仿宋" w:cs="仿宋"/>
          <w:bCs/>
          <w:color w:val="auto"/>
          <w:szCs w:val="21"/>
          <w:highlight w:val="none"/>
        </w:rPr>
        <w:t>施工组织设计</w:t>
      </w:r>
      <w:r>
        <w:rPr>
          <w:rFonts w:hint="eastAsia" w:ascii="仿宋" w:hAnsi="仿宋" w:eastAsia="仿宋" w:cs="仿宋"/>
          <w:color w:val="auto"/>
          <w:highlight w:val="none"/>
        </w:rPr>
        <w:t>……………………………………………………………（页码）</w:t>
      </w:r>
    </w:p>
    <w:p w14:paraId="1008B0CB">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九、</w:t>
      </w:r>
      <w:r>
        <w:rPr>
          <w:rFonts w:hint="eastAsia" w:ascii="仿宋" w:hAnsi="仿宋" w:eastAsia="仿宋" w:cs="仿宋"/>
          <w:bCs/>
          <w:color w:val="auto"/>
          <w:szCs w:val="21"/>
          <w:highlight w:val="none"/>
        </w:rPr>
        <w:t>项目管理机构</w:t>
      </w:r>
      <w:r>
        <w:rPr>
          <w:rFonts w:hint="eastAsia" w:ascii="仿宋" w:hAnsi="仿宋" w:eastAsia="仿宋" w:cs="仿宋"/>
          <w:color w:val="auto"/>
          <w:highlight w:val="none"/>
        </w:rPr>
        <w:t>……………………………………………………………（页码）</w:t>
      </w:r>
    </w:p>
    <w:p w14:paraId="214E89C2">
      <w:pPr>
        <w:pStyle w:val="8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十、供应商认为需要提供的其他有关资料…………………………………（页码）</w:t>
      </w:r>
    </w:p>
    <w:p w14:paraId="63657653">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注：以上目录是基本格式要求，各供应商可根据自身情况进一步向下增加内容或细化。</w:t>
      </w:r>
    </w:p>
    <w:p w14:paraId="3E28F417">
      <w:pPr>
        <w:spacing w:line="400" w:lineRule="exact"/>
        <w:rPr>
          <w:rFonts w:hint="eastAsia" w:ascii="仿宋" w:hAnsi="仿宋" w:eastAsia="仿宋" w:cs="仿宋"/>
          <w:color w:val="auto"/>
          <w:sz w:val="32"/>
          <w:szCs w:val="32"/>
          <w:highlight w:val="none"/>
        </w:rPr>
      </w:pPr>
    </w:p>
    <w:p w14:paraId="7E6C0043">
      <w:pPr>
        <w:spacing w:line="520" w:lineRule="exact"/>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color w:val="auto"/>
          <w:sz w:val="44"/>
          <w:szCs w:val="44"/>
          <w:highlight w:val="none"/>
        </w:rPr>
        <w:t xml:space="preserve">  </w:t>
      </w:r>
      <w:r>
        <w:rPr>
          <w:rFonts w:hint="eastAsia" w:ascii="仿宋" w:hAnsi="仿宋" w:eastAsia="仿宋" w:cs="仿宋"/>
          <w:b/>
          <w:color w:val="auto"/>
          <w:sz w:val="30"/>
          <w:szCs w:val="30"/>
          <w:highlight w:val="none"/>
        </w:rPr>
        <w:t>一、无串通竞标行为的承诺函</w:t>
      </w:r>
    </w:p>
    <w:p w14:paraId="51621D02">
      <w:pPr>
        <w:spacing w:line="520" w:lineRule="exact"/>
        <w:jc w:val="center"/>
        <w:rPr>
          <w:rFonts w:hint="eastAsia" w:ascii="仿宋" w:hAnsi="仿宋" w:eastAsia="仿宋" w:cs="仿宋"/>
          <w:color w:val="auto"/>
          <w:sz w:val="44"/>
          <w:szCs w:val="44"/>
          <w:highlight w:val="none"/>
        </w:rPr>
      </w:pPr>
    </w:p>
    <w:p w14:paraId="4D29340C">
      <w:pPr>
        <w:spacing w:after="165" w:afterLines="50" w:line="52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无串通竞标行为的承诺函</w:t>
      </w:r>
    </w:p>
    <w:p w14:paraId="3F993EB6">
      <w:pPr>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一、我方承诺无下列相互串通竞标的情形：</w:t>
      </w:r>
    </w:p>
    <w:p w14:paraId="207BE68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1.不同供应商的响应文件由同一单位或者个人编制；或者不同供应商报名的IP地址一致的；或者编制响应文件硬件设备CPU编号、硬盘编号、网卡地址一致的情况。</w:t>
      </w:r>
    </w:p>
    <w:p w14:paraId="2E924DF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2.不同供应商委托同一单位或者个人办理竞标事宜；</w:t>
      </w:r>
    </w:p>
    <w:p w14:paraId="337DFEE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3.不同的供应商的响应文件载明的项目管理员为同一个人；</w:t>
      </w:r>
    </w:p>
    <w:p w14:paraId="0B3B87E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4.不</w:t>
      </w:r>
      <w:r>
        <w:rPr>
          <w:rFonts w:hint="eastAsia" w:ascii="仿宋" w:hAnsi="仿宋" w:eastAsia="仿宋" w:cs="仿宋"/>
          <w:color w:val="auto"/>
          <w:spacing w:val="-6"/>
          <w:sz w:val="24"/>
          <w:highlight w:val="none"/>
        </w:rPr>
        <w:t>同供应商的响应文件异常一致或者竞标报价呈规律性差异；</w:t>
      </w:r>
    </w:p>
    <w:p w14:paraId="38581EE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5.不同供应商的响应文件相互混装；</w:t>
      </w:r>
    </w:p>
    <w:p w14:paraId="5A6C292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6.不同供应商的竞标保证金从同一单位或者个人账户转出。</w:t>
      </w:r>
    </w:p>
    <w:p w14:paraId="13B68EFB">
      <w:pPr>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二、我方承诺无下列恶意串通的情形：</w:t>
      </w:r>
    </w:p>
    <w:p w14:paraId="154FBC2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1.供应商直接或者间接从采购人或者采购代理机构处获得其他供应商的相关信息并修改其响应文件；</w:t>
      </w:r>
    </w:p>
    <w:p w14:paraId="5C59A60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2.供应商按照采购人或者采购代理机构的授意撤换、修改响应文件；</w:t>
      </w:r>
    </w:p>
    <w:p w14:paraId="565845E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w:t>
      </w:r>
      <w:r>
        <w:rPr>
          <w:rFonts w:hint="eastAsia" w:ascii="仿宋" w:hAnsi="仿宋" w:eastAsia="仿宋" w:cs="仿宋"/>
          <w:color w:val="auto"/>
          <w:spacing w:val="-6"/>
          <w:sz w:val="24"/>
          <w:highlight w:val="none"/>
        </w:rPr>
        <w:t>应商之间协商报价、技术方案等响应文件的实质性内容；</w:t>
      </w:r>
    </w:p>
    <w:p w14:paraId="79B01EC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4.属于同一集团、协会、商会等组织成员的供应商按照该组织要求协同参加政府采购活动；</w:t>
      </w:r>
    </w:p>
    <w:p w14:paraId="7046744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22C53D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6.供应商之间商定部分供应商放弃参加政府采购活动或者放弃成交；</w:t>
      </w:r>
    </w:p>
    <w:p w14:paraId="76F0878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7.供应商与采购人或者采购代理机构之间、供应商相互之间，为</w:t>
      </w:r>
      <w:r>
        <w:rPr>
          <w:rFonts w:hint="eastAsia" w:ascii="仿宋" w:hAnsi="仿宋" w:eastAsia="仿宋" w:cs="仿宋"/>
          <w:color w:val="auto"/>
          <w:spacing w:val="-6"/>
          <w:sz w:val="24"/>
          <w:highlight w:val="none"/>
        </w:rPr>
        <w:t>谋求特定供应商成交或者排斥其他供应商的其他串通行为。</w:t>
      </w:r>
    </w:p>
    <w:p w14:paraId="7B784BF4">
      <w:pPr>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5518A98">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4CDBD48A">
      <w:pPr>
        <w:autoSpaceDE w:val="0"/>
        <w:autoSpaceDN w:val="0"/>
        <w:spacing w:line="360" w:lineRule="auto"/>
        <w:ind w:left="4334" w:leftChars="2064"/>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0BDBA31">
      <w:pPr>
        <w:autoSpaceDE w:val="0"/>
        <w:autoSpaceDN w:val="0"/>
        <w:spacing w:line="360" w:lineRule="auto"/>
        <w:ind w:firstLine="6480" w:firstLineChars="2700"/>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 xml:space="preserve">日期：  年  月   日 </w:t>
      </w:r>
      <w:r>
        <w:rPr>
          <w:rFonts w:hint="eastAsia" w:ascii="仿宋" w:hAnsi="仿宋" w:eastAsia="仿宋" w:cs="仿宋"/>
          <w:b/>
          <w:bCs/>
          <w:color w:val="auto"/>
          <w:sz w:val="32"/>
          <w:szCs w:val="32"/>
          <w:highlight w:val="none"/>
        </w:rPr>
        <w:br w:type="page"/>
      </w:r>
      <w:r>
        <w:rPr>
          <w:rFonts w:hint="eastAsia" w:ascii="仿宋" w:hAnsi="仿宋" w:eastAsia="仿宋" w:cs="仿宋"/>
          <w:b/>
          <w:bCs/>
          <w:color w:val="auto"/>
          <w:sz w:val="32"/>
          <w:szCs w:val="32"/>
          <w:highlight w:val="none"/>
        </w:rPr>
        <w:t xml:space="preserve">  </w:t>
      </w:r>
      <w:r>
        <w:rPr>
          <w:rFonts w:hint="eastAsia" w:ascii="仿宋" w:hAnsi="仿宋" w:eastAsia="仿宋" w:cs="仿宋"/>
          <w:b/>
          <w:color w:val="auto"/>
          <w:sz w:val="30"/>
          <w:szCs w:val="30"/>
          <w:highlight w:val="none"/>
        </w:rPr>
        <w:t>二、法定代表人身份证明书及法定代表人有效身份证正反面复印件</w:t>
      </w:r>
    </w:p>
    <w:p w14:paraId="260B2C3D">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法定代表人证明书</w:t>
      </w:r>
    </w:p>
    <w:p w14:paraId="3128778A">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p>
    <w:p w14:paraId="179DA82B">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3388D198">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    别：</w:t>
      </w:r>
      <w:r>
        <w:rPr>
          <w:rFonts w:hint="eastAsia" w:ascii="仿宋" w:hAnsi="仿宋" w:eastAsia="仿宋" w:cs="仿宋"/>
          <w:color w:val="auto"/>
          <w:sz w:val="24"/>
          <w:highlight w:val="none"/>
          <w:u w:val="single"/>
        </w:rPr>
        <w:t xml:space="preserve">                 </w:t>
      </w:r>
    </w:p>
    <w:p w14:paraId="3F7E1A0A">
      <w:pPr>
        <w:spacing w:line="360" w:lineRule="auto"/>
        <w:ind w:left="54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505E161E">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5A3380F3">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（供应商名称） </w:t>
      </w:r>
      <w:r>
        <w:rPr>
          <w:rFonts w:hint="eastAsia" w:ascii="仿宋" w:hAnsi="仿宋" w:eastAsia="仿宋" w:cs="仿宋"/>
          <w:color w:val="auto"/>
          <w:sz w:val="24"/>
          <w:highlight w:val="none"/>
        </w:rPr>
        <w:t>的法定代表人。</w:t>
      </w:r>
    </w:p>
    <w:p w14:paraId="7C3DB35C">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12517732">
      <w:pPr>
        <w:spacing w:line="360" w:lineRule="auto"/>
        <w:contextualSpacing/>
        <w:rPr>
          <w:rFonts w:hint="eastAsia" w:ascii="仿宋" w:hAnsi="仿宋" w:eastAsia="仿宋" w:cs="仿宋"/>
          <w:color w:val="auto"/>
          <w:sz w:val="24"/>
          <w:highlight w:val="none"/>
        </w:rPr>
      </w:pPr>
    </w:p>
    <w:p w14:paraId="560FC7E1">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附件：法定代表人有效身份证正反面复印件</w:t>
      </w:r>
    </w:p>
    <w:p w14:paraId="0FFA415A">
      <w:pPr>
        <w:spacing w:line="360" w:lineRule="auto"/>
        <w:ind w:left="540"/>
        <w:contextualSpacing/>
        <w:rPr>
          <w:rFonts w:hint="eastAsia" w:ascii="仿宋" w:hAnsi="仿宋" w:eastAsia="仿宋" w:cs="仿宋"/>
          <w:color w:val="auto"/>
          <w:kern w:val="0"/>
          <w:sz w:val="24"/>
          <w:highlight w:val="none"/>
        </w:rPr>
      </w:pPr>
      <w:r>
        <w:rPr>
          <w:rFonts w:hint="eastAsia" w:ascii="仿宋" w:hAnsi="仿宋" w:eastAsia="仿宋" w:cs="仿宋"/>
          <w:color w:val="auto"/>
          <w:highlight w:val="none"/>
        </w:rPr>
        <mc:AlternateContent>
          <mc:Choice Requires="wps">
            <w:drawing>
              <wp:inline distT="0" distB="0" distL="114300" distR="114300">
                <wp:extent cx="2240915" cy="1125855"/>
                <wp:effectExtent l="4445" t="4445" r="21590" b="12700"/>
                <wp:docPr id="1" name="Text Box 23"/>
                <wp:cNvGraphicFramePr/>
                <a:graphic xmlns:a="http://schemas.openxmlformats.org/drawingml/2006/main">
                  <a:graphicData uri="http://schemas.microsoft.com/office/word/2010/wordprocessingShape">
                    <wps:wsp>
                      <wps:cNvSpPr txBox="1">
                        <a:spLocks noRot="1"/>
                      </wps:cNvSpPr>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0537656">
                            <w:pPr>
                              <w:jc w:val="center"/>
                              <w:rPr>
                                <w:rFonts w:ascii="宋体"/>
                              </w:rPr>
                            </w:pPr>
                          </w:p>
                          <w:p w14:paraId="0C92D0E0">
                            <w:pPr>
                              <w:jc w:val="center"/>
                              <w:rPr>
                                <w:rFonts w:ascii="宋体" w:hAnsi="宋体"/>
                                <w:sz w:val="24"/>
                              </w:rPr>
                            </w:pPr>
                            <w:r>
                              <w:rPr>
                                <w:rFonts w:hint="eastAsia" w:ascii="宋体" w:hAnsi="宋体"/>
                                <w:sz w:val="24"/>
                              </w:rPr>
                              <w:t>法定代表人身份证复印件</w:t>
                            </w:r>
                          </w:p>
                          <w:p w14:paraId="3A3B6AF1">
                            <w:pPr>
                              <w:jc w:val="center"/>
                              <w:rPr>
                                <w:sz w:val="24"/>
                              </w:rPr>
                            </w:pPr>
                            <w:r>
                              <w:rPr>
                                <w:rFonts w:hint="eastAsia" w:ascii="宋体" w:hAnsi="宋体"/>
                                <w:sz w:val="24"/>
                              </w:rPr>
                              <w:t>（正面）</w:t>
                            </w:r>
                          </w:p>
                        </w:txbxContent>
                      </wps:txbx>
                      <wps:bodyPr anchor="ctr" anchorCtr="0" upright="1"/>
                    </wps:wsp>
                  </a:graphicData>
                </a:graphic>
              </wp:inline>
            </w:drawing>
          </mc:Choice>
          <mc:Fallback>
            <w:pict>
              <v:shape id="Text Box 23" o:spid="_x0000_s1026" o:spt="202" type="#_x0000_t202" style="height:88.65pt;width:176.45pt;v-text-anchor:middle;" fillcolor="#FFFFFF" filled="t" stroked="t" coordsize="21600,21600" o:gfxdata="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bc1kHTAAAABQEAAA8AAAAA&#10;AAAAAQAgAAAAIgAAAGRycy9kb3ducmV2LnhtbFBLAQIUABQAAAAIAIdO4kAA6r1QGQIAAHQEAAAO&#10;AAAAAAAAAAEAIAAAACIBAABkcnMvZTJvRG9jLnhtbFBLBQYAAAAABgAGAFkBAACtBQAAAAA=&#10;">
                <v:fill on="t" focussize="0,0"/>
                <v:stroke color="#000000" joinstyle="miter" dashstyle="dash"/>
                <v:imagedata o:title=""/>
                <o:lock v:ext="edit" rotation="t" aspectratio="f"/>
                <v:textbox>
                  <w:txbxContent>
                    <w:p w14:paraId="10537656">
                      <w:pPr>
                        <w:jc w:val="center"/>
                        <w:rPr>
                          <w:rFonts w:ascii="宋体"/>
                        </w:rPr>
                      </w:pPr>
                    </w:p>
                    <w:p w14:paraId="0C92D0E0">
                      <w:pPr>
                        <w:jc w:val="center"/>
                        <w:rPr>
                          <w:rFonts w:ascii="宋体" w:hAnsi="宋体"/>
                          <w:sz w:val="24"/>
                        </w:rPr>
                      </w:pPr>
                      <w:r>
                        <w:rPr>
                          <w:rFonts w:hint="eastAsia" w:ascii="宋体" w:hAnsi="宋体"/>
                          <w:sz w:val="24"/>
                        </w:rPr>
                        <w:t>法定代表人身份证复印件</w:t>
                      </w:r>
                    </w:p>
                    <w:p w14:paraId="3A3B6AF1">
                      <w:pPr>
                        <w:jc w:val="center"/>
                        <w:rPr>
                          <w:sz w:val="24"/>
                        </w:rPr>
                      </w:pPr>
                      <w:r>
                        <w:rPr>
                          <w:rFonts w:hint="eastAsia" w:ascii="宋体" w:hAnsi="宋体"/>
                          <w:sz w:val="24"/>
                        </w:rPr>
                        <w:t>（正面）</w:t>
                      </w:r>
                    </w:p>
                  </w:txbxContent>
                </v:textbox>
                <w10:wrap type="none"/>
                <w10:anchorlock/>
              </v:shape>
            </w:pict>
          </mc:Fallback>
        </mc:AlternateContent>
      </w:r>
      <w:r>
        <w:rPr>
          <w:rFonts w:hint="eastAsia" w:ascii="仿宋" w:hAnsi="仿宋" w:eastAsia="仿宋" w:cs="仿宋"/>
          <w:color w:val="auto"/>
          <w:highlight w:val="none"/>
        </w:rPr>
        <w:t xml:space="preserve">      </w:t>
      </w:r>
      <w:r>
        <w:rPr>
          <w:rFonts w:hint="eastAsia" w:ascii="仿宋" w:hAnsi="仿宋" w:eastAsia="仿宋" w:cs="仿宋"/>
          <w:color w:val="auto"/>
          <w:highlight w:val="none"/>
        </w:rPr>
        <mc:AlternateContent>
          <mc:Choice Requires="wps">
            <w:drawing>
              <wp:inline distT="0" distB="0" distL="114300" distR="114300">
                <wp:extent cx="2240915" cy="1125855"/>
                <wp:effectExtent l="4445" t="4445" r="21590" b="12700"/>
                <wp:docPr id="2" name="文本框 108"/>
                <wp:cNvGraphicFramePr/>
                <a:graphic xmlns:a="http://schemas.openxmlformats.org/drawingml/2006/main">
                  <a:graphicData uri="http://schemas.microsoft.com/office/word/2010/wordprocessingShape">
                    <wps:wsp>
                      <wps:cNvSpPr txBox="1">
                        <a:spLocks noRot="1"/>
                      </wps:cNvSpPr>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DA218D4">
                            <w:pPr>
                              <w:jc w:val="center"/>
                              <w:rPr>
                                <w:rFonts w:ascii="宋体"/>
                              </w:rPr>
                            </w:pPr>
                          </w:p>
                          <w:p w14:paraId="00970903">
                            <w:pPr>
                              <w:jc w:val="center"/>
                              <w:rPr>
                                <w:rFonts w:ascii="宋体" w:hAnsi="宋体"/>
                                <w:sz w:val="24"/>
                              </w:rPr>
                            </w:pPr>
                            <w:r>
                              <w:rPr>
                                <w:rFonts w:hint="eastAsia" w:ascii="宋体" w:hAnsi="宋体"/>
                                <w:sz w:val="24"/>
                              </w:rPr>
                              <w:t>法定代表人身份证复印件</w:t>
                            </w:r>
                          </w:p>
                          <w:p w14:paraId="2A77152D">
                            <w:pPr>
                              <w:jc w:val="center"/>
                              <w:rPr>
                                <w:sz w:val="24"/>
                              </w:rPr>
                            </w:pPr>
                            <w:r>
                              <w:rPr>
                                <w:rFonts w:hint="eastAsia" w:ascii="宋体" w:hAnsi="宋体"/>
                                <w:sz w:val="24"/>
                              </w:rPr>
                              <w:t>（反面）</w:t>
                            </w:r>
                          </w:p>
                        </w:txbxContent>
                      </wps:txbx>
                      <wps:bodyPr anchor="ctr" anchorCtr="0" upright="1"/>
                    </wps:wsp>
                  </a:graphicData>
                </a:graphic>
              </wp:inline>
            </w:drawing>
          </mc:Choice>
          <mc:Fallback>
            <w:pict>
              <v:shape id="文本框 108" o:spid="_x0000_s1026" o:spt="202" type="#_x0000_t202" style="height:88.65pt;width:176.45pt;v-text-anchor:middle;" fillcolor="#FFFFFF" filled="t" stroked="t" coordsize="21600,21600" o:gfxdata="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W&#10;3NZB0wAAAAUBAAAPAAAAAAAAAAEAIAAAACIAAABkcnMvZG93bnJldi54bWxQSwECFAAUAAAACACH&#10;TuJAQFs5ESkCAAB2BAAADgAAAAAAAAABACAAAAAiAQAAZHJzL2Uyb0RvYy54bWxQSwUGAAAAAAYA&#10;BgBZAQAAvQUAAAAA&#10;">
                <v:fill on="t" focussize="0,0"/>
                <v:stroke color="#000000" joinstyle="miter" dashstyle="dash"/>
                <v:imagedata o:title=""/>
                <o:lock v:ext="edit" rotation="t" aspectratio="f"/>
                <v:textbox>
                  <w:txbxContent>
                    <w:p w14:paraId="0DA218D4">
                      <w:pPr>
                        <w:jc w:val="center"/>
                        <w:rPr>
                          <w:rFonts w:ascii="宋体"/>
                        </w:rPr>
                      </w:pPr>
                    </w:p>
                    <w:p w14:paraId="00970903">
                      <w:pPr>
                        <w:jc w:val="center"/>
                        <w:rPr>
                          <w:rFonts w:ascii="宋体" w:hAnsi="宋体"/>
                          <w:sz w:val="24"/>
                        </w:rPr>
                      </w:pPr>
                      <w:r>
                        <w:rPr>
                          <w:rFonts w:hint="eastAsia" w:ascii="宋体" w:hAnsi="宋体"/>
                          <w:sz w:val="24"/>
                        </w:rPr>
                        <w:t>法定代表人身份证复印件</w:t>
                      </w:r>
                    </w:p>
                    <w:p w14:paraId="2A77152D">
                      <w:pPr>
                        <w:jc w:val="center"/>
                        <w:rPr>
                          <w:sz w:val="24"/>
                        </w:rPr>
                      </w:pPr>
                      <w:r>
                        <w:rPr>
                          <w:rFonts w:hint="eastAsia" w:ascii="宋体" w:hAnsi="宋体"/>
                          <w:sz w:val="24"/>
                        </w:rPr>
                        <w:t>（反面）</w:t>
                      </w:r>
                    </w:p>
                  </w:txbxContent>
                </v:textbox>
                <w10:wrap type="none"/>
                <w10:anchorlock/>
              </v:shape>
            </w:pict>
          </mc:Fallback>
        </mc:AlternateContent>
      </w:r>
    </w:p>
    <w:p w14:paraId="18691CA7">
      <w:pPr>
        <w:autoSpaceDE w:val="0"/>
        <w:autoSpaceDN w:val="0"/>
        <w:spacing w:line="360" w:lineRule="auto"/>
        <w:ind w:left="4334" w:leftChars="2064" w:firstLine="240" w:firstLine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C4B8B15">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 日期：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月   日</w:t>
      </w:r>
    </w:p>
    <w:p w14:paraId="367993BB">
      <w:pPr>
        <w:spacing w:line="360" w:lineRule="auto"/>
        <w:contextualSpacing/>
        <w:jc w:val="left"/>
        <w:rPr>
          <w:rFonts w:hint="eastAsia" w:ascii="仿宋" w:hAnsi="仿宋" w:eastAsia="仿宋" w:cs="仿宋"/>
          <w:color w:val="auto"/>
          <w:sz w:val="24"/>
          <w:highlight w:val="none"/>
        </w:rPr>
      </w:pPr>
    </w:p>
    <w:p w14:paraId="71C93EBD">
      <w:pPr>
        <w:spacing w:line="360" w:lineRule="auto"/>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注：1.自然人竞标的无需提供，联合体竞标的只需牵头人出具。</w:t>
      </w:r>
    </w:p>
    <w:p w14:paraId="0251441E">
      <w:pPr>
        <w:spacing w:line="360" w:lineRule="auto"/>
        <w:ind w:firstLine="480" w:firstLineChars="200"/>
        <w:contextualSpacing/>
        <w:jc w:val="left"/>
        <w:rPr>
          <w:rFonts w:hint="eastAsia" w:ascii="仿宋" w:hAnsi="仿宋" w:eastAsia="仿宋" w:cs="仿宋"/>
          <w:color w:val="auto"/>
          <w:sz w:val="24"/>
          <w:highlight w:val="none"/>
        </w:rPr>
        <w:sectPr>
          <w:pgSz w:w="11905" w:h="16838"/>
          <w:pgMar w:top="1440" w:right="1080" w:bottom="1440" w:left="1080" w:header="720" w:footer="720" w:gutter="0"/>
          <w:pgNumType w:fmt="decimal"/>
          <w:cols w:space="720" w:num="1"/>
          <w:docGrid w:type="lines" w:linePitch="331" w:charSpace="0"/>
        </w:sect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9973F1A">
      <w:pPr>
        <w:spacing w:line="520" w:lineRule="exact"/>
        <w:ind w:firstLine="602" w:firstLineChars="200"/>
        <w:jc w:val="left"/>
        <w:rPr>
          <w:rFonts w:hint="eastAsia" w:ascii="仿宋" w:hAnsi="仿宋" w:eastAsia="仿宋" w:cs="仿宋"/>
          <w:bCs/>
          <w:color w:val="auto"/>
          <w:sz w:val="44"/>
          <w:szCs w:val="44"/>
          <w:highlight w:val="none"/>
        </w:rPr>
      </w:pPr>
      <w:r>
        <w:rPr>
          <w:rFonts w:hint="eastAsia" w:ascii="仿宋" w:hAnsi="仿宋" w:eastAsia="仿宋" w:cs="仿宋"/>
          <w:b/>
          <w:color w:val="auto"/>
          <w:sz w:val="30"/>
          <w:szCs w:val="30"/>
          <w:highlight w:val="none"/>
        </w:rPr>
        <w:t>三、法定代表人授权委托书及委托代理人有效身份证正反面复印件（如有委托时）</w:t>
      </w:r>
    </w:p>
    <w:p w14:paraId="19D31134">
      <w:pPr>
        <w:spacing w:line="500" w:lineRule="exact"/>
        <w:jc w:val="center"/>
        <w:rPr>
          <w:rFonts w:hint="eastAsia" w:ascii="仿宋" w:hAnsi="仿宋" w:eastAsia="仿宋" w:cs="仿宋"/>
          <w:color w:val="auto"/>
          <w:sz w:val="44"/>
          <w:szCs w:val="44"/>
          <w:highlight w:val="none"/>
        </w:rPr>
      </w:pPr>
    </w:p>
    <w:p w14:paraId="7C7CB811">
      <w:pPr>
        <w:spacing w:line="52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授权委托书（非联合体竞标格式）</w:t>
      </w:r>
    </w:p>
    <w:p w14:paraId="00C9D566">
      <w:pPr>
        <w:spacing w:line="52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（如有委托时）</w:t>
      </w:r>
    </w:p>
    <w:p w14:paraId="2BBE12B7">
      <w:pPr>
        <w:spacing w:line="520" w:lineRule="exact"/>
        <w:rPr>
          <w:rFonts w:hint="eastAsia" w:ascii="仿宋" w:hAnsi="仿宋" w:eastAsia="仿宋" w:cs="仿宋"/>
          <w:color w:val="auto"/>
          <w:sz w:val="32"/>
          <w:szCs w:val="32"/>
          <w:highlight w:val="none"/>
        </w:rPr>
      </w:pPr>
    </w:p>
    <w:p w14:paraId="0FDDEDD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广西同盛工程咨询有限公司</w:t>
      </w:r>
    </w:p>
    <w:p w14:paraId="5C6C101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（供应商名称）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□法定代表人/□负责人/□自然人本人</w:t>
      </w:r>
      <w:r>
        <w:rPr>
          <w:rFonts w:hint="eastAsia" w:ascii="仿宋" w:hAnsi="仿宋" w:eastAsia="仿宋" w:cs="仿宋"/>
          <w:color w:val="auto"/>
          <w:sz w:val="24"/>
          <w:highlight w:val="none"/>
        </w:rPr>
        <w:t>），现授权</w:t>
      </w:r>
      <w:r>
        <w:rPr>
          <w:rFonts w:hint="eastAsia" w:ascii="仿宋" w:hAnsi="仿宋" w:eastAsia="仿宋" w:cs="仿宋"/>
          <w:color w:val="auto"/>
          <w:sz w:val="24"/>
          <w:highlight w:val="none"/>
          <w:u w:val="single"/>
        </w:rPr>
        <w:t xml:space="preserve"> （姓名、职务）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（项目名称、项目编号）   </w:t>
      </w:r>
      <w:r>
        <w:rPr>
          <w:rFonts w:hint="eastAsia" w:ascii="仿宋" w:hAnsi="仿宋" w:eastAsia="仿宋" w:cs="仿宋"/>
          <w:color w:val="auto"/>
          <w:sz w:val="24"/>
          <w:highlight w:val="none"/>
        </w:rPr>
        <w:t>项目的竞标活动，并代表我方全权办理针对上述项目的所有采购程序和环节的具体事务和签署相关文件。</w:t>
      </w:r>
    </w:p>
    <w:p w14:paraId="4ECF71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我方对委托代理人的签字事项负全部责任。</w:t>
      </w:r>
    </w:p>
    <w:p w14:paraId="2D96AF4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4F3683E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4EC07AF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附：法定代表人身份证明书及委托代理人有效身份证正反面复印件</w:t>
      </w:r>
    </w:p>
    <w:p w14:paraId="64F59DF5">
      <w:pPr>
        <w:spacing w:line="360" w:lineRule="auto"/>
        <w:rPr>
          <w:rFonts w:hint="eastAsia" w:ascii="仿宋" w:hAnsi="仿宋" w:eastAsia="仿宋" w:cs="仿宋"/>
          <w:color w:val="auto"/>
          <w:sz w:val="24"/>
          <w:highlight w:val="none"/>
        </w:rPr>
      </w:pPr>
    </w:p>
    <w:p w14:paraId="47A0131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委托代理人（签字或盖章）：              法定代表人（签字或盖章）：                    </w:t>
      </w:r>
    </w:p>
    <w:p w14:paraId="1E26D40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委托代理人身份证号码：                              </w:t>
      </w:r>
    </w:p>
    <w:p w14:paraId="3D0308C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6AD2552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rPr>
        <w:t>供应商名称（电子签章）：</w:t>
      </w:r>
    </w:p>
    <w:p w14:paraId="7E1EFCFC">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日期：  年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 月   日</w:t>
      </w:r>
    </w:p>
    <w:p w14:paraId="70A334D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注：1.法定代表人必须在授权委托书上亲笔签字或盖章，委托代理人必须在授权委托书上签字或盖章，</w:t>
      </w:r>
      <w:r>
        <w:rPr>
          <w:rFonts w:hint="eastAsia" w:ascii="仿宋" w:hAnsi="仿宋" w:eastAsia="仿宋" w:cs="仿宋"/>
          <w:b/>
          <w:color w:val="auto"/>
          <w:sz w:val="24"/>
          <w:highlight w:val="none"/>
        </w:rPr>
        <w:t>否则其响应文件按无效响应处理。</w:t>
      </w:r>
    </w:p>
    <w:p w14:paraId="08C3892E">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060C332">
      <w:pPr>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 w:val="24"/>
          <w:highlight w:val="none"/>
        </w:rPr>
        <w:t>3.法人、其他组织竞标时“我方”是指“我单位”，自然人竞标时“我方”是指“本人”。</w:t>
      </w:r>
    </w:p>
    <w:p w14:paraId="0F48562B">
      <w:pPr>
        <w:spacing w:line="360" w:lineRule="auto"/>
        <w:ind w:firstLine="602" w:firstLineChars="200"/>
        <w:jc w:val="left"/>
        <w:rPr>
          <w:rFonts w:hint="eastAsia" w:ascii="仿宋" w:hAnsi="仿宋" w:eastAsia="仿宋" w:cs="仿宋"/>
          <w:b/>
          <w:color w:val="auto"/>
          <w:sz w:val="30"/>
          <w:szCs w:val="30"/>
          <w:highlight w:val="none"/>
        </w:rPr>
        <w:sectPr>
          <w:headerReference r:id="rId11" w:type="default"/>
          <w:footerReference r:id="rId12" w:type="default"/>
          <w:pgSz w:w="11900" w:h="16839"/>
          <w:pgMar w:top="1440" w:right="1080" w:bottom="1440" w:left="1080" w:header="969" w:footer="502" w:gutter="0"/>
          <w:pgNumType w:fmt="decimal"/>
          <w:cols w:space="720" w:num="1"/>
        </w:sectPr>
      </w:pPr>
    </w:p>
    <w:p w14:paraId="3B0BFB8B">
      <w:pPr>
        <w:spacing w:line="360" w:lineRule="auto"/>
        <w:ind w:firstLine="602" w:firstLineChars="200"/>
        <w:jc w:val="left"/>
        <w:rPr>
          <w:rFonts w:hint="eastAsia" w:ascii="仿宋" w:hAnsi="仿宋" w:eastAsia="仿宋" w:cs="仿宋"/>
          <w:color w:val="auto"/>
          <w:highlight w:val="none"/>
        </w:rPr>
      </w:pPr>
      <w:r>
        <w:rPr>
          <w:rFonts w:hint="eastAsia" w:ascii="仿宋" w:hAnsi="仿宋" w:eastAsia="仿宋" w:cs="仿宋"/>
          <w:b/>
          <w:color w:val="auto"/>
          <w:sz w:val="30"/>
          <w:szCs w:val="30"/>
          <w:highlight w:val="none"/>
        </w:rPr>
        <w:t>四、商务条款偏离表</w:t>
      </w:r>
    </w:p>
    <w:p w14:paraId="1B661CAC">
      <w:pPr>
        <w:spacing w:line="5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商务条款偏离表</w:t>
      </w:r>
    </w:p>
    <w:p w14:paraId="7B3257BD">
      <w:pPr>
        <w:spacing w:line="520" w:lineRule="exact"/>
        <w:rPr>
          <w:rFonts w:hint="eastAsia" w:ascii="仿宋" w:hAnsi="仿宋" w:eastAsia="仿宋" w:cs="仿宋"/>
          <w:color w:val="auto"/>
          <w:sz w:val="32"/>
          <w:szCs w:val="32"/>
          <w:highlight w:val="none"/>
        </w:rPr>
      </w:pPr>
    </w:p>
    <w:p w14:paraId="399F1B35">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single"/>
        </w:rPr>
        <w:t xml:space="preserve">                </w:t>
      </w:r>
    </w:p>
    <w:p w14:paraId="7FA635D1">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single"/>
        </w:rPr>
        <w:t xml:space="preserve">                 </w:t>
      </w:r>
    </w:p>
    <w:p w14:paraId="7C2C349E">
      <w:pPr>
        <w:spacing w:line="360" w:lineRule="auto"/>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分标号</w:t>
      </w:r>
      <w:r>
        <w:rPr>
          <w:rFonts w:hint="eastAsia" w:ascii="仿宋" w:hAnsi="仿宋" w:eastAsia="仿宋" w:cs="仿宋"/>
          <w:color w:val="auto"/>
          <w:szCs w:val="21"/>
          <w:highlight w:val="none"/>
        </w:rPr>
        <w:t>（此处有分标时填写具体分标号，无分标时填写“无”）</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449"/>
        <w:gridCol w:w="3196"/>
        <w:gridCol w:w="1274"/>
      </w:tblGrid>
      <w:tr w14:paraId="3641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E2B2F6C">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项号</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6592EEB9">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竞争性磋商文件的商务需求</w:t>
            </w:r>
          </w:p>
        </w:tc>
        <w:tc>
          <w:tcPr>
            <w:tcW w:w="3196" w:type="dxa"/>
            <w:tcBorders>
              <w:top w:val="single" w:color="auto" w:sz="4" w:space="0"/>
              <w:left w:val="single" w:color="auto" w:sz="4" w:space="0"/>
              <w:bottom w:val="single" w:color="auto" w:sz="4" w:space="0"/>
              <w:right w:val="single" w:color="auto" w:sz="4" w:space="0"/>
            </w:tcBorders>
            <w:noWrap w:val="0"/>
            <w:vAlign w:val="center"/>
          </w:tcPr>
          <w:p w14:paraId="5538632E">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4F444D2">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偏离说明</w:t>
            </w:r>
          </w:p>
        </w:tc>
      </w:tr>
      <w:tr w14:paraId="2CBC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BD47E2E">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449" w:type="dxa"/>
            <w:tcBorders>
              <w:top w:val="single" w:color="auto" w:sz="4" w:space="0"/>
              <w:left w:val="single" w:color="auto" w:sz="4" w:space="0"/>
              <w:bottom w:val="single" w:color="auto" w:sz="4" w:space="0"/>
              <w:right w:val="single" w:color="auto" w:sz="4" w:space="0"/>
            </w:tcBorders>
            <w:noWrap w:val="0"/>
            <w:vAlign w:val="top"/>
          </w:tcPr>
          <w:p w14:paraId="5A9CE69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43AB8E4D">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69B09090">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1B1F16E8">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196" w:type="dxa"/>
            <w:tcBorders>
              <w:top w:val="single" w:color="auto" w:sz="4" w:space="0"/>
              <w:left w:val="single" w:color="auto" w:sz="4" w:space="0"/>
              <w:bottom w:val="single" w:color="auto" w:sz="4" w:space="0"/>
              <w:right w:val="single" w:color="auto" w:sz="4" w:space="0"/>
            </w:tcBorders>
            <w:noWrap w:val="0"/>
            <w:vAlign w:val="top"/>
          </w:tcPr>
          <w:p w14:paraId="0D0B598F">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3CC65936">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383BA275">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415AB2E7">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A41BF82">
            <w:pPr>
              <w:spacing w:line="300" w:lineRule="exact"/>
              <w:rPr>
                <w:rFonts w:hint="eastAsia" w:ascii="仿宋" w:hAnsi="仿宋" w:eastAsia="仿宋" w:cs="仿宋"/>
                <w:color w:val="auto"/>
                <w:sz w:val="24"/>
                <w:highlight w:val="none"/>
              </w:rPr>
            </w:pPr>
          </w:p>
        </w:tc>
      </w:tr>
      <w:tr w14:paraId="5BB1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21CED548">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449" w:type="dxa"/>
            <w:tcBorders>
              <w:top w:val="single" w:color="auto" w:sz="4" w:space="0"/>
              <w:left w:val="single" w:color="auto" w:sz="4" w:space="0"/>
              <w:bottom w:val="single" w:color="auto" w:sz="4" w:space="0"/>
              <w:right w:val="single" w:color="auto" w:sz="4" w:space="0"/>
            </w:tcBorders>
            <w:noWrap w:val="0"/>
            <w:vAlign w:val="top"/>
          </w:tcPr>
          <w:p w14:paraId="0F185841">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072B90E9">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4DBD6965">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7AEB76A0">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196" w:type="dxa"/>
            <w:tcBorders>
              <w:top w:val="single" w:color="auto" w:sz="4" w:space="0"/>
              <w:left w:val="single" w:color="auto" w:sz="4" w:space="0"/>
              <w:bottom w:val="single" w:color="auto" w:sz="4" w:space="0"/>
              <w:right w:val="single" w:color="auto" w:sz="4" w:space="0"/>
            </w:tcBorders>
            <w:noWrap w:val="0"/>
            <w:vAlign w:val="top"/>
          </w:tcPr>
          <w:p w14:paraId="3E72FC3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7039625A">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5B1A1757">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466EDDA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F1DA64A">
            <w:pPr>
              <w:spacing w:line="300" w:lineRule="exact"/>
              <w:rPr>
                <w:rFonts w:hint="eastAsia" w:ascii="仿宋" w:hAnsi="仿宋" w:eastAsia="仿宋" w:cs="仿宋"/>
                <w:color w:val="auto"/>
                <w:sz w:val="24"/>
                <w:highlight w:val="none"/>
              </w:rPr>
            </w:pPr>
          </w:p>
        </w:tc>
      </w:tr>
    </w:tbl>
    <w:p w14:paraId="26E8DB1D">
      <w:pPr>
        <w:pStyle w:val="14"/>
        <w:spacing w:line="400" w:lineRule="exact"/>
        <w:ind w:firstLine="0" w:firstLineChars="0"/>
        <w:contextualSpacing/>
        <w:rPr>
          <w:rFonts w:hint="eastAsia" w:ascii="仿宋" w:hAnsi="仿宋" w:eastAsia="仿宋" w:cs="仿宋"/>
          <w:color w:val="auto"/>
          <w:sz w:val="21"/>
          <w:szCs w:val="21"/>
          <w:highlight w:val="none"/>
        </w:rPr>
      </w:pPr>
    </w:p>
    <w:p w14:paraId="1D58604C">
      <w:pPr>
        <w:pStyle w:val="14"/>
        <w:spacing w:line="400" w:lineRule="exact"/>
        <w:ind w:firstLine="0" w:firstLineChars="0"/>
        <w:contextualSpacing/>
        <w:rPr>
          <w:rFonts w:hint="eastAsia" w:ascii="仿宋" w:hAnsi="仿宋" w:eastAsia="仿宋" w:cs="仿宋"/>
          <w:color w:val="auto"/>
          <w:sz w:val="21"/>
          <w:szCs w:val="21"/>
          <w:highlight w:val="none"/>
        </w:rPr>
      </w:pPr>
    </w:p>
    <w:p w14:paraId="54EE5DEF">
      <w:pPr>
        <w:pStyle w:val="14"/>
        <w:spacing w:line="400" w:lineRule="exact"/>
        <w:ind w:firstLine="0" w:firstLineChars="0"/>
        <w:contextualSpacing/>
        <w:rPr>
          <w:rFonts w:hint="eastAsia" w:ascii="仿宋" w:hAnsi="仿宋" w:eastAsia="仿宋" w:cs="仿宋"/>
          <w:color w:val="auto"/>
          <w:sz w:val="21"/>
          <w:szCs w:val="21"/>
          <w:highlight w:val="none"/>
        </w:rPr>
      </w:pPr>
    </w:p>
    <w:p w14:paraId="138DA67A">
      <w:pPr>
        <w:pStyle w:val="14"/>
        <w:spacing w:line="400" w:lineRule="exact"/>
        <w:ind w:firstLine="0" w:firstLineChars="0"/>
        <w:contextualSpacing/>
        <w:rPr>
          <w:rFonts w:hint="eastAsia" w:ascii="仿宋" w:hAnsi="仿宋" w:eastAsia="仿宋" w:cs="仿宋"/>
          <w:color w:val="auto"/>
          <w:sz w:val="21"/>
          <w:szCs w:val="21"/>
          <w:highlight w:val="none"/>
        </w:rPr>
      </w:pPr>
    </w:p>
    <w:p w14:paraId="3DAF2847">
      <w:pPr>
        <w:pStyle w:val="14"/>
        <w:spacing w:line="400" w:lineRule="exact"/>
        <w:ind w:firstLine="0" w:firstLineChars="0"/>
        <w:contextualSpacing/>
        <w:rPr>
          <w:rFonts w:hint="eastAsia" w:ascii="仿宋" w:hAnsi="仿宋" w:eastAsia="仿宋" w:cs="仿宋"/>
          <w:color w:val="auto"/>
          <w:sz w:val="21"/>
          <w:szCs w:val="21"/>
          <w:highlight w:val="none"/>
        </w:rPr>
      </w:pPr>
    </w:p>
    <w:p w14:paraId="0C30E2C9">
      <w:pPr>
        <w:pStyle w:val="14"/>
        <w:spacing w:line="400" w:lineRule="exact"/>
        <w:ind w:firstLine="0" w:firstLineChars="0"/>
        <w:contextualSpacing/>
        <w:rPr>
          <w:rFonts w:hint="eastAsia" w:ascii="仿宋" w:hAnsi="仿宋" w:eastAsia="仿宋" w:cs="仿宋"/>
          <w:color w:val="auto"/>
          <w:sz w:val="21"/>
          <w:szCs w:val="21"/>
          <w:highlight w:val="none"/>
        </w:rPr>
      </w:pPr>
    </w:p>
    <w:p w14:paraId="64BC7B0E">
      <w:pPr>
        <w:pStyle w:val="14"/>
        <w:spacing w:line="400" w:lineRule="exact"/>
        <w:ind w:firstLine="0" w:firstLineChars="0"/>
        <w:contextualSpacing/>
        <w:rPr>
          <w:rFonts w:hint="eastAsia" w:ascii="仿宋" w:hAnsi="仿宋" w:eastAsia="仿宋" w:cs="仿宋"/>
          <w:color w:val="auto"/>
          <w:sz w:val="21"/>
          <w:szCs w:val="21"/>
          <w:highlight w:val="none"/>
        </w:rPr>
      </w:pPr>
    </w:p>
    <w:p w14:paraId="410FE23F">
      <w:pPr>
        <w:pStyle w:val="14"/>
        <w:spacing w:line="400" w:lineRule="exact"/>
        <w:ind w:firstLine="0" w:firstLineChars="0"/>
        <w:contextualSpacing/>
        <w:rPr>
          <w:rFonts w:hint="eastAsia" w:ascii="仿宋" w:hAnsi="仿宋" w:eastAsia="仿宋" w:cs="仿宋"/>
          <w:color w:val="auto"/>
          <w:sz w:val="21"/>
          <w:szCs w:val="21"/>
          <w:highlight w:val="none"/>
        </w:rPr>
      </w:pPr>
    </w:p>
    <w:p w14:paraId="4E5BEE2F">
      <w:pPr>
        <w:pStyle w:val="14"/>
        <w:spacing w:line="400" w:lineRule="exact"/>
        <w:ind w:firstLine="0" w:firstLineChars="0"/>
        <w:contextualSpacing/>
        <w:rPr>
          <w:rFonts w:hint="eastAsia" w:ascii="仿宋" w:hAnsi="仿宋" w:eastAsia="仿宋" w:cs="仿宋"/>
          <w:color w:val="auto"/>
          <w:sz w:val="21"/>
          <w:szCs w:val="21"/>
          <w:highlight w:val="none"/>
        </w:rPr>
      </w:pPr>
    </w:p>
    <w:p w14:paraId="36159444">
      <w:pPr>
        <w:pStyle w:val="14"/>
        <w:spacing w:line="400" w:lineRule="exact"/>
        <w:ind w:firstLine="0" w:firstLineChars="0"/>
        <w:contextualSpacing/>
        <w:rPr>
          <w:rFonts w:hint="eastAsia" w:ascii="仿宋" w:hAnsi="仿宋" w:eastAsia="仿宋" w:cs="仿宋"/>
          <w:color w:val="auto"/>
          <w:sz w:val="21"/>
          <w:szCs w:val="21"/>
          <w:highlight w:val="none"/>
        </w:rPr>
      </w:pPr>
    </w:p>
    <w:p w14:paraId="1A91258A">
      <w:pPr>
        <w:pStyle w:val="14"/>
        <w:spacing w:line="400" w:lineRule="exact"/>
        <w:ind w:firstLine="0" w:firstLineChars="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031AD76E">
      <w:pPr>
        <w:pStyle w:val="14"/>
        <w:spacing w:line="400" w:lineRule="exact"/>
        <w:ind w:firstLine="0" w:firstLineChars="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1.说明：应对照磋商文件“第二章 采购需求”中的商务条款逐条作出明确响应，并作出偏离说明。</w:t>
      </w:r>
    </w:p>
    <w:p w14:paraId="543EAE79">
      <w:pPr>
        <w:pStyle w:val="14"/>
        <w:spacing w:line="400" w:lineRule="exact"/>
        <w:ind w:firstLine="0" w:firstLineChars="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当响应文件的商务内容低于竞争性磋商文件要求时，竞标人应当如实写明“负偏离”，否则视为虚假应标。</w:t>
      </w:r>
    </w:p>
    <w:p w14:paraId="7FA25886">
      <w:pPr>
        <w:spacing w:line="400" w:lineRule="exac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3.表格内容均需按要求填写，不得留空，否则按竞标无效处理。</w:t>
      </w:r>
    </w:p>
    <w:p w14:paraId="3AF627F8">
      <w:pPr>
        <w:pStyle w:val="17"/>
        <w:spacing w:line="400" w:lineRule="exact"/>
        <w:contextualSpacing/>
        <w:rPr>
          <w:rFonts w:hint="eastAsia" w:ascii="仿宋" w:hAnsi="仿宋" w:eastAsia="仿宋" w:cs="仿宋"/>
          <w:color w:val="auto"/>
          <w:sz w:val="21"/>
          <w:szCs w:val="18"/>
          <w:highlight w:val="none"/>
        </w:rPr>
      </w:pPr>
      <w:r>
        <w:rPr>
          <w:rFonts w:hint="eastAsia" w:ascii="仿宋" w:hAnsi="仿宋" w:eastAsia="仿宋" w:cs="仿宋"/>
          <w:color w:val="auto"/>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A5E59F0">
      <w:pPr>
        <w:pStyle w:val="17"/>
        <w:spacing w:line="400" w:lineRule="exact"/>
        <w:contextualSpacing/>
        <w:rPr>
          <w:rFonts w:hint="eastAsia" w:ascii="仿宋" w:hAnsi="仿宋" w:eastAsia="仿宋" w:cs="仿宋"/>
          <w:color w:val="auto"/>
          <w:sz w:val="21"/>
          <w:highlight w:val="none"/>
        </w:rPr>
      </w:pPr>
      <w:r>
        <w:rPr>
          <w:rFonts w:hint="eastAsia" w:ascii="仿宋" w:hAnsi="仿宋" w:eastAsia="仿宋" w:cs="仿宋"/>
          <w:color w:val="auto"/>
          <w:sz w:val="21"/>
          <w:highlight w:val="none"/>
        </w:rPr>
        <w:t>5.采购需求中带“▲”及“★”的条款，也要分别在本表“</w:t>
      </w:r>
      <w:r>
        <w:rPr>
          <w:rFonts w:hint="eastAsia" w:ascii="仿宋" w:hAnsi="仿宋" w:eastAsia="仿宋" w:cs="仿宋"/>
          <w:color w:val="auto"/>
          <w:sz w:val="21"/>
          <w:szCs w:val="18"/>
          <w:highlight w:val="none"/>
        </w:rPr>
        <w:t>竞争性磋商文件的商务需求</w:t>
      </w:r>
      <w:r>
        <w:rPr>
          <w:rFonts w:hint="eastAsia" w:ascii="仿宋" w:hAnsi="仿宋" w:eastAsia="仿宋" w:cs="仿宋"/>
          <w:color w:val="auto"/>
          <w:sz w:val="21"/>
          <w:highlight w:val="none"/>
        </w:rPr>
        <w:t>”、“</w:t>
      </w:r>
      <w:r>
        <w:rPr>
          <w:rFonts w:hint="eastAsia" w:ascii="仿宋" w:hAnsi="仿宋" w:eastAsia="仿宋" w:cs="仿宋"/>
          <w:color w:val="auto"/>
          <w:sz w:val="21"/>
          <w:szCs w:val="18"/>
          <w:highlight w:val="none"/>
        </w:rPr>
        <w:t>响应文件承诺的商务条款</w:t>
      </w:r>
      <w:r>
        <w:rPr>
          <w:rFonts w:hint="eastAsia" w:ascii="仿宋" w:hAnsi="仿宋" w:eastAsia="仿宋" w:cs="仿宋"/>
          <w:color w:val="auto"/>
          <w:sz w:val="21"/>
          <w:highlight w:val="none"/>
        </w:rPr>
        <w:t>”中标记，否则按竞标无效处理。</w:t>
      </w:r>
    </w:p>
    <w:p w14:paraId="7344B4CC">
      <w:pPr>
        <w:spacing w:line="360" w:lineRule="auto"/>
        <w:ind w:firstLine="3840" w:firstLineChars="1600"/>
        <w:rPr>
          <w:rFonts w:hint="eastAsia" w:ascii="仿宋" w:hAnsi="仿宋" w:eastAsia="仿宋" w:cs="仿宋"/>
          <w:color w:val="auto"/>
          <w:kern w:val="0"/>
          <w:sz w:val="24"/>
          <w:highlight w:val="none"/>
        </w:rPr>
      </w:pPr>
    </w:p>
    <w:p w14:paraId="5A548B2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D6D2918">
      <w:pPr>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2CCF72D3">
      <w:pPr>
        <w:spacing w:line="360" w:lineRule="auto"/>
        <w:contextualSpacing/>
        <w:jc w:val="center"/>
        <w:rPr>
          <w:rFonts w:hint="eastAsia" w:ascii="仿宋" w:hAnsi="仿宋" w:eastAsia="仿宋" w:cs="仿宋"/>
          <w:b/>
          <w:color w:val="auto"/>
          <w:sz w:val="24"/>
          <w:highlight w:val="none"/>
        </w:rPr>
      </w:pPr>
    </w:p>
    <w:p w14:paraId="577D3130">
      <w:pPr>
        <w:snapToGrid w:val="0"/>
        <w:ind w:firstLine="602" w:firstLineChars="200"/>
        <w:rPr>
          <w:rFonts w:hint="eastAsia" w:ascii="仿宋" w:hAnsi="仿宋" w:eastAsia="仿宋" w:cs="仿宋"/>
          <w:b/>
          <w:color w:val="auto"/>
          <w:sz w:val="30"/>
          <w:szCs w:val="30"/>
          <w:highlight w:val="none"/>
        </w:rPr>
        <w:sectPr>
          <w:pgSz w:w="11900" w:h="16839"/>
          <w:pgMar w:top="1440" w:right="1080" w:bottom="1440" w:left="1080" w:header="969" w:footer="502" w:gutter="0"/>
          <w:pgNumType w:fmt="decimal"/>
          <w:cols w:space="720" w:num="1"/>
        </w:sectPr>
      </w:pPr>
    </w:p>
    <w:p w14:paraId="482B67F6">
      <w:pPr>
        <w:snapToGrid w:val="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五、竞标人情况介绍</w:t>
      </w:r>
    </w:p>
    <w:p w14:paraId="30F0F856">
      <w:pPr>
        <w:snapToGrid w:val="0"/>
        <w:spacing w:line="360" w:lineRule="auto"/>
        <w:ind w:firstLine="602" w:firstLineChars="200"/>
        <w:rPr>
          <w:rFonts w:hint="eastAsia" w:ascii="仿宋" w:hAnsi="仿宋" w:eastAsia="仿宋" w:cs="仿宋"/>
          <w:b/>
          <w:color w:val="auto"/>
          <w:sz w:val="30"/>
          <w:szCs w:val="30"/>
          <w:highlight w:val="none"/>
        </w:rPr>
      </w:pPr>
    </w:p>
    <w:p w14:paraId="7D05A6B1">
      <w:pPr>
        <w:snapToGrid w:val="0"/>
        <w:spacing w:line="360" w:lineRule="auto"/>
        <w:ind w:left="4410" w:leftChars="2100" w:firstLine="6480" w:firstLineChars="27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供</w:t>
      </w:r>
      <w:r>
        <w:rPr>
          <w:rFonts w:hint="eastAsia" w:ascii="仿宋" w:hAnsi="仿宋" w:eastAsia="仿宋" w:cs="仿宋"/>
          <w:color w:val="auto"/>
          <w:kern w:val="0"/>
          <w:sz w:val="24"/>
          <w:highlight w:val="none"/>
        </w:rPr>
        <w:t>供</w:t>
      </w:r>
      <w:r>
        <w:rPr>
          <w:rFonts w:hint="eastAsia" w:ascii="仿宋" w:hAnsi="仿宋" w:eastAsia="仿宋" w:cs="仿宋"/>
          <w:color w:val="auto"/>
          <w:kern w:val="0"/>
          <w:sz w:val="24"/>
          <w:highlight w:val="none"/>
          <w:lang w:val="zh-CN"/>
        </w:rPr>
        <w:t>应商名称(电子签章)：</w:t>
      </w:r>
    </w:p>
    <w:p w14:paraId="122F6819">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82BEE39">
      <w:pPr>
        <w:snapToGrid w:val="0"/>
        <w:ind w:firstLine="301" w:firstLineChars="100"/>
        <w:rPr>
          <w:rFonts w:hint="eastAsia" w:ascii="仿宋" w:hAnsi="仿宋" w:eastAsia="仿宋" w:cs="仿宋"/>
          <w:b/>
          <w:color w:val="auto"/>
          <w:sz w:val="30"/>
          <w:szCs w:val="30"/>
          <w:highlight w:val="none"/>
        </w:rPr>
      </w:pPr>
    </w:p>
    <w:p w14:paraId="7CA28732">
      <w:pPr>
        <w:snapToGrid w:val="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六、供应商类似的业绩证明文件</w:t>
      </w:r>
    </w:p>
    <w:p w14:paraId="05085A38">
      <w:pPr>
        <w:pStyle w:val="23"/>
        <w:snapToGrid w:val="0"/>
        <w:ind w:left="480" w:hanging="480"/>
        <w:rPr>
          <w:rFonts w:hint="eastAsia" w:ascii="仿宋" w:hAnsi="仿宋" w:eastAsia="仿宋" w:cs="仿宋"/>
          <w:color w:val="auto"/>
          <w:sz w:val="24"/>
          <w:highlight w:val="none"/>
        </w:rPr>
      </w:pPr>
    </w:p>
    <w:p w14:paraId="7FA9B892">
      <w:pPr>
        <w:autoSpaceDE w:val="0"/>
        <w:autoSpaceDN w:val="0"/>
        <w:spacing w:line="360" w:lineRule="auto"/>
        <w:ind w:firstLine="120"/>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相关项目业绩一览表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497"/>
        <w:gridCol w:w="2372"/>
        <w:gridCol w:w="1638"/>
        <w:gridCol w:w="2305"/>
      </w:tblGrid>
      <w:tr w14:paraId="66F2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26" w:type="dxa"/>
            <w:noWrap w:val="0"/>
            <w:vAlign w:val="center"/>
          </w:tcPr>
          <w:p w14:paraId="26283B25">
            <w:pPr>
              <w:pStyle w:val="17"/>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497" w:type="dxa"/>
            <w:noWrap w:val="0"/>
            <w:vAlign w:val="center"/>
          </w:tcPr>
          <w:p w14:paraId="3F822604">
            <w:pPr>
              <w:pStyle w:val="17"/>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p>
        </w:tc>
        <w:tc>
          <w:tcPr>
            <w:tcW w:w="2372" w:type="dxa"/>
            <w:noWrap w:val="0"/>
            <w:vAlign w:val="center"/>
          </w:tcPr>
          <w:p w14:paraId="6C54768E">
            <w:pPr>
              <w:pStyle w:val="17"/>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1638" w:type="dxa"/>
            <w:noWrap w:val="0"/>
            <w:vAlign w:val="center"/>
          </w:tcPr>
          <w:p w14:paraId="41D51FF2">
            <w:pPr>
              <w:pStyle w:val="17"/>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合同金额（万元）</w:t>
            </w:r>
          </w:p>
        </w:tc>
        <w:tc>
          <w:tcPr>
            <w:tcW w:w="2305" w:type="dxa"/>
            <w:noWrap w:val="0"/>
            <w:vAlign w:val="center"/>
          </w:tcPr>
          <w:p w14:paraId="580E7210">
            <w:pPr>
              <w:pStyle w:val="17"/>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采购人联系人及联系电话</w:t>
            </w:r>
          </w:p>
        </w:tc>
      </w:tr>
      <w:tr w14:paraId="7FEB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26" w:type="dxa"/>
            <w:noWrap w:val="0"/>
            <w:vAlign w:val="center"/>
          </w:tcPr>
          <w:p w14:paraId="55DF39DF">
            <w:pPr>
              <w:pStyle w:val="17"/>
              <w:jc w:val="center"/>
              <w:rPr>
                <w:rFonts w:hint="eastAsia" w:ascii="仿宋" w:hAnsi="仿宋" w:eastAsia="仿宋" w:cs="仿宋"/>
                <w:color w:val="auto"/>
                <w:sz w:val="24"/>
                <w:szCs w:val="24"/>
                <w:highlight w:val="none"/>
              </w:rPr>
            </w:pPr>
          </w:p>
        </w:tc>
        <w:tc>
          <w:tcPr>
            <w:tcW w:w="2497" w:type="dxa"/>
            <w:noWrap w:val="0"/>
            <w:vAlign w:val="center"/>
          </w:tcPr>
          <w:p w14:paraId="46813117">
            <w:pPr>
              <w:pStyle w:val="17"/>
              <w:jc w:val="center"/>
              <w:rPr>
                <w:rFonts w:hint="eastAsia" w:ascii="仿宋" w:hAnsi="仿宋" w:eastAsia="仿宋" w:cs="仿宋"/>
                <w:color w:val="auto"/>
                <w:sz w:val="24"/>
                <w:szCs w:val="24"/>
                <w:highlight w:val="none"/>
              </w:rPr>
            </w:pPr>
          </w:p>
        </w:tc>
        <w:tc>
          <w:tcPr>
            <w:tcW w:w="2372" w:type="dxa"/>
            <w:noWrap w:val="0"/>
            <w:vAlign w:val="center"/>
          </w:tcPr>
          <w:p w14:paraId="25EAC6DB">
            <w:pPr>
              <w:pStyle w:val="17"/>
              <w:jc w:val="center"/>
              <w:rPr>
                <w:rFonts w:hint="eastAsia" w:ascii="仿宋" w:hAnsi="仿宋" w:eastAsia="仿宋" w:cs="仿宋"/>
                <w:color w:val="auto"/>
                <w:sz w:val="24"/>
                <w:szCs w:val="24"/>
                <w:highlight w:val="none"/>
              </w:rPr>
            </w:pPr>
          </w:p>
        </w:tc>
        <w:tc>
          <w:tcPr>
            <w:tcW w:w="1638" w:type="dxa"/>
            <w:noWrap w:val="0"/>
            <w:vAlign w:val="center"/>
          </w:tcPr>
          <w:p w14:paraId="7B5F00C0">
            <w:pPr>
              <w:pStyle w:val="17"/>
              <w:jc w:val="center"/>
              <w:rPr>
                <w:rFonts w:hint="eastAsia" w:ascii="仿宋" w:hAnsi="仿宋" w:eastAsia="仿宋" w:cs="仿宋"/>
                <w:color w:val="auto"/>
                <w:sz w:val="24"/>
                <w:szCs w:val="24"/>
                <w:highlight w:val="none"/>
              </w:rPr>
            </w:pPr>
          </w:p>
        </w:tc>
        <w:tc>
          <w:tcPr>
            <w:tcW w:w="2305" w:type="dxa"/>
            <w:noWrap w:val="0"/>
            <w:vAlign w:val="center"/>
          </w:tcPr>
          <w:p w14:paraId="5E169362">
            <w:pPr>
              <w:pStyle w:val="17"/>
              <w:jc w:val="center"/>
              <w:rPr>
                <w:rFonts w:hint="eastAsia" w:ascii="仿宋" w:hAnsi="仿宋" w:eastAsia="仿宋" w:cs="仿宋"/>
                <w:color w:val="auto"/>
                <w:sz w:val="24"/>
                <w:szCs w:val="24"/>
                <w:highlight w:val="none"/>
              </w:rPr>
            </w:pPr>
          </w:p>
        </w:tc>
      </w:tr>
      <w:tr w14:paraId="12E6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26" w:type="dxa"/>
            <w:noWrap w:val="0"/>
            <w:vAlign w:val="center"/>
          </w:tcPr>
          <w:p w14:paraId="230F9CE1">
            <w:pPr>
              <w:pStyle w:val="17"/>
              <w:jc w:val="center"/>
              <w:rPr>
                <w:rFonts w:hint="eastAsia" w:ascii="仿宋" w:hAnsi="仿宋" w:eastAsia="仿宋" w:cs="仿宋"/>
                <w:color w:val="auto"/>
                <w:sz w:val="24"/>
                <w:szCs w:val="24"/>
                <w:highlight w:val="none"/>
              </w:rPr>
            </w:pPr>
          </w:p>
        </w:tc>
        <w:tc>
          <w:tcPr>
            <w:tcW w:w="2497" w:type="dxa"/>
            <w:noWrap w:val="0"/>
            <w:vAlign w:val="center"/>
          </w:tcPr>
          <w:p w14:paraId="0A853B51">
            <w:pPr>
              <w:pStyle w:val="17"/>
              <w:jc w:val="center"/>
              <w:rPr>
                <w:rFonts w:hint="eastAsia" w:ascii="仿宋" w:hAnsi="仿宋" w:eastAsia="仿宋" w:cs="仿宋"/>
                <w:color w:val="auto"/>
                <w:sz w:val="24"/>
                <w:szCs w:val="24"/>
                <w:highlight w:val="none"/>
              </w:rPr>
            </w:pPr>
          </w:p>
        </w:tc>
        <w:tc>
          <w:tcPr>
            <w:tcW w:w="2372" w:type="dxa"/>
            <w:noWrap w:val="0"/>
            <w:vAlign w:val="center"/>
          </w:tcPr>
          <w:p w14:paraId="2B87A7E9">
            <w:pPr>
              <w:pStyle w:val="17"/>
              <w:jc w:val="center"/>
              <w:rPr>
                <w:rFonts w:hint="eastAsia" w:ascii="仿宋" w:hAnsi="仿宋" w:eastAsia="仿宋" w:cs="仿宋"/>
                <w:color w:val="auto"/>
                <w:sz w:val="24"/>
                <w:szCs w:val="24"/>
                <w:highlight w:val="none"/>
              </w:rPr>
            </w:pPr>
          </w:p>
        </w:tc>
        <w:tc>
          <w:tcPr>
            <w:tcW w:w="1638" w:type="dxa"/>
            <w:noWrap w:val="0"/>
            <w:vAlign w:val="center"/>
          </w:tcPr>
          <w:p w14:paraId="52BBB322">
            <w:pPr>
              <w:pStyle w:val="17"/>
              <w:jc w:val="center"/>
              <w:rPr>
                <w:rFonts w:hint="eastAsia" w:ascii="仿宋" w:hAnsi="仿宋" w:eastAsia="仿宋" w:cs="仿宋"/>
                <w:color w:val="auto"/>
                <w:sz w:val="24"/>
                <w:szCs w:val="24"/>
                <w:highlight w:val="none"/>
              </w:rPr>
            </w:pPr>
          </w:p>
        </w:tc>
        <w:tc>
          <w:tcPr>
            <w:tcW w:w="2305" w:type="dxa"/>
            <w:noWrap w:val="0"/>
            <w:vAlign w:val="center"/>
          </w:tcPr>
          <w:p w14:paraId="426DDC3B">
            <w:pPr>
              <w:pStyle w:val="17"/>
              <w:jc w:val="center"/>
              <w:rPr>
                <w:rFonts w:hint="eastAsia" w:ascii="仿宋" w:hAnsi="仿宋" w:eastAsia="仿宋" w:cs="仿宋"/>
                <w:color w:val="auto"/>
                <w:sz w:val="24"/>
                <w:szCs w:val="24"/>
                <w:highlight w:val="none"/>
              </w:rPr>
            </w:pPr>
          </w:p>
        </w:tc>
      </w:tr>
      <w:tr w14:paraId="33E0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26" w:type="dxa"/>
            <w:noWrap w:val="0"/>
            <w:vAlign w:val="center"/>
          </w:tcPr>
          <w:p w14:paraId="46A83844">
            <w:pPr>
              <w:pStyle w:val="17"/>
              <w:jc w:val="center"/>
              <w:rPr>
                <w:rFonts w:hint="eastAsia" w:ascii="仿宋" w:hAnsi="仿宋" w:eastAsia="仿宋" w:cs="仿宋"/>
                <w:color w:val="auto"/>
                <w:sz w:val="24"/>
                <w:szCs w:val="24"/>
                <w:highlight w:val="none"/>
              </w:rPr>
            </w:pPr>
          </w:p>
        </w:tc>
        <w:tc>
          <w:tcPr>
            <w:tcW w:w="2497" w:type="dxa"/>
            <w:noWrap w:val="0"/>
            <w:vAlign w:val="center"/>
          </w:tcPr>
          <w:p w14:paraId="50731EDF">
            <w:pPr>
              <w:pStyle w:val="17"/>
              <w:jc w:val="center"/>
              <w:rPr>
                <w:rFonts w:hint="eastAsia" w:ascii="仿宋" w:hAnsi="仿宋" w:eastAsia="仿宋" w:cs="仿宋"/>
                <w:color w:val="auto"/>
                <w:sz w:val="24"/>
                <w:szCs w:val="24"/>
                <w:highlight w:val="none"/>
              </w:rPr>
            </w:pPr>
          </w:p>
        </w:tc>
        <w:tc>
          <w:tcPr>
            <w:tcW w:w="2372" w:type="dxa"/>
            <w:noWrap w:val="0"/>
            <w:vAlign w:val="center"/>
          </w:tcPr>
          <w:p w14:paraId="2D8550A2">
            <w:pPr>
              <w:pStyle w:val="17"/>
              <w:jc w:val="center"/>
              <w:rPr>
                <w:rFonts w:hint="eastAsia" w:ascii="仿宋" w:hAnsi="仿宋" w:eastAsia="仿宋" w:cs="仿宋"/>
                <w:color w:val="auto"/>
                <w:sz w:val="24"/>
                <w:szCs w:val="24"/>
                <w:highlight w:val="none"/>
              </w:rPr>
            </w:pPr>
          </w:p>
        </w:tc>
        <w:tc>
          <w:tcPr>
            <w:tcW w:w="1638" w:type="dxa"/>
            <w:noWrap w:val="0"/>
            <w:vAlign w:val="center"/>
          </w:tcPr>
          <w:p w14:paraId="7149642F">
            <w:pPr>
              <w:pStyle w:val="17"/>
              <w:jc w:val="center"/>
              <w:rPr>
                <w:rFonts w:hint="eastAsia" w:ascii="仿宋" w:hAnsi="仿宋" w:eastAsia="仿宋" w:cs="仿宋"/>
                <w:color w:val="auto"/>
                <w:sz w:val="24"/>
                <w:szCs w:val="24"/>
                <w:highlight w:val="none"/>
              </w:rPr>
            </w:pPr>
          </w:p>
        </w:tc>
        <w:tc>
          <w:tcPr>
            <w:tcW w:w="2305" w:type="dxa"/>
            <w:noWrap w:val="0"/>
            <w:vAlign w:val="center"/>
          </w:tcPr>
          <w:p w14:paraId="76982E5E">
            <w:pPr>
              <w:pStyle w:val="17"/>
              <w:jc w:val="center"/>
              <w:rPr>
                <w:rFonts w:hint="eastAsia" w:ascii="仿宋" w:hAnsi="仿宋" w:eastAsia="仿宋" w:cs="仿宋"/>
                <w:color w:val="auto"/>
                <w:sz w:val="24"/>
                <w:szCs w:val="24"/>
                <w:highlight w:val="none"/>
              </w:rPr>
            </w:pPr>
          </w:p>
        </w:tc>
      </w:tr>
      <w:tr w14:paraId="27F0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26" w:type="dxa"/>
            <w:noWrap w:val="0"/>
            <w:vAlign w:val="center"/>
          </w:tcPr>
          <w:p w14:paraId="3C8AA136">
            <w:pPr>
              <w:pStyle w:val="17"/>
              <w:jc w:val="center"/>
              <w:rPr>
                <w:rFonts w:hint="eastAsia" w:ascii="仿宋" w:hAnsi="仿宋" w:eastAsia="仿宋" w:cs="仿宋"/>
                <w:color w:val="auto"/>
                <w:sz w:val="24"/>
                <w:szCs w:val="24"/>
                <w:highlight w:val="none"/>
              </w:rPr>
            </w:pPr>
          </w:p>
        </w:tc>
        <w:tc>
          <w:tcPr>
            <w:tcW w:w="2497" w:type="dxa"/>
            <w:noWrap w:val="0"/>
            <w:vAlign w:val="center"/>
          </w:tcPr>
          <w:p w14:paraId="03ABEDB8">
            <w:pPr>
              <w:pStyle w:val="17"/>
              <w:jc w:val="center"/>
              <w:rPr>
                <w:rFonts w:hint="eastAsia" w:ascii="仿宋" w:hAnsi="仿宋" w:eastAsia="仿宋" w:cs="仿宋"/>
                <w:color w:val="auto"/>
                <w:sz w:val="24"/>
                <w:szCs w:val="24"/>
                <w:highlight w:val="none"/>
              </w:rPr>
            </w:pPr>
          </w:p>
        </w:tc>
        <w:tc>
          <w:tcPr>
            <w:tcW w:w="2372" w:type="dxa"/>
            <w:noWrap w:val="0"/>
            <w:vAlign w:val="center"/>
          </w:tcPr>
          <w:p w14:paraId="5831F196">
            <w:pPr>
              <w:pStyle w:val="17"/>
              <w:jc w:val="center"/>
              <w:rPr>
                <w:rFonts w:hint="eastAsia" w:ascii="仿宋" w:hAnsi="仿宋" w:eastAsia="仿宋" w:cs="仿宋"/>
                <w:color w:val="auto"/>
                <w:sz w:val="24"/>
                <w:szCs w:val="24"/>
                <w:highlight w:val="none"/>
              </w:rPr>
            </w:pPr>
          </w:p>
        </w:tc>
        <w:tc>
          <w:tcPr>
            <w:tcW w:w="1638" w:type="dxa"/>
            <w:noWrap w:val="0"/>
            <w:vAlign w:val="center"/>
          </w:tcPr>
          <w:p w14:paraId="0B270B05">
            <w:pPr>
              <w:pStyle w:val="17"/>
              <w:jc w:val="center"/>
              <w:rPr>
                <w:rFonts w:hint="eastAsia" w:ascii="仿宋" w:hAnsi="仿宋" w:eastAsia="仿宋" w:cs="仿宋"/>
                <w:color w:val="auto"/>
                <w:sz w:val="24"/>
                <w:szCs w:val="24"/>
                <w:highlight w:val="none"/>
              </w:rPr>
            </w:pPr>
          </w:p>
        </w:tc>
        <w:tc>
          <w:tcPr>
            <w:tcW w:w="2305" w:type="dxa"/>
            <w:noWrap w:val="0"/>
            <w:vAlign w:val="center"/>
          </w:tcPr>
          <w:p w14:paraId="661AE926">
            <w:pPr>
              <w:pStyle w:val="17"/>
              <w:jc w:val="center"/>
              <w:rPr>
                <w:rFonts w:hint="eastAsia" w:ascii="仿宋" w:hAnsi="仿宋" w:eastAsia="仿宋" w:cs="仿宋"/>
                <w:color w:val="auto"/>
                <w:sz w:val="24"/>
                <w:szCs w:val="24"/>
                <w:highlight w:val="none"/>
              </w:rPr>
            </w:pPr>
          </w:p>
        </w:tc>
      </w:tr>
      <w:tr w14:paraId="4120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26" w:type="dxa"/>
            <w:noWrap w:val="0"/>
            <w:vAlign w:val="center"/>
          </w:tcPr>
          <w:p w14:paraId="3A19D4FB">
            <w:pPr>
              <w:pStyle w:val="17"/>
              <w:jc w:val="center"/>
              <w:rPr>
                <w:rFonts w:hint="eastAsia" w:ascii="仿宋" w:hAnsi="仿宋" w:eastAsia="仿宋" w:cs="仿宋"/>
                <w:color w:val="auto"/>
                <w:sz w:val="24"/>
                <w:szCs w:val="24"/>
                <w:highlight w:val="none"/>
              </w:rPr>
            </w:pPr>
          </w:p>
        </w:tc>
        <w:tc>
          <w:tcPr>
            <w:tcW w:w="2497" w:type="dxa"/>
            <w:noWrap w:val="0"/>
            <w:vAlign w:val="center"/>
          </w:tcPr>
          <w:p w14:paraId="0E12367E">
            <w:pPr>
              <w:pStyle w:val="17"/>
              <w:jc w:val="center"/>
              <w:rPr>
                <w:rFonts w:hint="eastAsia" w:ascii="仿宋" w:hAnsi="仿宋" w:eastAsia="仿宋" w:cs="仿宋"/>
                <w:color w:val="auto"/>
                <w:sz w:val="24"/>
                <w:szCs w:val="24"/>
                <w:highlight w:val="none"/>
              </w:rPr>
            </w:pPr>
          </w:p>
        </w:tc>
        <w:tc>
          <w:tcPr>
            <w:tcW w:w="2372" w:type="dxa"/>
            <w:noWrap w:val="0"/>
            <w:vAlign w:val="center"/>
          </w:tcPr>
          <w:p w14:paraId="3A4424EE">
            <w:pPr>
              <w:pStyle w:val="17"/>
              <w:jc w:val="center"/>
              <w:rPr>
                <w:rFonts w:hint="eastAsia" w:ascii="仿宋" w:hAnsi="仿宋" w:eastAsia="仿宋" w:cs="仿宋"/>
                <w:color w:val="auto"/>
                <w:sz w:val="24"/>
                <w:szCs w:val="24"/>
                <w:highlight w:val="none"/>
              </w:rPr>
            </w:pPr>
          </w:p>
        </w:tc>
        <w:tc>
          <w:tcPr>
            <w:tcW w:w="1638" w:type="dxa"/>
            <w:noWrap w:val="0"/>
            <w:vAlign w:val="center"/>
          </w:tcPr>
          <w:p w14:paraId="7B5857A5">
            <w:pPr>
              <w:pStyle w:val="17"/>
              <w:jc w:val="center"/>
              <w:rPr>
                <w:rFonts w:hint="eastAsia" w:ascii="仿宋" w:hAnsi="仿宋" w:eastAsia="仿宋" w:cs="仿宋"/>
                <w:color w:val="auto"/>
                <w:sz w:val="24"/>
                <w:szCs w:val="24"/>
                <w:highlight w:val="none"/>
              </w:rPr>
            </w:pPr>
          </w:p>
        </w:tc>
        <w:tc>
          <w:tcPr>
            <w:tcW w:w="2305" w:type="dxa"/>
            <w:noWrap w:val="0"/>
            <w:vAlign w:val="center"/>
          </w:tcPr>
          <w:p w14:paraId="57034D99">
            <w:pPr>
              <w:pStyle w:val="17"/>
              <w:jc w:val="center"/>
              <w:rPr>
                <w:rFonts w:hint="eastAsia" w:ascii="仿宋" w:hAnsi="仿宋" w:eastAsia="仿宋" w:cs="仿宋"/>
                <w:color w:val="auto"/>
                <w:sz w:val="24"/>
                <w:szCs w:val="24"/>
                <w:highlight w:val="none"/>
              </w:rPr>
            </w:pPr>
          </w:p>
        </w:tc>
      </w:tr>
    </w:tbl>
    <w:p w14:paraId="6ADFF5A3">
      <w:pPr>
        <w:pStyle w:val="17"/>
        <w:spacing w:line="360" w:lineRule="auto"/>
        <w:ind w:left="72"/>
        <w:rPr>
          <w:rFonts w:hint="eastAsia" w:ascii="仿宋" w:hAnsi="仿宋" w:eastAsia="仿宋" w:cs="仿宋"/>
          <w:color w:val="auto"/>
          <w:sz w:val="24"/>
          <w:szCs w:val="24"/>
          <w:highlight w:val="none"/>
        </w:rPr>
      </w:pPr>
    </w:p>
    <w:p w14:paraId="477CC6D5">
      <w:pPr>
        <w:pStyle w:val="17"/>
        <w:spacing w:line="360" w:lineRule="auto"/>
        <w:ind w:left="7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注：供应商可按上述的格式自行编制，须随表提交相应的合同复印件。</w:t>
      </w:r>
    </w:p>
    <w:p w14:paraId="5C94090D">
      <w:pPr>
        <w:autoSpaceDE w:val="0"/>
        <w:autoSpaceDN w:val="0"/>
        <w:spacing w:line="360" w:lineRule="auto"/>
        <w:ind w:left="4305" w:leftChars="1950" w:hanging="210" w:hangingChars="100"/>
        <w:rPr>
          <w:rFonts w:hint="eastAsia"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rPr>
        <w:t>供应商名称（电子签章）：</w:t>
      </w:r>
    </w:p>
    <w:p w14:paraId="2C834840">
      <w:pPr>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66052C2E">
      <w:pPr>
        <w:snapToGrid w:val="0"/>
        <w:spacing w:line="360" w:lineRule="auto"/>
        <w:rPr>
          <w:rFonts w:hint="eastAsia" w:ascii="仿宋" w:hAnsi="仿宋" w:eastAsia="仿宋" w:cs="仿宋"/>
          <w:color w:val="auto"/>
          <w:kern w:val="0"/>
          <w:sz w:val="24"/>
          <w:highlight w:val="none"/>
          <w:lang w:val="zh-CN"/>
        </w:rPr>
      </w:pPr>
    </w:p>
    <w:p w14:paraId="2D7B3B16">
      <w:pPr>
        <w:snapToGrid w:val="0"/>
        <w:spacing w:before="120" w:beforeLines="50" w:after="50"/>
        <w:rPr>
          <w:rFonts w:hint="eastAsia" w:ascii="仿宋" w:hAnsi="仿宋" w:eastAsia="仿宋" w:cs="仿宋"/>
          <w:color w:val="auto"/>
          <w:kern w:val="0"/>
          <w:sz w:val="24"/>
          <w:highlight w:val="none"/>
          <w:lang w:val="zh-CN"/>
        </w:rPr>
        <w:sectPr>
          <w:pgSz w:w="11900" w:h="16839"/>
          <w:pgMar w:top="1440" w:right="1080" w:bottom="1440" w:left="1080" w:header="969" w:footer="502" w:gutter="0"/>
          <w:pgNumType w:fmt="decimal"/>
          <w:cols w:space="720" w:num="1"/>
        </w:sectPr>
      </w:pPr>
    </w:p>
    <w:p w14:paraId="72A5FB73">
      <w:pPr>
        <w:snapToGrid w:val="0"/>
        <w:spacing w:before="120" w:beforeLines="50" w:after="5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七、技术需求偏离表</w:t>
      </w:r>
    </w:p>
    <w:p w14:paraId="057BD639">
      <w:pPr>
        <w:spacing w:line="5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技术需求偏离表</w:t>
      </w:r>
    </w:p>
    <w:p w14:paraId="01C12332">
      <w:pPr>
        <w:spacing w:line="360" w:lineRule="auto"/>
        <w:ind w:firstLine="240" w:firstLineChars="10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single"/>
        </w:rPr>
        <w:t xml:space="preserve">                </w:t>
      </w:r>
    </w:p>
    <w:p w14:paraId="33DBF314">
      <w:pPr>
        <w:spacing w:line="360" w:lineRule="auto"/>
        <w:ind w:firstLine="240" w:firstLineChars="1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single"/>
        </w:rPr>
        <w:t xml:space="preserve">                 </w:t>
      </w:r>
    </w:p>
    <w:p w14:paraId="1F95C781">
      <w:pPr>
        <w:spacing w:line="360" w:lineRule="auto"/>
        <w:ind w:firstLine="240" w:firstLineChars="10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分标号</w:t>
      </w:r>
      <w:r>
        <w:rPr>
          <w:rFonts w:hint="eastAsia" w:ascii="仿宋" w:hAnsi="仿宋" w:eastAsia="仿宋" w:cs="仿宋"/>
          <w:color w:val="auto"/>
          <w:szCs w:val="21"/>
          <w:highlight w:val="none"/>
        </w:rPr>
        <w:t>（此处有分标时填写具体分标号，无分标时填写“无”）</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3752"/>
        <w:gridCol w:w="3317"/>
        <w:gridCol w:w="1561"/>
      </w:tblGrid>
      <w:tr w14:paraId="1FAA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55" w:type="dxa"/>
            <w:tcBorders>
              <w:top w:val="single" w:color="auto" w:sz="4" w:space="0"/>
              <w:left w:val="single" w:color="auto" w:sz="4" w:space="0"/>
              <w:bottom w:val="single" w:color="auto" w:sz="4" w:space="0"/>
              <w:right w:val="single" w:color="auto" w:sz="4" w:space="0"/>
            </w:tcBorders>
            <w:noWrap w:val="0"/>
            <w:vAlign w:val="center"/>
          </w:tcPr>
          <w:p w14:paraId="691043AA">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项号</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65EDC256">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竞争性磋商文件采购需求</w:t>
            </w:r>
          </w:p>
        </w:tc>
        <w:tc>
          <w:tcPr>
            <w:tcW w:w="3317" w:type="dxa"/>
            <w:tcBorders>
              <w:top w:val="single" w:color="auto" w:sz="4" w:space="0"/>
              <w:left w:val="single" w:color="auto" w:sz="4" w:space="0"/>
              <w:bottom w:val="single" w:color="auto" w:sz="4" w:space="0"/>
              <w:right w:val="single" w:color="auto" w:sz="4" w:space="0"/>
            </w:tcBorders>
            <w:noWrap w:val="0"/>
            <w:vAlign w:val="center"/>
          </w:tcPr>
          <w:p w14:paraId="5E6DF0CE">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响应文件采购需求承诺</w:t>
            </w:r>
          </w:p>
        </w:tc>
        <w:tc>
          <w:tcPr>
            <w:tcW w:w="1561" w:type="dxa"/>
            <w:tcBorders>
              <w:top w:val="single" w:color="auto" w:sz="4" w:space="0"/>
              <w:left w:val="single" w:color="auto" w:sz="4" w:space="0"/>
              <w:bottom w:val="single" w:color="auto" w:sz="4" w:space="0"/>
              <w:right w:val="single" w:color="auto" w:sz="4" w:space="0"/>
            </w:tcBorders>
            <w:noWrap w:val="0"/>
            <w:vAlign w:val="center"/>
          </w:tcPr>
          <w:p w14:paraId="12332513">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偏离说明</w:t>
            </w:r>
          </w:p>
        </w:tc>
      </w:tr>
      <w:tr w14:paraId="19F8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855" w:type="dxa"/>
            <w:tcBorders>
              <w:top w:val="single" w:color="auto" w:sz="4" w:space="0"/>
              <w:left w:val="single" w:color="auto" w:sz="4" w:space="0"/>
              <w:bottom w:val="single" w:color="auto" w:sz="4" w:space="0"/>
              <w:right w:val="single" w:color="auto" w:sz="4" w:space="0"/>
            </w:tcBorders>
            <w:noWrap w:val="0"/>
            <w:vAlign w:val="top"/>
          </w:tcPr>
          <w:p w14:paraId="6B3DF4F7">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一</w:t>
            </w:r>
          </w:p>
        </w:tc>
        <w:tc>
          <w:tcPr>
            <w:tcW w:w="3752" w:type="dxa"/>
            <w:tcBorders>
              <w:top w:val="single" w:color="auto" w:sz="4" w:space="0"/>
              <w:left w:val="single" w:color="auto" w:sz="4" w:space="0"/>
              <w:bottom w:val="single" w:color="auto" w:sz="4" w:space="0"/>
              <w:right w:val="single" w:color="auto" w:sz="4" w:space="0"/>
            </w:tcBorders>
            <w:noWrap w:val="0"/>
            <w:vAlign w:val="top"/>
          </w:tcPr>
          <w:p w14:paraId="09108B4E">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6F12E386">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77BAC230">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7B5D5369">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317" w:type="dxa"/>
            <w:tcBorders>
              <w:top w:val="single" w:color="auto" w:sz="4" w:space="0"/>
              <w:left w:val="single" w:color="auto" w:sz="4" w:space="0"/>
              <w:bottom w:val="single" w:color="auto" w:sz="4" w:space="0"/>
              <w:right w:val="single" w:color="auto" w:sz="4" w:space="0"/>
            </w:tcBorders>
            <w:noWrap w:val="0"/>
            <w:vAlign w:val="top"/>
          </w:tcPr>
          <w:p w14:paraId="4E2C28EC">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7707BDD2">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43E8BF3F">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6831A53B">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561" w:type="dxa"/>
            <w:tcBorders>
              <w:top w:val="single" w:color="auto" w:sz="4" w:space="0"/>
              <w:left w:val="single" w:color="auto" w:sz="4" w:space="0"/>
              <w:bottom w:val="single" w:color="auto" w:sz="4" w:space="0"/>
              <w:right w:val="single" w:color="auto" w:sz="4" w:space="0"/>
            </w:tcBorders>
            <w:noWrap w:val="0"/>
            <w:vAlign w:val="top"/>
          </w:tcPr>
          <w:p w14:paraId="6347C042">
            <w:pPr>
              <w:spacing w:line="300" w:lineRule="exact"/>
              <w:rPr>
                <w:rFonts w:hint="eastAsia" w:ascii="仿宋" w:hAnsi="仿宋" w:eastAsia="仿宋" w:cs="仿宋"/>
                <w:color w:val="auto"/>
                <w:sz w:val="24"/>
                <w:highlight w:val="none"/>
              </w:rPr>
            </w:pPr>
          </w:p>
        </w:tc>
      </w:tr>
      <w:tr w14:paraId="0046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855" w:type="dxa"/>
            <w:tcBorders>
              <w:top w:val="single" w:color="auto" w:sz="4" w:space="0"/>
              <w:left w:val="single" w:color="auto" w:sz="4" w:space="0"/>
              <w:bottom w:val="single" w:color="auto" w:sz="4" w:space="0"/>
              <w:right w:val="single" w:color="auto" w:sz="4" w:space="0"/>
            </w:tcBorders>
            <w:noWrap w:val="0"/>
            <w:vAlign w:val="top"/>
          </w:tcPr>
          <w:p w14:paraId="70835E6D">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二</w:t>
            </w:r>
          </w:p>
        </w:tc>
        <w:tc>
          <w:tcPr>
            <w:tcW w:w="3752" w:type="dxa"/>
            <w:tcBorders>
              <w:top w:val="single" w:color="auto" w:sz="4" w:space="0"/>
              <w:left w:val="single" w:color="auto" w:sz="4" w:space="0"/>
              <w:bottom w:val="single" w:color="auto" w:sz="4" w:space="0"/>
              <w:right w:val="single" w:color="auto" w:sz="4" w:space="0"/>
            </w:tcBorders>
            <w:noWrap w:val="0"/>
            <w:vAlign w:val="top"/>
          </w:tcPr>
          <w:p w14:paraId="454D288B">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4A7A8427">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0CD394AD">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7561EB35">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317" w:type="dxa"/>
            <w:tcBorders>
              <w:top w:val="single" w:color="auto" w:sz="4" w:space="0"/>
              <w:left w:val="single" w:color="auto" w:sz="4" w:space="0"/>
              <w:bottom w:val="single" w:color="auto" w:sz="4" w:space="0"/>
              <w:right w:val="single" w:color="auto" w:sz="4" w:space="0"/>
            </w:tcBorders>
            <w:noWrap w:val="0"/>
            <w:vAlign w:val="top"/>
          </w:tcPr>
          <w:p w14:paraId="7C744DD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1F179141">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0A80715B">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66F851A6">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561" w:type="dxa"/>
            <w:tcBorders>
              <w:top w:val="single" w:color="auto" w:sz="4" w:space="0"/>
              <w:left w:val="single" w:color="auto" w:sz="4" w:space="0"/>
              <w:bottom w:val="single" w:color="auto" w:sz="4" w:space="0"/>
              <w:right w:val="single" w:color="auto" w:sz="4" w:space="0"/>
            </w:tcBorders>
            <w:noWrap w:val="0"/>
            <w:vAlign w:val="top"/>
          </w:tcPr>
          <w:p w14:paraId="5BB201AC">
            <w:pPr>
              <w:spacing w:line="300" w:lineRule="exact"/>
              <w:rPr>
                <w:rFonts w:hint="eastAsia" w:ascii="仿宋" w:hAnsi="仿宋" w:eastAsia="仿宋" w:cs="仿宋"/>
                <w:color w:val="auto"/>
                <w:sz w:val="24"/>
                <w:highlight w:val="none"/>
              </w:rPr>
            </w:pPr>
          </w:p>
        </w:tc>
      </w:tr>
      <w:tr w14:paraId="10D1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855" w:type="dxa"/>
            <w:tcBorders>
              <w:top w:val="single" w:color="auto" w:sz="4" w:space="0"/>
              <w:left w:val="single" w:color="auto" w:sz="4" w:space="0"/>
              <w:bottom w:val="single" w:color="auto" w:sz="4" w:space="0"/>
              <w:right w:val="single" w:color="auto" w:sz="4" w:space="0"/>
            </w:tcBorders>
            <w:noWrap w:val="0"/>
            <w:vAlign w:val="top"/>
          </w:tcPr>
          <w:p w14:paraId="74A2A0A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752" w:type="dxa"/>
            <w:tcBorders>
              <w:top w:val="single" w:color="auto" w:sz="4" w:space="0"/>
              <w:left w:val="single" w:color="auto" w:sz="4" w:space="0"/>
              <w:bottom w:val="single" w:color="auto" w:sz="4" w:space="0"/>
              <w:right w:val="single" w:color="auto" w:sz="4" w:space="0"/>
            </w:tcBorders>
            <w:noWrap w:val="0"/>
            <w:vAlign w:val="top"/>
          </w:tcPr>
          <w:p w14:paraId="5570A19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05B43CCD">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239B7139">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29AE7F2F">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3317" w:type="dxa"/>
            <w:tcBorders>
              <w:top w:val="single" w:color="auto" w:sz="4" w:space="0"/>
              <w:left w:val="single" w:color="auto" w:sz="4" w:space="0"/>
              <w:bottom w:val="single" w:color="auto" w:sz="4" w:space="0"/>
              <w:right w:val="single" w:color="auto" w:sz="4" w:space="0"/>
            </w:tcBorders>
            <w:noWrap w:val="0"/>
            <w:vAlign w:val="top"/>
          </w:tcPr>
          <w:p w14:paraId="0EBC39D5">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  ……</w:t>
            </w:r>
          </w:p>
          <w:p w14:paraId="47AA785A">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  ……</w:t>
            </w:r>
          </w:p>
          <w:p w14:paraId="6AAD426B">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  ……</w:t>
            </w:r>
          </w:p>
          <w:p w14:paraId="2CCE98C8">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561" w:type="dxa"/>
            <w:tcBorders>
              <w:top w:val="single" w:color="auto" w:sz="4" w:space="0"/>
              <w:left w:val="single" w:color="auto" w:sz="4" w:space="0"/>
              <w:bottom w:val="single" w:color="auto" w:sz="4" w:space="0"/>
              <w:right w:val="single" w:color="auto" w:sz="4" w:space="0"/>
            </w:tcBorders>
            <w:noWrap w:val="0"/>
            <w:vAlign w:val="top"/>
          </w:tcPr>
          <w:p w14:paraId="0C580174">
            <w:pPr>
              <w:spacing w:line="300" w:lineRule="exact"/>
              <w:rPr>
                <w:rFonts w:hint="eastAsia" w:ascii="仿宋" w:hAnsi="仿宋" w:eastAsia="仿宋" w:cs="仿宋"/>
                <w:color w:val="auto"/>
                <w:sz w:val="24"/>
                <w:highlight w:val="none"/>
              </w:rPr>
            </w:pPr>
          </w:p>
        </w:tc>
      </w:tr>
    </w:tbl>
    <w:p w14:paraId="02B6EE9E">
      <w:pPr>
        <w:pStyle w:val="12"/>
        <w:spacing w:after="0" w:line="360" w:lineRule="exact"/>
        <w:ind w:left="840" w:hanging="420"/>
        <w:contextualSpacing/>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注：</w:t>
      </w:r>
    </w:p>
    <w:p w14:paraId="3F277138">
      <w:pPr>
        <w:pStyle w:val="14"/>
        <w:spacing w:line="360" w:lineRule="exact"/>
        <w:ind w:firstLine="420" w:firstLineChars="20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1.说明：应对照磋商文件“第二章”中“采购需求”的采购清单及技术参数条款逐条作出明确响应，并作出偏离说明。</w:t>
      </w:r>
    </w:p>
    <w:p w14:paraId="51427F0F">
      <w:pPr>
        <w:pStyle w:val="14"/>
        <w:spacing w:line="360" w:lineRule="exact"/>
        <w:ind w:firstLine="420" w:firstLineChars="20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当响应文件的商务内容低于竞争性磋商文件要求时，竞标人应当如实写明“负偏离”，否则视为虚假应标</w:t>
      </w:r>
    </w:p>
    <w:p w14:paraId="1CEA14CF">
      <w:pPr>
        <w:spacing w:line="360" w:lineRule="exact"/>
        <w:ind w:firstLine="42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3.表格内容均需按要求填写并盖章，不得留空，否则按竞标无效处理。</w:t>
      </w:r>
    </w:p>
    <w:p w14:paraId="1E691E0C">
      <w:pPr>
        <w:pStyle w:val="14"/>
        <w:spacing w:line="360" w:lineRule="exact"/>
        <w:ind w:firstLine="420" w:firstLineChars="20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C56966F">
      <w:pPr>
        <w:pStyle w:val="14"/>
        <w:spacing w:line="360" w:lineRule="exact"/>
        <w:ind w:firstLine="420" w:firstLineChars="20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5.采购需求中带“▲”及“★”的条款，也要分别在本表“竞争性磋商文件采购需求”、“响应文件采购需求承诺”中标记，否则按竞标无效处理。</w:t>
      </w:r>
    </w:p>
    <w:p w14:paraId="37794696">
      <w:pPr>
        <w:pStyle w:val="14"/>
        <w:spacing w:line="360" w:lineRule="exact"/>
        <w:ind w:firstLine="420" w:firstLineChars="200"/>
        <w:contextualSpacing/>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6.如技术偏离表中的竞标响应与佐证材料不一致的，以佐证材料为准。</w:t>
      </w:r>
    </w:p>
    <w:p w14:paraId="71EB92B7">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01785459">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80103F2">
      <w:pPr>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5AAB43DA">
      <w:pPr>
        <w:snapToGrid w:val="0"/>
        <w:spacing w:line="360" w:lineRule="auto"/>
        <w:ind w:firstLine="602" w:firstLineChars="200"/>
        <w:rPr>
          <w:rFonts w:hint="eastAsia" w:ascii="仿宋" w:hAnsi="仿宋" w:eastAsia="仿宋" w:cs="仿宋"/>
          <w:b/>
          <w:color w:val="auto"/>
          <w:sz w:val="30"/>
          <w:szCs w:val="30"/>
          <w:highlight w:val="none"/>
        </w:rPr>
        <w:sectPr>
          <w:headerReference r:id="rId13" w:type="default"/>
          <w:pgSz w:w="11900" w:h="16839"/>
          <w:pgMar w:top="1440" w:right="1080" w:bottom="1440" w:left="1080" w:header="969" w:footer="502" w:gutter="0"/>
          <w:pgNumType w:fmt="decimal"/>
          <w:cols w:space="720" w:num="1"/>
        </w:sectPr>
      </w:pPr>
    </w:p>
    <w:p w14:paraId="5DE3380D">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八、施工组织设计（包括但不限于拟投入本工程的主要施工设备表；拟配备本工程的试验和检测仪器设备表；计划开、竣工日期和施工进度计划、主要施工方法等内容）（格式自拟）</w:t>
      </w:r>
    </w:p>
    <w:p w14:paraId="6C98D26B">
      <w:pPr>
        <w:snapToGrid w:val="0"/>
        <w:spacing w:line="360" w:lineRule="auto"/>
        <w:rPr>
          <w:rFonts w:hint="eastAsia" w:ascii="仿宋" w:hAnsi="仿宋" w:eastAsia="仿宋" w:cs="仿宋"/>
          <w:b/>
          <w:color w:val="auto"/>
          <w:sz w:val="30"/>
          <w:szCs w:val="30"/>
          <w:highlight w:val="none"/>
        </w:rPr>
      </w:pPr>
    </w:p>
    <w:p w14:paraId="12E294C1">
      <w:pPr>
        <w:snapToGrid w:val="0"/>
        <w:spacing w:line="360" w:lineRule="auto"/>
        <w:ind w:firstLine="602" w:firstLineChars="200"/>
        <w:rPr>
          <w:rFonts w:hint="eastAsia" w:ascii="仿宋" w:hAnsi="仿宋" w:eastAsia="仿宋" w:cs="仿宋"/>
          <w:b/>
          <w:color w:val="auto"/>
          <w:sz w:val="30"/>
          <w:szCs w:val="30"/>
          <w:highlight w:val="none"/>
        </w:rPr>
        <w:sectPr>
          <w:pgSz w:w="11900" w:h="16839"/>
          <w:pgMar w:top="1440" w:right="1080" w:bottom="1440" w:left="1080" w:header="969" w:footer="502" w:gutter="0"/>
          <w:pgNumType w:fmt="decimal"/>
          <w:cols w:space="720" w:num="1"/>
        </w:sectPr>
      </w:pPr>
    </w:p>
    <w:p w14:paraId="0DC47C78">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九、项目管理机构</w:t>
      </w:r>
    </w:p>
    <w:p w14:paraId="45D8DAC2">
      <w:pPr>
        <w:pStyle w:val="90"/>
        <w:jc w:val="center"/>
        <w:rPr>
          <w:rFonts w:hint="eastAsia" w:ascii="仿宋" w:hAnsi="仿宋" w:eastAsia="仿宋" w:cs="仿宋"/>
          <w:b/>
          <w:bCs/>
          <w:color w:val="auto"/>
          <w:sz w:val="28"/>
          <w:szCs w:val="28"/>
          <w:highlight w:val="none"/>
        </w:rPr>
      </w:pPr>
      <w:bookmarkStart w:id="102" w:name="_Toc32245"/>
      <w:bookmarkStart w:id="103" w:name="_Toc3341"/>
      <w:bookmarkStart w:id="104" w:name="_Toc172364025"/>
      <w:bookmarkStart w:id="105" w:name="_Toc251052184"/>
      <w:bookmarkStart w:id="106" w:name="_Toc173579005"/>
      <w:bookmarkStart w:id="107" w:name="_Toc153274947"/>
      <w:bookmarkStart w:id="108" w:name="_Toc251052200"/>
      <w:bookmarkStart w:id="109" w:name="_Toc173579006"/>
      <w:bookmarkStart w:id="110" w:name="_Toc153274948"/>
      <w:bookmarkStart w:id="111" w:name="_Toc389065364"/>
      <w:bookmarkStart w:id="112" w:name="_Toc172364026"/>
      <w:r>
        <w:rPr>
          <w:rFonts w:hint="eastAsia" w:ascii="仿宋" w:hAnsi="仿宋" w:eastAsia="仿宋" w:cs="仿宋"/>
          <w:b/>
          <w:bCs/>
          <w:color w:val="auto"/>
          <w:sz w:val="24"/>
          <w:highlight w:val="none"/>
        </w:rPr>
        <w:t>项目管理机构配备情况表</w:t>
      </w:r>
      <w:bookmarkEnd w:id="102"/>
      <w:bookmarkEnd w:id="103"/>
      <w:bookmarkEnd w:id="104"/>
      <w:bookmarkEnd w:id="105"/>
      <w:bookmarkEnd w:id="106"/>
      <w:bookmarkEnd w:id="107"/>
    </w:p>
    <w:p w14:paraId="7990CF7E">
      <w:pPr>
        <w:pStyle w:val="90"/>
        <w:rPr>
          <w:rFonts w:hint="eastAsia" w:ascii="仿宋" w:hAnsi="仿宋" w:eastAsia="仿宋" w:cs="仿宋"/>
          <w:color w:val="auto"/>
          <w:highlight w:val="none"/>
          <w:u w:val="single"/>
        </w:rPr>
      </w:pPr>
    </w:p>
    <w:p w14:paraId="2C6FB02D">
      <w:pPr>
        <w:pStyle w:val="90"/>
        <w:ind w:firstLine="210" w:firstLineChars="100"/>
        <w:rPr>
          <w:rFonts w:hint="eastAsia" w:ascii="仿宋" w:hAnsi="仿宋" w:eastAsia="仿宋" w:cs="仿宋"/>
          <w:color w:val="auto"/>
          <w:highlight w:val="none"/>
        </w:rPr>
      </w:pPr>
      <w:bookmarkStart w:id="113" w:name="_Toc251052185"/>
      <w:r>
        <w:rPr>
          <w:rFonts w:hint="eastAsia" w:ascii="仿宋" w:hAnsi="仿宋" w:eastAsia="仿宋" w:cs="仿宋"/>
          <w:color w:val="auto"/>
          <w:highlight w:val="none"/>
          <w:u w:val="single"/>
        </w:rPr>
        <w:t xml:space="preserve">（项目名称）        </w:t>
      </w:r>
      <w:bookmarkEnd w:id="113"/>
    </w:p>
    <w:tbl>
      <w:tblPr>
        <w:tblStyle w:val="2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707"/>
        <w:gridCol w:w="816"/>
        <w:gridCol w:w="1899"/>
        <w:gridCol w:w="1545"/>
        <w:gridCol w:w="1710"/>
        <w:gridCol w:w="1564"/>
      </w:tblGrid>
      <w:tr w14:paraId="7BD6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115" w:type="dxa"/>
            <w:vMerge w:val="restart"/>
            <w:noWrap w:val="0"/>
            <w:vAlign w:val="center"/>
          </w:tcPr>
          <w:p w14:paraId="04F1CE97">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岗位</w:t>
            </w:r>
          </w:p>
        </w:tc>
        <w:tc>
          <w:tcPr>
            <w:tcW w:w="707" w:type="dxa"/>
            <w:vMerge w:val="restart"/>
            <w:noWrap w:val="0"/>
            <w:vAlign w:val="center"/>
          </w:tcPr>
          <w:p w14:paraId="72EB3F68">
            <w:pPr>
              <w:pStyle w:val="90"/>
              <w:ind w:left="223" w:hanging="222" w:hangingChars="106"/>
              <w:jc w:val="center"/>
              <w:rPr>
                <w:rFonts w:hint="eastAsia" w:ascii="仿宋" w:hAnsi="仿宋" w:eastAsia="仿宋" w:cs="仿宋"/>
                <w:color w:val="auto"/>
                <w:highlight w:val="none"/>
              </w:rPr>
            </w:pPr>
            <w:bookmarkStart w:id="114" w:name="_Toc251052187"/>
            <w:r>
              <w:rPr>
                <w:rFonts w:hint="eastAsia" w:ascii="仿宋" w:hAnsi="仿宋" w:eastAsia="仿宋" w:cs="仿宋"/>
                <w:color w:val="auto"/>
                <w:highlight w:val="none"/>
              </w:rPr>
              <w:t>姓名</w:t>
            </w:r>
            <w:bookmarkEnd w:id="114"/>
          </w:p>
        </w:tc>
        <w:tc>
          <w:tcPr>
            <w:tcW w:w="816" w:type="dxa"/>
            <w:vMerge w:val="restart"/>
            <w:noWrap w:val="0"/>
            <w:vAlign w:val="center"/>
          </w:tcPr>
          <w:p w14:paraId="3634FBBE">
            <w:pPr>
              <w:pStyle w:val="90"/>
              <w:ind w:left="223" w:hanging="222" w:hangingChars="106"/>
              <w:jc w:val="center"/>
              <w:rPr>
                <w:rFonts w:hint="eastAsia" w:ascii="仿宋" w:hAnsi="仿宋" w:eastAsia="仿宋" w:cs="仿宋"/>
                <w:color w:val="auto"/>
                <w:highlight w:val="none"/>
              </w:rPr>
            </w:pPr>
            <w:bookmarkStart w:id="115" w:name="_Toc251052188"/>
            <w:r>
              <w:rPr>
                <w:rFonts w:hint="eastAsia" w:ascii="仿宋" w:hAnsi="仿宋" w:eastAsia="仿宋" w:cs="仿宋"/>
                <w:color w:val="auto"/>
                <w:highlight w:val="none"/>
              </w:rPr>
              <w:t>职称</w:t>
            </w:r>
            <w:bookmarkEnd w:id="115"/>
          </w:p>
        </w:tc>
        <w:tc>
          <w:tcPr>
            <w:tcW w:w="6718" w:type="dxa"/>
            <w:gridSpan w:val="4"/>
            <w:noWrap w:val="0"/>
            <w:vAlign w:val="center"/>
          </w:tcPr>
          <w:p w14:paraId="40ECDC97">
            <w:pPr>
              <w:pStyle w:val="90"/>
              <w:ind w:left="223" w:hanging="222" w:hangingChars="106"/>
              <w:jc w:val="center"/>
              <w:rPr>
                <w:rFonts w:hint="eastAsia" w:ascii="仿宋" w:hAnsi="仿宋" w:eastAsia="仿宋" w:cs="仿宋"/>
                <w:color w:val="auto"/>
                <w:highlight w:val="none"/>
              </w:rPr>
            </w:pPr>
            <w:bookmarkStart w:id="116" w:name="_Toc251052189"/>
            <w:r>
              <w:rPr>
                <w:rFonts w:hint="eastAsia" w:ascii="仿宋" w:hAnsi="仿宋" w:eastAsia="仿宋" w:cs="仿宋"/>
                <w:color w:val="auto"/>
                <w:highlight w:val="none"/>
              </w:rPr>
              <w:t>执业或职业资格证明</w:t>
            </w:r>
            <w:bookmarkEnd w:id="116"/>
          </w:p>
        </w:tc>
      </w:tr>
      <w:tr w14:paraId="24CB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115" w:type="dxa"/>
            <w:vMerge w:val="continue"/>
            <w:noWrap w:val="0"/>
            <w:vAlign w:val="center"/>
          </w:tcPr>
          <w:p w14:paraId="694F034D">
            <w:pPr>
              <w:pStyle w:val="90"/>
              <w:ind w:left="223" w:hanging="222" w:hangingChars="106"/>
              <w:jc w:val="center"/>
              <w:rPr>
                <w:rFonts w:hint="eastAsia" w:ascii="仿宋" w:hAnsi="仿宋" w:eastAsia="仿宋" w:cs="仿宋"/>
                <w:color w:val="auto"/>
                <w:highlight w:val="none"/>
              </w:rPr>
            </w:pPr>
          </w:p>
        </w:tc>
        <w:tc>
          <w:tcPr>
            <w:tcW w:w="707" w:type="dxa"/>
            <w:vMerge w:val="continue"/>
            <w:noWrap w:val="0"/>
            <w:vAlign w:val="center"/>
          </w:tcPr>
          <w:p w14:paraId="0971D85D">
            <w:pPr>
              <w:pStyle w:val="90"/>
              <w:ind w:left="223" w:hanging="222" w:hangingChars="106"/>
              <w:jc w:val="center"/>
              <w:rPr>
                <w:rFonts w:hint="eastAsia" w:ascii="仿宋" w:hAnsi="仿宋" w:eastAsia="仿宋" w:cs="仿宋"/>
                <w:color w:val="auto"/>
                <w:highlight w:val="none"/>
              </w:rPr>
            </w:pPr>
          </w:p>
        </w:tc>
        <w:tc>
          <w:tcPr>
            <w:tcW w:w="816" w:type="dxa"/>
            <w:vMerge w:val="continue"/>
            <w:noWrap w:val="0"/>
            <w:vAlign w:val="center"/>
          </w:tcPr>
          <w:p w14:paraId="2DC8CA96">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58E14336">
            <w:pPr>
              <w:pStyle w:val="90"/>
              <w:ind w:left="223" w:hanging="222" w:hangingChars="106"/>
              <w:jc w:val="center"/>
              <w:rPr>
                <w:rFonts w:hint="eastAsia" w:ascii="仿宋" w:hAnsi="仿宋" w:eastAsia="仿宋" w:cs="仿宋"/>
                <w:color w:val="auto"/>
                <w:highlight w:val="none"/>
              </w:rPr>
            </w:pPr>
            <w:bookmarkStart w:id="117" w:name="_Toc251052192"/>
            <w:r>
              <w:rPr>
                <w:rFonts w:hint="eastAsia" w:ascii="仿宋" w:hAnsi="仿宋" w:eastAsia="仿宋" w:cs="仿宋"/>
                <w:color w:val="auto"/>
                <w:highlight w:val="none"/>
              </w:rPr>
              <w:t>证书名称</w:t>
            </w:r>
            <w:bookmarkEnd w:id="117"/>
          </w:p>
        </w:tc>
        <w:tc>
          <w:tcPr>
            <w:tcW w:w="1545" w:type="dxa"/>
            <w:noWrap w:val="0"/>
            <w:vAlign w:val="center"/>
          </w:tcPr>
          <w:p w14:paraId="2A0DA6D8">
            <w:pPr>
              <w:pStyle w:val="90"/>
              <w:ind w:left="223" w:hanging="222" w:hangingChars="106"/>
              <w:jc w:val="center"/>
              <w:rPr>
                <w:rFonts w:hint="eastAsia" w:ascii="仿宋" w:hAnsi="仿宋" w:eastAsia="仿宋" w:cs="仿宋"/>
                <w:color w:val="auto"/>
                <w:highlight w:val="none"/>
              </w:rPr>
            </w:pPr>
            <w:bookmarkStart w:id="118" w:name="_Toc251052193"/>
            <w:r>
              <w:rPr>
                <w:rFonts w:hint="eastAsia" w:ascii="仿宋" w:hAnsi="仿宋" w:eastAsia="仿宋" w:cs="仿宋"/>
                <w:color w:val="auto"/>
                <w:highlight w:val="none"/>
              </w:rPr>
              <w:t>级别</w:t>
            </w:r>
            <w:bookmarkEnd w:id="118"/>
          </w:p>
        </w:tc>
        <w:tc>
          <w:tcPr>
            <w:tcW w:w="1710" w:type="dxa"/>
            <w:noWrap w:val="0"/>
            <w:vAlign w:val="center"/>
          </w:tcPr>
          <w:p w14:paraId="404108B5">
            <w:pPr>
              <w:pStyle w:val="90"/>
              <w:ind w:left="223" w:hanging="222" w:hangingChars="106"/>
              <w:jc w:val="center"/>
              <w:rPr>
                <w:rFonts w:hint="eastAsia" w:ascii="仿宋" w:hAnsi="仿宋" w:eastAsia="仿宋" w:cs="仿宋"/>
                <w:color w:val="auto"/>
                <w:highlight w:val="none"/>
              </w:rPr>
            </w:pPr>
            <w:bookmarkStart w:id="119" w:name="_Toc251052194"/>
            <w:r>
              <w:rPr>
                <w:rFonts w:hint="eastAsia" w:ascii="仿宋" w:hAnsi="仿宋" w:eastAsia="仿宋" w:cs="仿宋"/>
                <w:color w:val="auto"/>
                <w:highlight w:val="none"/>
              </w:rPr>
              <w:t>证号</w:t>
            </w:r>
            <w:bookmarkEnd w:id="119"/>
          </w:p>
        </w:tc>
        <w:tc>
          <w:tcPr>
            <w:tcW w:w="1564" w:type="dxa"/>
            <w:noWrap w:val="0"/>
            <w:vAlign w:val="center"/>
          </w:tcPr>
          <w:p w14:paraId="4ED3D583">
            <w:pPr>
              <w:pStyle w:val="90"/>
              <w:ind w:left="223" w:hanging="222" w:hangingChars="106"/>
              <w:jc w:val="center"/>
              <w:rPr>
                <w:rFonts w:hint="eastAsia" w:ascii="仿宋" w:hAnsi="仿宋" w:eastAsia="仿宋" w:cs="仿宋"/>
                <w:color w:val="auto"/>
                <w:highlight w:val="none"/>
              </w:rPr>
            </w:pPr>
            <w:bookmarkStart w:id="120" w:name="_Toc251052195"/>
            <w:r>
              <w:rPr>
                <w:rFonts w:hint="eastAsia" w:ascii="仿宋" w:hAnsi="仿宋" w:eastAsia="仿宋" w:cs="仿宋"/>
                <w:color w:val="auto"/>
                <w:highlight w:val="none"/>
              </w:rPr>
              <w:t>专业</w:t>
            </w:r>
            <w:bookmarkEnd w:id="120"/>
          </w:p>
        </w:tc>
      </w:tr>
      <w:tr w14:paraId="1F95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30EEA9F1">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项目经理</w:t>
            </w:r>
          </w:p>
        </w:tc>
        <w:tc>
          <w:tcPr>
            <w:tcW w:w="707" w:type="dxa"/>
            <w:noWrap w:val="0"/>
            <w:vAlign w:val="center"/>
          </w:tcPr>
          <w:p w14:paraId="30B3CC10">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3ED23887">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5A2C12C9">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6EB1B7BD">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54181B53">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573A7312">
            <w:pPr>
              <w:pStyle w:val="90"/>
              <w:ind w:left="223" w:hanging="222" w:hangingChars="106"/>
              <w:jc w:val="center"/>
              <w:rPr>
                <w:rFonts w:hint="eastAsia" w:ascii="仿宋" w:hAnsi="仿宋" w:eastAsia="仿宋" w:cs="仿宋"/>
                <w:color w:val="auto"/>
                <w:highlight w:val="none"/>
              </w:rPr>
            </w:pPr>
          </w:p>
        </w:tc>
      </w:tr>
      <w:tr w14:paraId="227A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64B37A80">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技术负责人</w:t>
            </w:r>
          </w:p>
        </w:tc>
        <w:tc>
          <w:tcPr>
            <w:tcW w:w="707" w:type="dxa"/>
            <w:noWrap w:val="0"/>
            <w:vAlign w:val="center"/>
          </w:tcPr>
          <w:p w14:paraId="63A8BAB1">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092EBF2D">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188D543B">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3C0D1964">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606FDFFB">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1714314D">
            <w:pPr>
              <w:pStyle w:val="90"/>
              <w:ind w:left="223" w:hanging="222" w:hangingChars="106"/>
              <w:jc w:val="center"/>
              <w:rPr>
                <w:rFonts w:hint="eastAsia" w:ascii="仿宋" w:hAnsi="仿宋" w:eastAsia="仿宋" w:cs="仿宋"/>
                <w:color w:val="auto"/>
                <w:highlight w:val="none"/>
              </w:rPr>
            </w:pPr>
          </w:p>
        </w:tc>
      </w:tr>
      <w:tr w14:paraId="40DF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4DFBB9BE">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施工员</w:t>
            </w:r>
          </w:p>
        </w:tc>
        <w:tc>
          <w:tcPr>
            <w:tcW w:w="707" w:type="dxa"/>
            <w:noWrap w:val="0"/>
            <w:vAlign w:val="center"/>
          </w:tcPr>
          <w:p w14:paraId="79F3CD80">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50094748">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46E141F7">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005622CC">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2A5F2391">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36D7875B">
            <w:pPr>
              <w:pStyle w:val="90"/>
              <w:ind w:left="223" w:hanging="222" w:hangingChars="106"/>
              <w:jc w:val="center"/>
              <w:rPr>
                <w:rFonts w:hint="eastAsia" w:ascii="仿宋" w:hAnsi="仿宋" w:eastAsia="仿宋" w:cs="仿宋"/>
                <w:color w:val="auto"/>
                <w:highlight w:val="none"/>
              </w:rPr>
            </w:pPr>
          </w:p>
        </w:tc>
      </w:tr>
      <w:tr w14:paraId="1B2D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3DDBFA23">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质量员</w:t>
            </w:r>
          </w:p>
        </w:tc>
        <w:tc>
          <w:tcPr>
            <w:tcW w:w="707" w:type="dxa"/>
            <w:noWrap w:val="0"/>
            <w:vAlign w:val="center"/>
          </w:tcPr>
          <w:p w14:paraId="0018820B">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1675B8A1">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0AEB87AE">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7010FFD4">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3B4BA09C">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3DA83BB9">
            <w:pPr>
              <w:pStyle w:val="90"/>
              <w:ind w:left="223" w:hanging="222" w:hangingChars="106"/>
              <w:jc w:val="center"/>
              <w:rPr>
                <w:rFonts w:hint="eastAsia" w:ascii="仿宋" w:hAnsi="仿宋" w:eastAsia="仿宋" w:cs="仿宋"/>
                <w:color w:val="auto"/>
                <w:highlight w:val="none"/>
              </w:rPr>
            </w:pPr>
          </w:p>
        </w:tc>
      </w:tr>
      <w:tr w14:paraId="3FAE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6DF87134">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安全员</w:t>
            </w:r>
          </w:p>
        </w:tc>
        <w:tc>
          <w:tcPr>
            <w:tcW w:w="707" w:type="dxa"/>
            <w:noWrap w:val="0"/>
            <w:vAlign w:val="center"/>
          </w:tcPr>
          <w:p w14:paraId="112555B8">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281C35F6">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38D04FF9">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6D4FC170">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207D2C6D">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2CC4DDC5">
            <w:pPr>
              <w:pStyle w:val="90"/>
              <w:ind w:left="223" w:hanging="222" w:hangingChars="106"/>
              <w:jc w:val="center"/>
              <w:rPr>
                <w:rFonts w:hint="eastAsia" w:ascii="仿宋" w:hAnsi="仿宋" w:eastAsia="仿宋" w:cs="仿宋"/>
                <w:color w:val="auto"/>
                <w:highlight w:val="none"/>
              </w:rPr>
            </w:pPr>
          </w:p>
        </w:tc>
      </w:tr>
      <w:tr w14:paraId="7608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5BE62847">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材料员</w:t>
            </w:r>
          </w:p>
        </w:tc>
        <w:tc>
          <w:tcPr>
            <w:tcW w:w="707" w:type="dxa"/>
            <w:noWrap w:val="0"/>
            <w:vAlign w:val="center"/>
          </w:tcPr>
          <w:p w14:paraId="3FBFD759">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5F582006">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4ACAFC19">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6DA08359">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5EEF8BE5">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1D990718">
            <w:pPr>
              <w:pStyle w:val="90"/>
              <w:ind w:left="223" w:hanging="222" w:hangingChars="106"/>
              <w:jc w:val="center"/>
              <w:rPr>
                <w:rFonts w:hint="eastAsia" w:ascii="仿宋" w:hAnsi="仿宋" w:eastAsia="仿宋" w:cs="仿宋"/>
                <w:color w:val="auto"/>
                <w:highlight w:val="none"/>
              </w:rPr>
            </w:pPr>
          </w:p>
        </w:tc>
      </w:tr>
      <w:tr w14:paraId="7D54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15" w:type="dxa"/>
            <w:noWrap w:val="0"/>
            <w:vAlign w:val="center"/>
          </w:tcPr>
          <w:p w14:paraId="6D608CFD">
            <w:pPr>
              <w:pStyle w:val="90"/>
              <w:ind w:left="223" w:hanging="222" w:hangingChars="106"/>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707" w:type="dxa"/>
            <w:noWrap w:val="0"/>
            <w:vAlign w:val="center"/>
          </w:tcPr>
          <w:p w14:paraId="1DD127B4">
            <w:pPr>
              <w:pStyle w:val="90"/>
              <w:ind w:left="223" w:hanging="222" w:hangingChars="106"/>
              <w:jc w:val="center"/>
              <w:rPr>
                <w:rFonts w:hint="eastAsia" w:ascii="仿宋" w:hAnsi="仿宋" w:eastAsia="仿宋" w:cs="仿宋"/>
                <w:color w:val="auto"/>
                <w:highlight w:val="none"/>
              </w:rPr>
            </w:pPr>
          </w:p>
        </w:tc>
        <w:tc>
          <w:tcPr>
            <w:tcW w:w="816" w:type="dxa"/>
            <w:noWrap w:val="0"/>
            <w:vAlign w:val="center"/>
          </w:tcPr>
          <w:p w14:paraId="1B34430E">
            <w:pPr>
              <w:pStyle w:val="90"/>
              <w:ind w:left="223" w:hanging="222" w:hangingChars="106"/>
              <w:jc w:val="center"/>
              <w:rPr>
                <w:rFonts w:hint="eastAsia" w:ascii="仿宋" w:hAnsi="仿宋" w:eastAsia="仿宋" w:cs="仿宋"/>
                <w:color w:val="auto"/>
                <w:highlight w:val="none"/>
              </w:rPr>
            </w:pPr>
          </w:p>
        </w:tc>
        <w:tc>
          <w:tcPr>
            <w:tcW w:w="1899" w:type="dxa"/>
            <w:noWrap w:val="0"/>
            <w:vAlign w:val="center"/>
          </w:tcPr>
          <w:p w14:paraId="7925164E">
            <w:pPr>
              <w:pStyle w:val="90"/>
              <w:ind w:left="223" w:hanging="222" w:hangingChars="106"/>
              <w:jc w:val="center"/>
              <w:rPr>
                <w:rFonts w:hint="eastAsia" w:ascii="仿宋" w:hAnsi="仿宋" w:eastAsia="仿宋" w:cs="仿宋"/>
                <w:color w:val="auto"/>
                <w:highlight w:val="none"/>
              </w:rPr>
            </w:pPr>
          </w:p>
        </w:tc>
        <w:tc>
          <w:tcPr>
            <w:tcW w:w="1545" w:type="dxa"/>
            <w:noWrap w:val="0"/>
            <w:vAlign w:val="center"/>
          </w:tcPr>
          <w:p w14:paraId="1569D86B">
            <w:pPr>
              <w:pStyle w:val="90"/>
              <w:ind w:left="223" w:hanging="222" w:hangingChars="106"/>
              <w:jc w:val="center"/>
              <w:rPr>
                <w:rFonts w:hint="eastAsia" w:ascii="仿宋" w:hAnsi="仿宋" w:eastAsia="仿宋" w:cs="仿宋"/>
                <w:color w:val="auto"/>
                <w:highlight w:val="none"/>
              </w:rPr>
            </w:pPr>
          </w:p>
        </w:tc>
        <w:tc>
          <w:tcPr>
            <w:tcW w:w="1710" w:type="dxa"/>
            <w:noWrap w:val="0"/>
            <w:vAlign w:val="center"/>
          </w:tcPr>
          <w:p w14:paraId="33165A17">
            <w:pPr>
              <w:pStyle w:val="90"/>
              <w:ind w:left="223" w:hanging="222" w:hangingChars="106"/>
              <w:jc w:val="center"/>
              <w:rPr>
                <w:rFonts w:hint="eastAsia" w:ascii="仿宋" w:hAnsi="仿宋" w:eastAsia="仿宋" w:cs="仿宋"/>
                <w:color w:val="auto"/>
                <w:highlight w:val="none"/>
              </w:rPr>
            </w:pPr>
          </w:p>
        </w:tc>
        <w:tc>
          <w:tcPr>
            <w:tcW w:w="1564" w:type="dxa"/>
            <w:noWrap w:val="0"/>
            <w:vAlign w:val="center"/>
          </w:tcPr>
          <w:p w14:paraId="440B7C85">
            <w:pPr>
              <w:pStyle w:val="90"/>
              <w:ind w:left="223" w:hanging="222" w:hangingChars="106"/>
              <w:jc w:val="center"/>
              <w:rPr>
                <w:rFonts w:hint="eastAsia" w:ascii="仿宋" w:hAnsi="仿宋" w:eastAsia="仿宋" w:cs="仿宋"/>
                <w:color w:val="auto"/>
                <w:highlight w:val="none"/>
              </w:rPr>
            </w:pPr>
          </w:p>
        </w:tc>
      </w:tr>
      <w:tr w14:paraId="49DD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7"/>
            <w:noWrap w:val="0"/>
            <w:vAlign w:val="center"/>
          </w:tcPr>
          <w:p w14:paraId="1EB0C0EA">
            <w:pPr>
              <w:pStyle w:val="90"/>
              <w:spacing w:line="360" w:lineRule="auto"/>
              <w:rPr>
                <w:rFonts w:hint="eastAsia" w:ascii="仿宋" w:hAnsi="仿宋" w:eastAsia="仿宋" w:cs="仿宋"/>
                <w:color w:val="auto"/>
                <w:highlight w:val="none"/>
              </w:rPr>
            </w:pPr>
            <w:bookmarkStart w:id="121" w:name="_Toc251052199"/>
            <w:r>
              <w:rPr>
                <w:rFonts w:hint="eastAsia" w:ascii="仿宋" w:hAnsi="仿宋" w:eastAsia="仿宋" w:cs="仿宋"/>
                <w:color w:val="auto"/>
                <w:highlight w:val="none"/>
              </w:rPr>
              <w:t>一旦我单位中标，将实行项目经理负责制，我方保证并配备上述项目管理机构。上述填报内容真实，若不真实，愿按有关规定接受处理。</w:t>
            </w:r>
            <w:bookmarkEnd w:id="121"/>
          </w:p>
        </w:tc>
      </w:tr>
    </w:tbl>
    <w:p w14:paraId="2D70FE6E">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5744F7CB">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633385DF">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1.本表所列岗位的所有管理人员的情况均应如实填写。可按以上格式扩展为多页填写。</w:t>
      </w:r>
    </w:p>
    <w:p w14:paraId="58D8D745">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附项目经理、技术负责人、安全员、施工员、质量员、材料员的上岗证和专职安全员安全生产考核合格证复印件；拟投入的项目经理、项目技术负责人和主要管理人员响应文件递交截止日前半年内连续</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个月为其交纳依法缴纳社会保险证明材料复印件；</w:t>
      </w:r>
    </w:p>
    <w:p w14:paraId="590C3201">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716955C6">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A270C1A">
      <w:pPr>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 xml:space="preserve">日期： </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 xml:space="preserve"> 年  月   日</w:t>
      </w:r>
    </w:p>
    <w:p w14:paraId="3C524659">
      <w:pPr>
        <w:spacing w:line="480" w:lineRule="auto"/>
        <w:rPr>
          <w:rFonts w:hint="eastAsia" w:ascii="仿宋" w:hAnsi="仿宋" w:eastAsia="仿宋" w:cs="仿宋"/>
          <w:b/>
          <w:bCs/>
          <w:color w:val="auto"/>
          <w:szCs w:val="21"/>
          <w:highlight w:val="none"/>
          <w:lang w:val="zh-CN" w:bidi="zh-CN"/>
        </w:rPr>
        <w:sectPr>
          <w:pgSz w:w="11900" w:h="16839"/>
          <w:pgMar w:top="1440" w:right="1080" w:bottom="1440" w:left="1080" w:header="969" w:footer="502" w:gutter="0"/>
          <w:pgNumType w:fmt="decimal"/>
          <w:cols w:space="720" w:num="1"/>
        </w:sectPr>
      </w:pPr>
    </w:p>
    <w:bookmarkEnd w:id="108"/>
    <w:bookmarkEnd w:id="109"/>
    <w:bookmarkEnd w:id="110"/>
    <w:bookmarkEnd w:id="111"/>
    <w:bookmarkEnd w:id="112"/>
    <w:p w14:paraId="40EDE787">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十、供应商认为需要提供的其他有关资料</w:t>
      </w:r>
    </w:p>
    <w:p w14:paraId="7479903C">
      <w:pPr>
        <w:rPr>
          <w:rFonts w:hint="eastAsia" w:ascii="仿宋" w:hAnsi="仿宋" w:eastAsia="仿宋" w:cs="仿宋"/>
          <w:color w:val="auto"/>
          <w:szCs w:val="21"/>
          <w:highlight w:val="none"/>
        </w:rPr>
      </w:pPr>
    </w:p>
    <w:p w14:paraId="386776FC">
      <w:pPr>
        <w:jc w:val="center"/>
        <w:rPr>
          <w:rFonts w:hint="eastAsia" w:ascii="仿宋" w:hAnsi="仿宋" w:eastAsia="仿宋" w:cs="仿宋"/>
          <w:color w:val="auto"/>
          <w:szCs w:val="21"/>
          <w:highlight w:val="none"/>
        </w:rPr>
        <w:sectPr>
          <w:pgSz w:w="11911" w:h="16838"/>
          <w:pgMar w:top="1440" w:right="1080" w:bottom="1440" w:left="1080" w:header="720" w:footer="720" w:gutter="0"/>
          <w:pgNumType w:fmt="decimal"/>
          <w:cols w:space="720" w:num="1"/>
        </w:sectPr>
      </w:pPr>
      <w:r>
        <w:rPr>
          <w:rFonts w:hint="eastAsia" w:ascii="仿宋" w:hAnsi="仿宋" w:eastAsia="仿宋" w:cs="仿宋"/>
          <w:b/>
          <w:color w:val="auto"/>
          <w:sz w:val="30"/>
          <w:szCs w:val="30"/>
          <w:highlight w:val="none"/>
        </w:rPr>
        <w:t>（如有，格式自拟）</w:t>
      </w:r>
    </w:p>
    <w:p w14:paraId="5C749A2D">
      <w:pPr>
        <w:pStyle w:val="3"/>
        <w:jc w:val="center"/>
        <w:rPr>
          <w:rFonts w:hint="eastAsia" w:ascii="仿宋" w:hAnsi="仿宋" w:eastAsia="仿宋" w:cs="仿宋"/>
          <w:color w:val="auto"/>
          <w:highlight w:val="none"/>
        </w:rPr>
      </w:pPr>
      <w:bookmarkStart w:id="122" w:name="_Toc26046"/>
      <w:bookmarkStart w:id="123" w:name="_Toc9885"/>
      <w:bookmarkStart w:id="124" w:name="_Toc6004"/>
      <w:r>
        <w:rPr>
          <w:rFonts w:hint="eastAsia" w:ascii="仿宋" w:hAnsi="仿宋" w:eastAsia="仿宋" w:cs="仿宋"/>
          <w:b w:val="0"/>
          <w:bCs w:val="0"/>
          <w:color w:val="auto"/>
          <w:highlight w:val="none"/>
        </w:rPr>
        <w:t>第四节 报价文件格式</w:t>
      </w:r>
      <w:bookmarkEnd w:id="122"/>
      <w:bookmarkEnd w:id="123"/>
      <w:bookmarkEnd w:id="124"/>
    </w:p>
    <w:p w14:paraId="21B2DF1D">
      <w:pPr>
        <w:snapToGrid w:val="0"/>
        <w:spacing w:before="165"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26179040">
      <w:pPr>
        <w:snapToGrid w:val="0"/>
        <w:spacing w:before="165" w:beforeLines="50" w:after="50"/>
        <w:rPr>
          <w:rFonts w:hint="eastAsia" w:ascii="仿宋" w:hAnsi="仿宋" w:eastAsia="仿宋" w:cs="仿宋"/>
          <w:color w:val="auto"/>
          <w:sz w:val="24"/>
          <w:szCs w:val="20"/>
          <w:highlight w:val="none"/>
        </w:rPr>
      </w:pPr>
    </w:p>
    <w:p w14:paraId="1E0BE11B">
      <w:pPr>
        <w:snapToGrid w:val="0"/>
        <w:spacing w:before="165" w:beforeLines="50" w:after="50"/>
        <w:rPr>
          <w:rFonts w:hint="eastAsia" w:ascii="仿宋" w:hAnsi="仿宋" w:eastAsia="仿宋" w:cs="仿宋"/>
          <w:color w:val="auto"/>
          <w:sz w:val="24"/>
          <w:szCs w:val="20"/>
          <w:highlight w:val="none"/>
        </w:rPr>
      </w:pPr>
    </w:p>
    <w:p w14:paraId="7E7D786C">
      <w:pPr>
        <w:snapToGrid w:val="0"/>
        <w:spacing w:before="165" w:beforeLines="50" w:after="50"/>
        <w:rPr>
          <w:rFonts w:hint="eastAsia" w:ascii="仿宋" w:hAnsi="仿宋" w:eastAsia="仿宋" w:cs="仿宋"/>
          <w:color w:val="auto"/>
          <w:sz w:val="24"/>
          <w:szCs w:val="20"/>
          <w:highlight w:val="none"/>
        </w:rPr>
      </w:pPr>
    </w:p>
    <w:p w14:paraId="5C77B019">
      <w:pPr>
        <w:snapToGrid w:val="0"/>
        <w:spacing w:before="165" w:beforeLines="50" w:after="50"/>
        <w:jc w:val="center"/>
        <w:rPr>
          <w:rFonts w:hint="eastAsia" w:ascii="仿宋" w:hAnsi="仿宋" w:eastAsia="仿宋" w:cs="仿宋"/>
          <w:b/>
          <w:color w:val="auto"/>
          <w:sz w:val="52"/>
          <w:szCs w:val="52"/>
          <w:highlight w:val="none"/>
        </w:rPr>
      </w:pPr>
      <w:r>
        <w:rPr>
          <w:rFonts w:hint="eastAsia" w:ascii="仿宋" w:hAnsi="仿宋" w:eastAsia="仿宋" w:cs="仿宋"/>
          <w:b/>
          <w:color w:val="auto"/>
          <w:sz w:val="52"/>
          <w:szCs w:val="52"/>
          <w:highlight w:val="none"/>
        </w:rPr>
        <w:t>报价文件（封面）</w:t>
      </w:r>
    </w:p>
    <w:p w14:paraId="3C2D91A4">
      <w:pPr>
        <w:snapToGrid w:val="0"/>
        <w:spacing w:before="165" w:beforeLines="50" w:after="50"/>
        <w:rPr>
          <w:rFonts w:hint="eastAsia" w:ascii="仿宋" w:hAnsi="仿宋" w:eastAsia="仿宋" w:cs="仿宋"/>
          <w:bCs/>
          <w:color w:val="auto"/>
          <w:sz w:val="24"/>
          <w:szCs w:val="20"/>
          <w:highlight w:val="none"/>
        </w:rPr>
      </w:pPr>
    </w:p>
    <w:p w14:paraId="59F0E3E8">
      <w:pPr>
        <w:snapToGrid w:val="0"/>
        <w:spacing w:before="165" w:beforeLines="50" w:after="50"/>
        <w:rPr>
          <w:rFonts w:hint="eastAsia" w:ascii="仿宋" w:hAnsi="仿宋" w:eastAsia="仿宋" w:cs="仿宋"/>
          <w:bCs/>
          <w:color w:val="auto"/>
          <w:sz w:val="24"/>
          <w:szCs w:val="20"/>
          <w:highlight w:val="none"/>
        </w:rPr>
      </w:pPr>
    </w:p>
    <w:p w14:paraId="423A9247">
      <w:pPr>
        <w:snapToGrid w:val="0"/>
        <w:spacing w:before="165" w:beforeLines="50" w:after="50"/>
        <w:rPr>
          <w:rFonts w:hint="eastAsia" w:ascii="仿宋" w:hAnsi="仿宋" w:eastAsia="仿宋" w:cs="仿宋"/>
          <w:bCs/>
          <w:color w:val="auto"/>
          <w:sz w:val="24"/>
          <w:szCs w:val="20"/>
          <w:highlight w:val="none"/>
        </w:rPr>
      </w:pPr>
    </w:p>
    <w:p w14:paraId="4C5DE7DC">
      <w:pPr>
        <w:snapToGrid w:val="0"/>
        <w:spacing w:before="165" w:beforeLines="50" w:after="50"/>
        <w:rPr>
          <w:rFonts w:hint="eastAsia" w:ascii="仿宋" w:hAnsi="仿宋" w:eastAsia="仿宋" w:cs="仿宋"/>
          <w:bCs/>
          <w:color w:val="auto"/>
          <w:sz w:val="24"/>
          <w:szCs w:val="20"/>
          <w:highlight w:val="none"/>
        </w:rPr>
      </w:pPr>
    </w:p>
    <w:p w14:paraId="38A111E3">
      <w:pPr>
        <w:snapToGrid w:val="0"/>
        <w:spacing w:before="165" w:beforeLines="50" w:after="50"/>
        <w:rPr>
          <w:rFonts w:hint="eastAsia" w:ascii="仿宋" w:hAnsi="仿宋" w:eastAsia="仿宋" w:cs="仿宋"/>
          <w:bCs/>
          <w:color w:val="auto"/>
          <w:sz w:val="24"/>
          <w:szCs w:val="20"/>
          <w:highlight w:val="none"/>
        </w:rPr>
      </w:pPr>
    </w:p>
    <w:p w14:paraId="05FBB664">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p>
    <w:p w14:paraId="23BB6ED0">
      <w:pPr>
        <w:snapToGrid w:val="0"/>
        <w:spacing w:before="165" w:beforeLines="50" w:after="50"/>
        <w:ind w:firstLine="720" w:firstLineChars="225"/>
        <w:rPr>
          <w:rFonts w:hint="eastAsia" w:ascii="仿宋" w:hAnsi="仿宋" w:eastAsia="仿宋" w:cs="仿宋"/>
          <w:bCs/>
          <w:color w:val="auto"/>
          <w:sz w:val="32"/>
          <w:szCs w:val="32"/>
          <w:highlight w:val="none"/>
        </w:rPr>
      </w:pPr>
    </w:p>
    <w:p w14:paraId="6957E4C0">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p>
    <w:p w14:paraId="5BE29974">
      <w:pPr>
        <w:snapToGrid w:val="0"/>
        <w:spacing w:before="165" w:beforeLines="50" w:after="50"/>
        <w:ind w:firstLine="720" w:firstLineChars="225"/>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 </w:t>
      </w:r>
    </w:p>
    <w:p w14:paraId="7C950A78">
      <w:pPr>
        <w:snapToGrid w:val="0"/>
        <w:spacing w:before="165"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2A6F2B80">
      <w:pPr>
        <w:snapToGrid w:val="0"/>
        <w:spacing w:before="165" w:beforeLines="50" w:after="50"/>
        <w:ind w:firstLine="720" w:firstLineChars="225"/>
        <w:rPr>
          <w:rFonts w:hint="eastAsia" w:ascii="仿宋" w:hAnsi="仿宋" w:eastAsia="仿宋" w:cs="仿宋"/>
          <w:bCs/>
          <w:color w:val="auto"/>
          <w:sz w:val="32"/>
          <w:szCs w:val="32"/>
          <w:highlight w:val="none"/>
        </w:rPr>
      </w:pPr>
    </w:p>
    <w:p w14:paraId="3B790BC7">
      <w:pPr>
        <w:pStyle w:val="7"/>
        <w:snapToGrid w:val="0"/>
        <w:spacing w:before="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41306A05">
      <w:pPr>
        <w:pStyle w:val="7"/>
        <w:snapToGrid w:val="0"/>
        <w:spacing w:before="50" w:after="50"/>
        <w:ind w:firstLine="720" w:firstLineChars="225"/>
        <w:rPr>
          <w:rFonts w:hint="eastAsia" w:ascii="仿宋" w:hAnsi="仿宋" w:eastAsia="仿宋" w:cs="仿宋"/>
          <w:bCs/>
          <w:color w:val="auto"/>
          <w:sz w:val="32"/>
          <w:szCs w:val="32"/>
          <w:highlight w:val="none"/>
        </w:rPr>
      </w:pPr>
    </w:p>
    <w:p w14:paraId="67220DD7">
      <w:pPr>
        <w:pStyle w:val="7"/>
        <w:snapToGrid w:val="0"/>
        <w:spacing w:before="50" w:after="50"/>
        <w:ind w:firstLine="720" w:firstLineChars="225"/>
        <w:rPr>
          <w:rFonts w:hint="eastAsia" w:ascii="仿宋" w:hAnsi="仿宋" w:eastAsia="仿宋" w:cs="仿宋"/>
          <w:bCs/>
          <w:color w:val="auto"/>
          <w:sz w:val="32"/>
          <w:szCs w:val="32"/>
          <w:highlight w:val="none"/>
        </w:rPr>
      </w:pPr>
    </w:p>
    <w:p w14:paraId="4C244DEE">
      <w:pPr>
        <w:pStyle w:val="7"/>
        <w:snapToGrid w:val="0"/>
        <w:spacing w:before="50" w:after="50"/>
        <w:ind w:firstLine="1280" w:firstLineChars="400"/>
        <w:rPr>
          <w:rFonts w:hint="eastAsia" w:ascii="仿宋" w:hAnsi="仿宋" w:eastAsia="仿宋" w:cs="仿宋"/>
          <w:bCs/>
          <w:color w:val="auto"/>
          <w:sz w:val="32"/>
          <w:szCs w:val="32"/>
          <w:highlight w:val="none"/>
        </w:rPr>
      </w:pPr>
    </w:p>
    <w:p w14:paraId="25FD8D9B">
      <w:pPr>
        <w:snapToGrid w:val="0"/>
        <w:spacing w:before="165"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1E744D55">
      <w:pPr>
        <w:jc w:val="right"/>
        <w:rPr>
          <w:rFonts w:hint="eastAsia" w:ascii="仿宋" w:hAnsi="仿宋" w:eastAsia="仿宋" w:cs="仿宋"/>
          <w:color w:val="auto"/>
          <w:kern w:val="0"/>
          <w:sz w:val="24"/>
          <w:highlight w:val="none"/>
          <w:lang w:val="zh-CN"/>
        </w:rPr>
        <w:sectPr>
          <w:headerReference r:id="rId14" w:type="default"/>
          <w:pgSz w:w="11905" w:h="16838"/>
          <w:pgMar w:top="1440" w:right="1080" w:bottom="1440" w:left="1080" w:header="720" w:footer="720" w:gutter="0"/>
          <w:pgNumType w:fmt="decimal"/>
          <w:cols w:space="720" w:num="1"/>
          <w:docGrid w:type="lines" w:linePitch="331" w:charSpace="0"/>
        </w:sectPr>
      </w:pPr>
    </w:p>
    <w:p w14:paraId="79E0E16E">
      <w:pPr>
        <w:snapToGrid w:val="0"/>
        <w:spacing w:before="165" w:beforeLines="50" w:after="50" w:line="400" w:lineRule="exact"/>
        <w:jc w:val="center"/>
        <w:rPr>
          <w:rFonts w:hint="eastAsia" w:ascii="仿宋" w:hAnsi="仿宋" w:eastAsia="仿宋" w:cs="仿宋"/>
          <w:color w:val="auto"/>
          <w:highlight w:val="none"/>
        </w:rPr>
      </w:pPr>
      <w:r>
        <w:rPr>
          <w:rFonts w:hint="eastAsia" w:ascii="仿宋" w:hAnsi="仿宋" w:eastAsia="仿宋" w:cs="仿宋"/>
          <w:b/>
          <w:bCs/>
          <w:color w:val="auto"/>
          <w:sz w:val="32"/>
          <w:szCs w:val="32"/>
          <w:highlight w:val="none"/>
        </w:rPr>
        <w:t>报价文件目录</w:t>
      </w:r>
    </w:p>
    <w:p w14:paraId="2E69EA9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一、响应函………………………………………………………………………………（页码）</w:t>
      </w:r>
    </w:p>
    <w:p w14:paraId="35168BBC">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二、响应报价表…………………………………………………………………………（页码）</w:t>
      </w:r>
    </w:p>
    <w:p w14:paraId="6CA3D384">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三、已标价工程量清单…………………………………………………………………（页码）</w:t>
      </w:r>
    </w:p>
    <w:p w14:paraId="16A86BCC">
      <w:pPr>
        <w:snapToGrid w:val="0"/>
        <w:spacing w:before="165" w:beforeLines="50" w:after="50" w:line="360" w:lineRule="auto"/>
        <w:ind w:left="142" w:firstLine="643" w:firstLineChars="200"/>
        <w:jc w:val="left"/>
        <w:rPr>
          <w:rFonts w:hint="eastAsia" w:ascii="仿宋" w:hAnsi="仿宋" w:eastAsia="仿宋" w:cs="仿宋"/>
          <w:color w:val="auto"/>
          <w:sz w:val="24"/>
          <w:highlight w:val="none"/>
        </w:rPr>
      </w:pPr>
      <w:r>
        <w:rPr>
          <w:rFonts w:hint="eastAsia" w:ascii="仿宋" w:hAnsi="仿宋" w:eastAsia="仿宋" w:cs="仿宋"/>
          <w:b/>
          <w:bCs/>
          <w:color w:val="auto"/>
          <w:sz w:val="32"/>
          <w:szCs w:val="32"/>
          <w:highlight w:val="none"/>
        </w:rPr>
        <w:br w:type="page"/>
      </w:r>
      <w:r>
        <w:rPr>
          <w:rFonts w:hint="eastAsia" w:ascii="仿宋" w:hAnsi="仿宋" w:eastAsia="仿宋" w:cs="仿宋"/>
          <w:b/>
          <w:bCs/>
          <w:color w:val="auto"/>
          <w:sz w:val="32"/>
          <w:szCs w:val="32"/>
          <w:highlight w:val="none"/>
        </w:rPr>
        <w:t>一、响应函</w:t>
      </w:r>
    </w:p>
    <w:p w14:paraId="61AD57AE">
      <w:pPr>
        <w:pStyle w:val="17"/>
        <w:spacing w:after="165" w:afterLines="50" w:line="50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响应函</w:t>
      </w:r>
    </w:p>
    <w:p w14:paraId="654A586C">
      <w:pPr>
        <w:pStyle w:val="17"/>
        <w:rPr>
          <w:rFonts w:hint="eastAsia" w:ascii="仿宋" w:hAnsi="仿宋" w:eastAsia="仿宋" w:cs="仿宋"/>
          <w:color w:val="auto"/>
          <w:sz w:val="21"/>
          <w:highlight w:val="none"/>
        </w:rPr>
      </w:pPr>
      <w:r>
        <w:rPr>
          <w:rFonts w:hint="eastAsia" w:ascii="仿宋" w:hAnsi="仿宋" w:eastAsia="仿宋" w:cs="仿宋"/>
          <w:color w:val="auto"/>
          <w:sz w:val="21"/>
          <w:highlight w:val="none"/>
        </w:rPr>
        <w:t>致：</w:t>
      </w:r>
      <w:r>
        <w:rPr>
          <w:rFonts w:hint="eastAsia" w:ascii="仿宋" w:hAnsi="仿宋" w:eastAsia="仿宋" w:cs="仿宋"/>
          <w:color w:val="auto"/>
          <w:sz w:val="21"/>
          <w:highlight w:val="none"/>
          <w:u w:val="single"/>
        </w:rPr>
        <w:t xml:space="preserve"> （采购人） </w:t>
      </w:r>
    </w:p>
    <w:p w14:paraId="64B80A52">
      <w:pPr>
        <w:pStyle w:val="17"/>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我方已仔细阅读了贵方组织的</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项目（项目编号：</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 xml:space="preserve">）的竞争性磋商文件的全部内容，现正式递交下述文件参加贵方组织的本次政府采购活动： </w:t>
      </w:r>
    </w:p>
    <w:p w14:paraId="2997A315">
      <w:pPr>
        <w:pStyle w:val="17"/>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一、首次报价文件电子版</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份（包含按“第三章 供应商须知”提交的全部文件）；</w:t>
      </w:r>
    </w:p>
    <w:p w14:paraId="2B59D3E4">
      <w:pPr>
        <w:pStyle w:val="17"/>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二、商务技术文件电子版</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份（包含按“第三章 供应商须知”提交的全部文件）；（商务技术文件已合并装订成册）</w:t>
      </w:r>
    </w:p>
    <w:p w14:paraId="7A344001">
      <w:pPr>
        <w:pStyle w:val="17"/>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三、资格证明文件电子版</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份（包含按“第三章 供应商须知”提交的全部文件）；</w:t>
      </w:r>
    </w:p>
    <w:p w14:paraId="646F2CCE">
      <w:pPr>
        <w:pStyle w:val="17"/>
        <w:ind w:firstLine="420" w:firstLineChars="200"/>
        <w:rPr>
          <w:rFonts w:hint="eastAsia" w:ascii="仿宋" w:hAnsi="仿宋" w:eastAsia="仿宋" w:cs="仿宋"/>
          <w:color w:val="auto"/>
          <w:sz w:val="21"/>
          <w:highlight w:val="none"/>
        </w:rPr>
      </w:pPr>
      <w:r>
        <w:rPr>
          <w:rFonts w:hint="eastAsia" w:ascii="仿宋" w:hAnsi="仿宋" w:eastAsia="仿宋" w:cs="仿宋"/>
          <w:color w:val="auto"/>
          <w:sz w:val="21"/>
          <w:highlight w:val="none"/>
        </w:rPr>
        <w:t>据此函，签字人兹宣布：</w:t>
      </w:r>
    </w:p>
    <w:p w14:paraId="5005B335">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1.我方愿意以（大写）人民币</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元)的竞标总报价，合同履行期限：</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，提供本项目竞争性磋商文件第二章“采购需求”中相应的采购内容。</w:t>
      </w:r>
    </w:p>
    <w:p w14:paraId="6B9F8230">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2.我方同意自本项目竞争性磋商文件采购公告规定的递交响应文件截止时间起遵循本响应函，并承诺在“第三章 供应商须知”规定的竞标有效期内不修改、撤销响应文件。</w:t>
      </w:r>
    </w:p>
    <w:p w14:paraId="421C156F">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3.我方在此声明，所递交的响应文件及有关资料内容完整、真实和准确。</w:t>
      </w:r>
    </w:p>
    <w:p w14:paraId="77E74ED1">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4.如本项目采购内容涉及须符合国家强制规定的，我方承诺我方本次竞标均符合国家有关强制规定。</w:t>
      </w:r>
    </w:p>
    <w:p w14:paraId="59D9BCAA">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5.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6CB961E9">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6.我方已详细审核竞争性磋商文件，我方知道必须放弃提出含糊不清或误解问题的权利。</w:t>
      </w:r>
    </w:p>
    <w:p w14:paraId="657FEDCA">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7.我方承诺满足竞争性磋商文件第六章“合同文本”的条款，承担完成合同的责任和义务。</w:t>
      </w:r>
    </w:p>
    <w:p w14:paraId="4832BC20">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8.我方同意应贵方要求提供与本竞标有关的任何数据或资料。若贵方需要，我方愿意提供我方作出的一切承诺的证明材料。</w:t>
      </w:r>
    </w:p>
    <w:p w14:paraId="766328D1">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9.我方完全理解贵方不一定接受响应报价最低的竞标人为成交供应商的行为。</w:t>
      </w:r>
    </w:p>
    <w:p w14:paraId="7323A96E">
      <w:pPr>
        <w:pStyle w:val="17"/>
        <w:ind w:firstLine="482"/>
        <w:rPr>
          <w:rFonts w:hint="eastAsia" w:ascii="仿宋" w:hAnsi="仿宋" w:eastAsia="仿宋" w:cs="仿宋"/>
          <w:color w:val="auto"/>
          <w:sz w:val="21"/>
          <w:highlight w:val="none"/>
        </w:rPr>
      </w:pPr>
      <w:r>
        <w:rPr>
          <w:rFonts w:hint="eastAsia" w:ascii="仿宋" w:hAnsi="仿宋" w:eastAsia="仿宋" w:cs="仿宋"/>
          <w:color w:val="auto"/>
          <w:sz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F89B19E">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提供虚假材料谋取中标、成交的；</w:t>
      </w:r>
    </w:p>
    <w:p w14:paraId="312CFF5A">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采取不正当手段诋毁、排挤其他供应商的；</w:t>
      </w:r>
    </w:p>
    <w:p w14:paraId="2063BCBF">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与采购人、其他供应商或者采购代理机构恶意串通的；</w:t>
      </w:r>
    </w:p>
    <w:p w14:paraId="0ACBBB4B">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向采购人、采购代理机构行贿或者提供其他不正当利益的；</w:t>
      </w:r>
    </w:p>
    <w:p w14:paraId="54BD5B3D">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在采购过程中与采购人进行协商谈判的；</w:t>
      </w:r>
    </w:p>
    <w:p w14:paraId="7C516A19">
      <w:pPr>
        <w:pStyle w:val="17"/>
        <w:numPr>
          <w:ilvl w:val="0"/>
          <w:numId w:val="1"/>
        </w:numPr>
        <w:tabs>
          <w:tab w:val="left" w:pos="945"/>
        </w:tabs>
        <w:rPr>
          <w:rFonts w:hint="eastAsia" w:ascii="仿宋" w:hAnsi="仿宋" w:eastAsia="仿宋" w:cs="仿宋"/>
          <w:color w:val="auto"/>
          <w:sz w:val="21"/>
          <w:highlight w:val="none"/>
        </w:rPr>
      </w:pPr>
      <w:r>
        <w:rPr>
          <w:rFonts w:hint="eastAsia" w:ascii="仿宋" w:hAnsi="仿宋" w:eastAsia="仿宋" w:cs="仿宋"/>
          <w:color w:val="auto"/>
          <w:sz w:val="21"/>
          <w:highlight w:val="none"/>
        </w:rPr>
        <w:t>拒绝有关部门监督检查或提供虚假情况的。</w:t>
      </w:r>
    </w:p>
    <w:p w14:paraId="308177CE">
      <w:pPr>
        <w:pStyle w:val="17"/>
        <w:ind w:firstLine="420"/>
        <w:rPr>
          <w:rFonts w:hint="eastAsia" w:ascii="仿宋" w:hAnsi="仿宋" w:eastAsia="仿宋" w:cs="仿宋"/>
          <w:color w:val="auto"/>
          <w:sz w:val="21"/>
          <w:highlight w:val="none"/>
        </w:rPr>
      </w:pPr>
      <w:r>
        <w:rPr>
          <w:rFonts w:hint="eastAsia" w:ascii="仿宋" w:hAnsi="仿宋" w:eastAsia="仿宋" w:cs="仿宋"/>
          <w:color w:val="auto"/>
          <w:sz w:val="21"/>
          <w:highlight w:val="none"/>
        </w:rPr>
        <w:t>11.与本磋商有关的一切正式往来信函请寄：</w:t>
      </w:r>
      <w:r>
        <w:rPr>
          <w:rFonts w:hint="eastAsia" w:ascii="仿宋" w:hAnsi="仿宋" w:eastAsia="仿宋" w:cs="仿宋"/>
          <w:color w:val="auto"/>
          <w:sz w:val="21"/>
          <w:highlight w:val="none"/>
          <w:u w:val="single"/>
        </w:rPr>
        <w:t xml:space="preserve">                </w:t>
      </w:r>
    </w:p>
    <w:p w14:paraId="3813657F">
      <w:pPr>
        <w:pStyle w:val="17"/>
        <w:ind w:firstLine="420"/>
        <w:rPr>
          <w:rFonts w:hint="eastAsia" w:ascii="仿宋" w:hAnsi="仿宋" w:eastAsia="仿宋" w:cs="仿宋"/>
          <w:color w:val="auto"/>
          <w:sz w:val="21"/>
          <w:highlight w:val="none"/>
        </w:rPr>
      </w:pPr>
      <w:r>
        <w:rPr>
          <w:rFonts w:hint="eastAsia" w:ascii="仿宋" w:hAnsi="仿宋" w:eastAsia="仿宋" w:cs="仿宋"/>
          <w:color w:val="auto"/>
          <w:sz w:val="21"/>
          <w:highlight w:val="none"/>
        </w:rPr>
        <w:t>地址：</w:t>
      </w:r>
      <w:r>
        <w:rPr>
          <w:rFonts w:hint="eastAsia" w:ascii="仿宋" w:hAnsi="仿宋" w:eastAsia="仿宋" w:cs="仿宋"/>
          <w:color w:val="auto"/>
          <w:sz w:val="21"/>
          <w:highlight w:val="none"/>
          <w:u w:val="single"/>
        </w:rPr>
        <w:t xml:space="preserve">                                                        </w:t>
      </w:r>
      <w:r>
        <w:rPr>
          <w:rFonts w:hint="eastAsia" w:ascii="仿宋" w:hAnsi="仿宋" w:eastAsia="仿宋" w:cs="仿宋"/>
          <w:color w:val="auto"/>
          <w:sz w:val="21"/>
          <w:highlight w:val="none"/>
        </w:rPr>
        <w:t xml:space="preserve"> </w:t>
      </w:r>
    </w:p>
    <w:p w14:paraId="1E91FEE9">
      <w:pPr>
        <w:pStyle w:val="17"/>
        <w:ind w:firstLine="420"/>
        <w:rPr>
          <w:rFonts w:hint="eastAsia" w:ascii="仿宋" w:hAnsi="仿宋" w:eastAsia="仿宋" w:cs="仿宋"/>
          <w:color w:val="auto"/>
          <w:sz w:val="21"/>
          <w:highlight w:val="none"/>
          <w:u w:val="single"/>
        </w:rPr>
      </w:pPr>
      <w:r>
        <w:rPr>
          <w:rFonts w:hint="eastAsia" w:ascii="仿宋" w:hAnsi="仿宋" w:eastAsia="仿宋" w:cs="仿宋"/>
          <w:color w:val="auto"/>
          <w:sz w:val="21"/>
          <w:highlight w:val="none"/>
        </w:rPr>
        <w:t>电话：</w:t>
      </w:r>
      <w:r>
        <w:rPr>
          <w:rFonts w:hint="eastAsia" w:ascii="仿宋" w:hAnsi="仿宋" w:eastAsia="仿宋" w:cs="仿宋"/>
          <w:color w:val="auto"/>
          <w:sz w:val="21"/>
          <w:highlight w:val="none"/>
          <w:u w:val="single"/>
        </w:rPr>
        <w:t xml:space="preserve">                                      　　　　　　　　　</w:t>
      </w:r>
    </w:p>
    <w:p w14:paraId="1DAC3EC4">
      <w:pPr>
        <w:pStyle w:val="17"/>
        <w:ind w:firstLine="420"/>
        <w:rPr>
          <w:rFonts w:hint="eastAsia" w:ascii="仿宋" w:hAnsi="仿宋" w:eastAsia="仿宋" w:cs="仿宋"/>
          <w:color w:val="auto"/>
          <w:sz w:val="21"/>
          <w:highlight w:val="none"/>
        </w:rPr>
      </w:pPr>
      <w:r>
        <w:rPr>
          <w:rFonts w:hint="eastAsia" w:ascii="仿宋" w:hAnsi="仿宋" w:eastAsia="仿宋" w:cs="仿宋"/>
          <w:color w:val="auto"/>
          <w:sz w:val="21"/>
          <w:highlight w:val="none"/>
        </w:rPr>
        <w:t>传真：</w:t>
      </w:r>
      <w:r>
        <w:rPr>
          <w:rFonts w:hint="eastAsia" w:ascii="仿宋" w:hAnsi="仿宋" w:eastAsia="仿宋" w:cs="仿宋"/>
          <w:color w:val="auto"/>
          <w:sz w:val="21"/>
          <w:highlight w:val="none"/>
          <w:u w:val="single"/>
        </w:rPr>
        <w:t>　　　　　　　　　　　　　　　　　　　　　　　　　　　　</w:t>
      </w:r>
    </w:p>
    <w:p w14:paraId="431B0055">
      <w:pPr>
        <w:pStyle w:val="17"/>
        <w:ind w:firstLine="420"/>
        <w:rPr>
          <w:rFonts w:hint="eastAsia" w:ascii="仿宋" w:hAnsi="仿宋" w:eastAsia="仿宋" w:cs="仿宋"/>
          <w:color w:val="auto"/>
          <w:sz w:val="21"/>
          <w:highlight w:val="none"/>
          <w:u w:val="single"/>
        </w:rPr>
      </w:pPr>
      <w:r>
        <w:rPr>
          <w:rFonts w:hint="eastAsia" w:ascii="仿宋" w:hAnsi="仿宋" w:eastAsia="仿宋" w:cs="仿宋"/>
          <w:color w:val="auto"/>
          <w:sz w:val="21"/>
          <w:highlight w:val="none"/>
        </w:rPr>
        <w:t>邮政编码：</w:t>
      </w:r>
      <w:r>
        <w:rPr>
          <w:rFonts w:hint="eastAsia" w:ascii="仿宋" w:hAnsi="仿宋" w:eastAsia="仿宋" w:cs="仿宋"/>
          <w:color w:val="auto"/>
          <w:sz w:val="21"/>
          <w:highlight w:val="none"/>
          <w:u w:val="single"/>
        </w:rPr>
        <w:t xml:space="preserve">                                                    </w:t>
      </w:r>
    </w:p>
    <w:p w14:paraId="3AC82EAF">
      <w:pPr>
        <w:pStyle w:val="17"/>
        <w:ind w:firstLine="420"/>
        <w:rPr>
          <w:rFonts w:hint="eastAsia" w:ascii="仿宋" w:hAnsi="仿宋" w:eastAsia="仿宋" w:cs="仿宋"/>
          <w:color w:val="auto"/>
          <w:sz w:val="21"/>
          <w:highlight w:val="none"/>
          <w:u w:val="single"/>
        </w:rPr>
      </w:pPr>
      <w:r>
        <w:rPr>
          <w:rFonts w:hint="eastAsia" w:ascii="仿宋" w:hAnsi="仿宋" w:eastAsia="仿宋" w:cs="仿宋"/>
          <w:color w:val="auto"/>
          <w:sz w:val="21"/>
          <w:highlight w:val="none"/>
        </w:rPr>
        <w:t>开户名称：</w:t>
      </w:r>
      <w:r>
        <w:rPr>
          <w:rFonts w:hint="eastAsia" w:ascii="仿宋" w:hAnsi="仿宋" w:eastAsia="仿宋" w:cs="仿宋"/>
          <w:color w:val="auto"/>
          <w:sz w:val="21"/>
          <w:highlight w:val="none"/>
          <w:u w:val="single"/>
        </w:rPr>
        <w:t xml:space="preserve">                                                    </w:t>
      </w:r>
    </w:p>
    <w:p w14:paraId="02E22E8B">
      <w:pPr>
        <w:pStyle w:val="17"/>
        <w:ind w:firstLine="420"/>
        <w:rPr>
          <w:rFonts w:hint="eastAsia" w:ascii="仿宋" w:hAnsi="仿宋" w:eastAsia="仿宋" w:cs="仿宋"/>
          <w:color w:val="auto"/>
          <w:sz w:val="21"/>
          <w:highlight w:val="none"/>
          <w:u w:val="single"/>
        </w:rPr>
      </w:pPr>
      <w:r>
        <w:rPr>
          <w:rFonts w:hint="eastAsia" w:ascii="仿宋" w:hAnsi="仿宋" w:eastAsia="仿宋" w:cs="仿宋"/>
          <w:color w:val="auto"/>
          <w:sz w:val="21"/>
          <w:highlight w:val="none"/>
        </w:rPr>
        <w:t>开户银行：</w:t>
      </w:r>
      <w:r>
        <w:rPr>
          <w:rFonts w:hint="eastAsia" w:ascii="仿宋" w:hAnsi="仿宋" w:eastAsia="仿宋" w:cs="仿宋"/>
          <w:color w:val="auto"/>
          <w:sz w:val="21"/>
          <w:highlight w:val="none"/>
          <w:u w:val="single"/>
        </w:rPr>
        <w:t xml:space="preserve">                                                    </w:t>
      </w:r>
    </w:p>
    <w:p w14:paraId="58FAE4FE">
      <w:pPr>
        <w:pStyle w:val="17"/>
        <w:ind w:firstLine="420"/>
        <w:rPr>
          <w:rFonts w:hint="eastAsia" w:ascii="仿宋" w:hAnsi="仿宋" w:eastAsia="仿宋" w:cs="仿宋"/>
          <w:color w:val="auto"/>
          <w:sz w:val="21"/>
          <w:highlight w:val="none"/>
          <w:u w:val="single"/>
        </w:rPr>
      </w:pPr>
      <w:r>
        <w:rPr>
          <w:rFonts w:hint="eastAsia" w:ascii="仿宋" w:hAnsi="仿宋" w:eastAsia="仿宋" w:cs="仿宋"/>
          <w:color w:val="auto"/>
          <w:sz w:val="21"/>
          <w:highlight w:val="none"/>
        </w:rPr>
        <w:t>银行账号：</w:t>
      </w:r>
      <w:r>
        <w:rPr>
          <w:rFonts w:hint="eastAsia" w:ascii="仿宋" w:hAnsi="仿宋" w:eastAsia="仿宋" w:cs="仿宋"/>
          <w:color w:val="auto"/>
          <w:sz w:val="21"/>
          <w:highlight w:val="none"/>
          <w:u w:val="single"/>
        </w:rPr>
        <w:t xml:space="preserve">                                                    </w:t>
      </w:r>
    </w:p>
    <w:p w14:paraId="5EF6F50C">
      <w:pPr>
        <w:pStyle w:val="15"/>
        <w:tabs>
          <w:tab w:val="left" w:pos="939"/>
        </w:tabs>
        <w:ind w:left="840" w:hanging="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特此承诺。</w:t>
      </w:r>
    </w:p>
    <w:p w14:paraId="20C7B413">
      <w:pPr>
        <w:contextualSpacing/>
        <w:jc w:val="left"/>
        <w:rPr>
          <w:rFonts w:hint="eastAsia" w:ascii="仿宋" w:hAnsi="仿宋" w:eastAsia="仿宋" w:cs="仿宋"/>
          <w:color w:val="auto"/>
          <w:szCs w:val="21"/>
          <w:highlight w:val="none"/>
        </w:rPr>
      </w:pPr>
    </w:p>
    <w:p w14:paraId="335A93EF">
      <w:pPr>
        <w:autoSpaceDE w:val="0"/>
        <w:autoSpaceDN w:val="0"/>
        <w:ind w:left="4305" w:leftChars="1950" w:hanging="210" w:hangingChars="1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供应商名称（电子签章）：</w:t>
      </w:r>
    </w:p>
    <w:p w14:paraId="0C673C43">
      <w:pPr>
        <w:autoSpaceDE w:val="0"/>
        <w:autoSpaceDN w:val="0"/>
        <w:ind w:firstLine="5959" w:firstLineChars="2838"/>
        <w:rPr>
          <w:rFonts w:hint="eastAsia" w:ascii="仿宋" w:hAnsi="仿宋" w:eastAsia="仿宋" w:cs="仿宋"/>
          <w:color w:val="auto"/>
          <w:szCs w:val="21"/>
          <w:highlight w:val="none"/>
        </w:rPr>
        <w:sectPr>
          <w:pgSz w:w="11905" w:h="16838"/>
          <w:pgMar w:top="1440" w:right="1080" w:bottom="1440" w:left="1080" w:header="720" w:footer="720" w:gutter="0"/>
          <w:pgNumType w:fmt="decimal"/>
          <w:cols w:space="720" w:num="1"/>
          <w:docGrid w:type="lines" w:linePitch="331" w:charSpace="0"/>
        </w:sectPr>
      </w:pPr>
      <w:r>
        <w:rPr>
          <w:rFonts w:hint="eastAsia" w:ascii="仿宋" w:hAnsi="仿宋" w:eastAsia="仿宋" w:cs="仿宋"/>
          <w:color w:val="auto"/>
          <w:kern w:val="0"/>
          <w:szCs w:val="21"/>
          <w:highlight w:val="none"/>
          <w:lang w:val="zh-CN"/>
        </w:rPr>
        <w:t xml:space="preserve">日期：  年  </w:t>
      </w:r>
      <w:r>
        <w:rPr>
          <w:rFonts w:hint="eastAsia"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lang w:val="zh-CN"/>
        </w:rPr>
        <w:t>月   日</w:t>
      </w:r>
    </w:p>
    <w:p w14:paraId="18057F9E">
      <w:pPr>
        <w:spacing w:line="520" w:lineRule="exact"/>
        <w:ind w:firstLine="720" w:firstLineChars="200"/>
        <w:rPr>
          <w:rFonts w:hint="eastAsia" w:ascii="仿宋" w:hAnsi="仿宋" w:eastAsia="仿宋" w:cs="仿宋"/>
          <w:b/>
          <w:bCs/>
          <w:color w:val="auto"/>
          <w:sz w:val="32"/>
          <w:szCs w:val="32"/>
          <w:highlight w:val="none"/>
        </w:rPr>
      </w:pPr>
      <w:r>
        <w:rPr>
          <w:rFonts w:hint="eastAsia" w:ascii="仿宋" w:hAnsi="仿宋" w:eastAsia="仿宋" w:cs="仿宋"/>
          <w:color w:val="auto"/>
          <w:sz w:val="36"/>
          <w:szCs w:val="36"/>
          <w:highlight w:val="none"/>
        </w:rPr>
        <w:t>二</w:t>
      </w:r>
      <w:r>
        <w:rPr>
          <w:rFonts w:hint="eastAsia" w:ascii="仿宋" w:hAnsi="仿宋" w:eastAsia="仿宋" w:cs="仿宋"/>
          <w:b/>
          <w:bCs/>
          <w:color w:val="auto"/>
          <w:sz w:val="36"/>
          <w:szCs w:val="36"/>
          <w:highlight w:val="none"/>
        </w:rPr>
        <w:t>、</w:t>
      </w:r>
      <w:r>
        <w:rPr>
          <w:rFonts w:hint="eastAsia" w:ascii="仿宋" w:hAnsi="仿宋" w:eastAsia="仿宋" w:cs="仿宋"/>
          <w:b/>
          <w:bCs/>
          <w:color w:val="auto"/>
          <w:sz w:val="32"/>
          <w:szCs w:val="32"/>
          <w:highlight w:val="none"/>
        </w:rPr>
        <w:t>响应报价表</w:t>
      </w:r>
    </w:p>
    <w:p w14:paraId="0F1DA51D">
      <w:pPr>
        <w:snapToGrid w:val="0"/>
        <w:spacing w:before="50" w:after="50" w:line="360" w:lineRule="auto"/>
        <w:jc w:val="center"/>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响应报价表</w:t>
      </w:r>
    </w:p>
    <w:p w14:paraId="6C6ABDC8">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分标：</w:t>
      </w:r>
      <w:r>
        <w:rPr>
          <w:rFonts w:hint="eastAsia" w:ascii="仿宋" w:hAnsi="仿宋" w:eastAsia="仿宋" w:cs="仿宋"/>
          <w:color w:val="auto"/>
          <w:sz w:val="24"/>
          <w:highlight w:val="none"/>
          <w:u w:val="single"/>
        </w:rPr>
        <w:t xml:space="preserve">           </w:t>
      </w:r>
    </w:p>
    <w:p w14:paraId="15FBD563">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tbl>
      <w:tblPr>
        <w:tblStyle w:val="28"/>
        <w:tblW w:w="10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79"/>
        <w:gridCol w:w="1278"/>
        <w:gridCol w:w="3072"/>
        <w:gridCol w:w="1438"/>
      </w:tblGrid>
      <w:tr w14:paraId="47E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30A2488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579" w:type="dxa"/>
            <w:tcBorders>
              <w:top w:val="single" w:color="auto" w:sz="4" w:space="0"/>
              <w:left w:val="single" w:color="auto" w:sz="4" w:space="0"/>
              <w:bottom w:val="single" w:color="auto" w:sz="4" w:space="0"/>
              <w:right w:val="single" w:color="auto" w:sz="4" w:space="0"/>
            </w:tcBorders>
            <w:noWrap w:val="0"/>
            <w:vAlign w:val="center"/>
          </w:tcPr>
          <w:p w14:paraId="748614F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工程名称</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4D2569A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数量及单位</w:t>
            </w:r>
          </w:p>
        </w:tc>
        <w:tc>
          <w:tcPr>
            <w:tcW w:w="3072" w:type="dxa"/>
            <w:tcBorders>
              <w:top w:val="single" w:color="auto" w:sz="4" w:space="0"/>
              <w:left w:val="single" w:color="auto" w:sz="4" w:space="0"/>
              <w:bottom w:val="single" w:color="auto" w:sz="4" w:space="0"/>
              <w:right w:val="single" w:color="auto" w:sz="4" w:space="0"/>
            </w:tcBorders>
            <w:noWrap w:val="0"/>
            <w:vAlign w:val="center"/>
          </w:tcPr>
          <w:p w14:paraId="02D582A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总价（元）</w:t>
            </w:r>
          </w:p>
        </w:tc>
        <w:tc>
          <w:tcPr>
            <w:tcW w:w="1438" w:type="dxa"/>
            <w:tcBorders>
              <w:top w:val="single" w:color="auto" w:sz="4" w:space="0"/>
              <w:left w:val="single" w:color="auto" w:sz="4" w:space="0"/>
              <w:bottom w:val="single" w:color="auto" w:sz="4" w:space="0"/>
              <w:right w:val="single" w:color="auto" w:sz="4" w:space="0"/>
            </w:tcBorders>
            <w:noWrap w:val="0"/>
            <w:vAlign w:val="center"/>
          </w:tcPr>
          <w:p w14:paraId="252CEF3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1C80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35E4863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3579" w:type="dxa"/>
            <w:tcBorders>
              <w:top w:val="single" w:color="auto" w:sz="4" w:space="0"/>
              <w:left w:val="single" w:color="auto" w:sz="4" w:space="0"/>
              <w:bottom w:val="single" w:color="auto" w:sz="4" w:space="0"/>
              <w:right w:val="single" w:color="auto" w:sz="4" w:space="0"/>
            </w:tcBorders>
            <w:noWrap w:val="0"/>
            <w:vAlign w:val="center"/>
          </w:tcPr>
          <w:p w14:paraId="6BF122A7">
            <w:pPr>
              <w:jc w:val="center"/>
              <w:rPr>
                <w:rFonts w:hint="eastAsia" w:ascii="仿宋" w:hAnsi="仿宋" w:eastAsia="仿宋" w:cs="仿宋"/>
                <w:color w:val="auto"/>
                <w:sz w:val="24"/>
                <w:highlight w:val="none"/>
              </w:rPr>
            </w:pPr>
          </w:p>
        </w:tc>
        <w:tc>
          <w:tcPr>
            <w:tcW w:w="1278" w:type="dxa"/>
            <w:tcBorders>
              <w:top w:val="single" w:color="auto" w:sz="4" w:space="0"/>
              <w:left w:val="single" w:color="auto" w:sz="4" w:space="0"/>
              <w:bottom w:val="single" w:color="auto" w:sz="4" w:space="0"/>
              <w:right w:val="single" w:color="auto" w:sz="4" w:space="0"/>
            </w:tcBorders>
            <w:noWrap w:val="0"/>
            <w:vAlign w:val="center"/>
          </w:tcPr>
          <w:p w14:paraId="59BE7C63">
            <w:pPr>
              <w:jc w:val="center"/>
              <w:rPr>
                <w:rFonts w:hint="eastAsia" w:ascii="仿宋" w:hAnsi="仿宋" w:eastAsia="仿宋" w:cs="仿宋"/>
                <w:color w:val="auto"/>
                <w:sz w:val="24"/>
                <w:highlight w:val="none"/>
              </w:rPr>
            </w:pPr>
          </w:p>
        </w:tc>
        <w:tc>
          <w:tcPr>
            <w:tcW w:w="3072" w:type="dxa"/>
            <w:tcBorders>
              <w:top w:val="single" w:color="auto" w:sz="4" w:space="0"/>
              <w:left w:val="single" w:color="auto" w:sz="4" w:space="0"/>
              <w:bottom w:val="single" w:color="auto" w:sz="4" w:space="0"/>
              <w:right w:val="single" w:color="auto" w:sz="4" w:space="0"/>
            </w:tcBorders>
            <w:noWrap w:val="0"/>
            <w:vAlign w:val="center"/>
          </w:tcPr>
          <w:p w14:paraId="734D4D96">
            <w:pPr>
              <w:jc w:val="center"/>
              <w:rPr>
                <w:rFonts w:hint="eastAsia" w:ascii="仿宋" w:hAnsi="仿宋" w:eastAsia="仿宋" w:cs="仿宋"/>
                <w:color w:val="auto"/>
                <w:sz w:val="24"/>
                <w:highlight w:val="none"/>
              </w:rPr>
            </w:pPr>
          </w:p>
        </w:tc>
        <w:tc>
          <w:tcPr>
            <w:tcW w:w="1438" w:type="dxa"/>
            <w:tcBorders>
              <w:top w:val="single" w:color="auto" w:sz="4" w:space="0"/>
              <w:left w:val="single" w:color="auto" w:sz="4" w:space="0"/>
              <w:bottom w:val="single" w:color="auto" w:sz="4" w:space="0"/>
              <w:right w:val="single" w:color="auto" w:sz="4" w:space="0"/>
            </w:tcBorders>
            <w:noWrap w:val="0"/>
            <w:vAlign w:val="center"/>
          </w:tcPr>
          <w:p w14:paraId="393DC356">
            <w:pPr>
              <w:jc w:val="center"/>
              <w:rPr>
                <w:rFonts w:hint="eastAsia" w:ascii="仿宋" w:hAnsi="仿宋" w:eastAsia="仿宋" w:cs="仿宋"/>
                <w:color w:val="auto"/>
                <w:sz w:val="24"/>
                <w:highlight w:val="none"/>
              </w:rPr>
            </w:pPr>
          </w:p>
        </w:tc>
      </w:tr>
      <w:tr w14:paraId="5FD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10218" w:type="dxa"/>
            <w:gridSpan w:val="5"/>
            <w:tcBorders>
              <w:top w:val="single" w:color="auto" w:sz="4" w:space="0"/>
              <w:left w:val="single" w:color="auto" w:sz="4" w:space="0"/>
              <w:bottom w:val="single" w:color="auto" w:sz="4" w:space="0"/>
              <w:right w:val="single" w:color="auto" w:sz="4" w:space="0"/>
            </w:tcBorders>
            <w:noWrap w:val="0"/>
            <w:vAlign w:val="center"/>
          </w:tcPr>
          <w:p w14:paraId="320177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报价合计（包含税费等所有费用）：（大写）人民币             （¥        元）</w:t>
            </w:r>
          </w:p>
        </w:tc>
      </w:tr>
      <w:tr w14:paraId="1C1C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trPr>
        <w:tc>
          <w:tcPr>
            <w:tcW w:w="10218" w:type="dxa"/>
            <w:gridSpan w:val="5"/>
            <w:tcBorders>
              <w:top w:val="single" w:color="auto" w:sz="4" w:space="0"/>
              <w:left w:val="single" w:color="auto" w:sz="4" w:space="0"/>
              <w:bottom w:val="single" w:color="auto" w:sz="4" w:space="0"/>
              <w:right w:val="single" w:color="auto" w:sz="4" w:space="0"/>
            </w:tcBorders>
            <w:noWrap w:val="0"/>
            <w:vAlign w:val="center"/>
          </w:tcPr>
          <w:p w14:paraId="48D87FF2">
            <w:pP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合同履行期限</w:t>
            </w:r>
            <w:r>
              <w:rPr>
                <w:rFonts w:hint="eastAsia" w:ascii="仿宋" w:hAnsi="仿宋" w:eastAsia="仿宋" w:cs="仿宋"/>
                <w:color w:val="auto"/>
                <w:sz w:val="24"/>
                <w:highlight w:val="none"/>
                <w:lang w:eastAsia="zh-CN"/>
              </w:rPr>
              <w:t>（施工工期）</w:t>
            </w:r>
            <w:r>
              <w:rPr>
                <w:rFonts w:hint="eastAsia" w:ascii="仿宋" w:hAnsi="仿宋" w:eastAsia="仿宋" w:cs="仿宋"/>
                <w:color w:val="auto"/>
                <w:sz w:val="24"/>
                <w:highlight w:val="none"/>
              </w:rPr>
              <w:t>：</w:t>
            </w:r>
          </w:p>
        </w:tc>
      </w:tr>
      <w:tr w14:paraId="68F1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10218" w:type="dxa"/>
            <w:gridSpan w:val="5"/>
            <w:tcBorders>
              <w:top w:val="single" w:color="auto" w:sz="4" w:space="0"/>
              <w:left w:val="single" w:color="auto" w:sz="4" w:space="0"/>
              <w:bottom w:val="single" w:color="auto" w:sz="4" w:space="0"/>
              <w:right w:val="single" w:color="auto" w:sz="4" w:space="0"/>
            </w:tcBorders>
            <w:noWrap w:val="0"/>
            <w:vAlign w:val="center"/>
          </w:tcPr>
          <w:p w14:paraId="4670F9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验收标准、规范：</w:t>
            </w:r>
          </w:p>
        </w:tc>
      </w:tr>
      <w:tr w14:paraId="2B8C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0218" w:type="dxa"/>
            <w:gridSpan w:val="5"/>
            <w:tcBorders>
              <w:top w:val="single" w:color="auto" w:sz="4" w:space="0"/>
              <w:left w:val="single" w:color="auto" w:sz="4" w:space="0"/>
              <w:bottom w:val="single" w:color="auto" w:sz="4" w:space="0"/>
              <w:right w:val="single" w:color="auto" w:sz="4" w:space="0"/>
            </w:tcBorders>
            <w:noWrap w:val="0"/>
            <w:vAlign w:val="center"/>
          </w:tcPr>
          <w:p w14:paraId="43579AE2">
            <w:pPr>
              <w:rPr>
                <w:rFonts w:hint="eastAsia" w:ascii="仿宋" w:hAnsi="仿宋" w:eastAsia="仿宋" w:cs="仿宋"/>
                <w:color w:val="auto"/>
                <w:sz w:val="24"/>
                <w:highlight w:val="none"/>
              </w:rPr>
            </w:pPr>
            <w:r>
              <w:rPr>
                <w:rFonts w:hint="eastAsia" w:ascii="仿宋" w:hAnsi="仿宋" w:eastAsia="仿宋" w:cs="仿宋"/>
                <w:color w:val="auto"/>
                <w:sz w:val="24"/>
                <w:highlight w:val="none"/>
              </w:rPr>
              <w:t>工程质量保修期：</w:t>
            </w:r>
          </w:p>
        </w:tc>
      </w:tr>
    </w:tbl>
    <w:p w14:paraId="238CE351">
      <w:pPr>
        <w:snapToGrid w:val="0"/>
        <w:spacing w:before="50" w:after="50" w:line="24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注： </w:t>
      </w:r>
    </w:p>
    <w:p w14:paraId="6590BC59">
      <w:pPr>
        <w:snapToGrid w:val="0"/>
        <w:spacing w:before="50" w:after="50" w:line="24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供应商需按本表格式填写，不得自行更改，也不得留空, 如有多分标，按分标分别提供响应报价表</w:t>
      </w:r>
      <w:r>
        <w:rPr>
          <w:rFonts w:hint="eastAsia" w:ascii="仿宋" w:hAnsi="仿宋" w:eastAsia="仿宋" w:cs="仿宋"/>
          <w:b/>
          <w:color w:val="auto"/>
          <w:kern w:val="0"/>
          <w:sz w:val="24"/>
          <w:highlight w:val="none"/>
          <w:lang w:val="zh-CN"/>
        </w:rPr>
        <w:t>。</w:t>
      </w:r>
    </w:p>
    <w:p w14:paraId="7798ECC9">
      <w:pPr>
        <w:snapToGrid w:val="0"/>
        <w:spacing w:before="50" w:after="50" w:line="240" w:lineRule="auto"/>
        <w:ind w:firstLine="480" w:firstLineChars="200"/>
        <w:jc w:val="left"/>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2</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如为联合体响应的，“供应商名称”处必须列明联合体各方名称，并标注联合体牵头人名称，且盖章处须加盖联合体各方公章，</w:t>
      </w:r>
      <w:r>
        <w:rPr>
          <w:rFonts w:hint="eastAsia" w:ascii="仿宋" w:hAnsi="仿宋" w:eastAsia="仿宋" w:cs="仿宋"/>
          <w:b/>
          <w:color w:val="auto"/>
          <w:kern w:val="0"/>
          <w:sz w:val="24"/>
          <w:highlight w:val="none"/>
          <w:lang w:val="zh-CN"/>
        </w:rPr>
        <w:t>否则其响应作无效响应处理。</w:t>
      </w:r>
    </w:p>
    <w:p w14:paraId="4DD6A297">
      <w:pPr>
        <w:snapToGrid w:val="0"/>
        <w:spacing w:line="24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特别提示：采购机构将对项目名称和项目编号，成交供应商名称、地址和成交金额，主要成交标的的名称、施工范围、施工工期、项目经理、执业证书信息等予以公示。</w:t>
      </w:r>
    </w:p>
    <w:p w14:paraId="4E3C3ACD">
      <w:pPr>
        <w:snapToGrid w:val="0"/>
        <w:spacing w:line="24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szCs w:val="22"/>
          <w:highlight w:val="none"/>
        </w:rPr>
        <w:t>4.</w:t>
      </w:r>
      <w:r>
        <w:rPr>
          <w:rFonts w:hint="eastAsia" w:ascii="仿宋" w:hAnsi="仿宋" w:eastAsia="仿宋" w:cs="仿宋"/>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4F5FDDCD">
      <w:pPr>
        <w:autoSpaceDE w:val="0"/>
        <w:autoSpaceDN w:val="0"/>
        <w:spacing w:line="240" w:lineRule="auto"/>
        <w:ind w:left="4335" w:leftChars="1950" w:hanging="240" w:hangingChars="100"/>
        <w:rPr>
          <w:rFonts w:hint="eastAsia" w:ascii="仿宋" w:hAnsi="仿宋" w:eastAsia="仿宋" w:cs="仿宋"/>
          <w:color w:val="auto"/>
          <w:kern w:val="0"/>
          <w:sz w:val="24"/>
          <w:highlight w:val="none"/>
        </w:rPr>
      </w:pPr>
    </w:p>
    <w:p w14:paraId="069C32FF">
      <w:pPr>
        <w:autoSpaceDE w:val="0"/>
        <w:autoSpaceDN w:val="0"/>
        <w:spacing w:line="24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0840F4E2">
      <w:pPr>
        <w:pStyle w:val="17"/>
        <w:spacing w:line="240" w:lineRule="auto"/>
        <w:ind w:firstLine="6300" w:firstLineChars="2625"/>
        <w:rPr>
          <w:rFonts w:hint="eastAsia" w:ascii="仿宋" w:hAnsi="仿宋" w:eastAsia="仿宋" w:cs="仿宋"/>
          <w:color w:val="auto"/>
          <w:sz w:val="24"/>
          <w:highlight w:val="none"/>
          <w:lang w:val="zh-CN"/>
        </w:rPr>
        <w:sectPr>
          <w:pgSz w:w="11905" w:h="16838"/>
          <w:pgMar w:top="1440" w:right="1080" w:bottom="1440" w:left="1080" w:header="720" w:footer="720" w:gutter="0"/>
          <w:pgNumType w:fmt="decimal"/>
          <w:cols w:space="720" w:num="1"/>
          <w:docGrid w:type="lines" w:linePitch="331" w:charSpace="0"/>
        </w:sectPr>
      </w:pPr>
      <w:r>
        <w:rPr>
          <w:rFonts w:hint="eastAsia" w:ascii="仿宋" w:hAnsi="仿宋" w:eastAsia="仿宋" w:cs="仿宋"/>
          <w:color w:val="auto"/>
          <w:sz w:val="24"/>
          <w:highlight w:val="none"/>
          <w:lang w:val="zh-CN"/>
        </w:rPr>
        <w:t xml:space="preserve">日期：  年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月   日</w:t>
      </w:r>
    </w:p>
    <w:p w14:paraId="5D1952AC">
      <w:pPr>
        <w:spacing w:line="520" w:lineRule="exact"/>
        <w:ind w:firstLine="643" w:firstLineChars="2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三、已标价工程量清单</w:t>
      </w:r>
    </w:p>
    <w:p w14:paraId="5FDDF210">
      <w:pPr>
        <w:rPr>
          <w:rFonts w:hint="eastAsia" w:ascii="仿宋" w:hAnsi="仿宋" w:eastAsia="仿宋" w:cs="仿宋"/>
          <w:color w:val="auto"/>
          <w:highlight w:val="none"/>
        </w:rPr>
      </w:pPr>
    </w:p>
    <w:p w14:paraId="068BD42B">
      <w:pPr>
        <w:jc w:val="center"/>
        <w:rPr>
          <w:rFonts w:hint="eastAsia" w:ascii="仿宋" w:hAnsi="仿宋" w:eastAsia="仿宋" w:cs="仿宋"/>
          <w:color w:val="auto"/>
          <w:highlight w:val="none"/>
        </w:rPr>
      </w:pPr>
      <w:r>
        <w:rPr>
          <w:rFonts w:hint="eastAsia" w:ascii="仿宋" w:hAnsi="仿宋" w:eastAsia="仿宋" w:cs="仿宋"/>
          <w:b/>
          <w:color w:val="auto"/>
          <w:sz w:val="30"/>
          <w:szCs w:val="30"/>
          <w:highlight w:val="none"/>
        </w:rPr>
        <w:t>（根据发布的工程量清单自行编制）</w:t>
      </w:r>
    </w:p>
    <w:p w14:paraId="08126280">
      <w:pPr>
        <w:rPr>
          <w:rFonts w:hint="eastAsia" w:ascii="仿宋" w:hAnsi="仿宋" w:eastAsia="仿宋" w:cs="仿宋"/>
          <w:color w:val="auto"/>
          <w:highlight w:val="none"/>
        </w:rPr>
      </w:pPr>
    </w:p>
    <w:p w14:paraId="70644B6A">
      <w:pPr>
        <w:rPr>
          <w:rFonts w:hint="eastAsia" w:ascii="仿宋" w:hAnsi="仿宋" w:eastAsia="仿宋" w:cs="仿宋"/>
          <w:color w:val="auto"/>
          <w:highlight w:val="none"/>
        </w:rPr>
      </w:pPr>
    </w:p>
    <w:p w14:paraId="2115A38C">
      <w:pPr>
        <w:tabs>
          <w:tab w:val="left" w:pos="1670"/>
        </w:tabs>
        <w:jc w:val="left"/>
        <w:rPr>
          <w:rFonts w:hint="eastAsia" w:ascii="仿宋" w:hAnsi="仿宋" w:eastAsia="仿宋" w:cs="仿宋"/>
          <w:color w:val="auto"/>
          <w:sz w:val="24"/>
          <w:highlight w:val="none"/>
          <w:lang w:val="zh-CN"/>
        </w:rPr>
        <w:sectPr>
          <w:pgSz w:w="11905" w:h="16838"/>
          <w:pgMar w:top="1440" w:right="1080" w:bottom="1440" w:left="1080" w:header="720" w:footer="720" w:gutter="0"/>
          <w:pgNumType w:fmt="decimal"/>
          <w:cols w:space="720" w:num="1"/>
          <w:docGrid w:type="lines" w:linePitch="331" w:charSpace="0"/>
        </w:sectPr>
      </w:pPr>
      <w:r>
        <w:rPr>
          <w:rFonts w:hint="eastAsia" w:ascii="仿宋" w:hAnsi="仿宋" w:eastAsia="仿宋" w:cs="仿宋"/>
          <w:color w:val="auto"/>
          <w:highlight w:val="none"/>
        </w:rPr>
        <w:tab/>
      </w:r>
    </w:p>
    <w:p w14:paraId="1D968999">
      <w:pPr>
        <w:pStyle w:val="3"/>
        <w:jc w:val="center"/>
        <w:rPr>
          <w:rFonts w:hint="eastAsia" w:ascii="仿宋" w:hAnsi="仿宋" w:eastAsia="仿宋" w:cs="仿宋"/>
          <w:b w:val="0"/>
          <w:bCs w:val="0"/>
          <w:color w:val="auto"/>
          <w:highlight w:val="none"/>
        </w:rPr>
      </w:pPr>
      <w:bookmarkStart w:id="125" w:name="_Toc26480"/>
      <w:bookmarkStart w:id="126" w:name="_Toc11270"/>
      <w:bookmarkStart w:id="127" w:name="_Toc80205942"/>
      <w:bookmarkStart w:id="128" w:name="_Toc5448"/>
      <w:r>
        <w:rPr>
          <w:rFonts w:hint="eastAsia" w:ascii="仿宋" w:hAnsi="仿宋" w:eastAsia="仿宋" w:cs="仿宋"/>
          <w:b w:val="0"/>
          <w:bCs w:val="0"/>
          <w:color w:val="auto"/>
          <w:highlight w:val="none"/>
        </w:rPr>
        <w:t>第五节 其他文书、文件格式</w:t>
      </w:r>
      <w:bookmarkEnd w:id="125"/>
      <w:bookmarkEnd w:id="126"/>
      <w:bookmarkEnd w:id="127"/>
      <w:bookmarkEnd w:id="128"/>
    </w:p>
    <w:p w14:paraId="68C6AD3D">
      <w:pPr>
        <w:spacing w:after="165" w:afterLines="50" w:line="360" w:lineRule="auto"/>
        <w:jc w:val="center"/>
        <w:rPr>
          <w:rFonts w:hint="eastAsia" w:ascii="仿宋" w:hAnsi="仿宋" w:eastAsia="仿宋" w:cs="仿宋"/>
          <w:b/>
          <w:bCs/>
          <w:color w:val="auto"/>
          <w:sz w:val="32"/>
          <w:szCs w:val="32"/>
          <w:highlight w:val="none"/>
          <w:lang w:val="en"/>
        </w:rPr>
      </w:pPr>
      <w:r>
        <w:rPr>
          <w:rFonts w:hint="eastAsia" w:ascii="仿宋" w:hAnsi="仿宋" w:eastAsia="仿宋" w:cs="仿宋"/>
          <w:b/>
          <w:bCs/>
          <w:color w:val="auto"/>
          <w:sz w:val="32"/>
          <w:szCs w:val="32"/>
          <w:highlight w:val="none"/>
          <w:lang w:val="en"/>
        </w:rPr>
        <w:t>知识产权合规性声明</w:t>
      </w:r>
    </w:p>
    <w:p w14:paraId="77F4B92C">
      <w:pPr>
        <w:spacing w:line="360" w:lineRule="auto"/>
        <w:ind w:firstLine="560" w:firstLineChars="200"/>
        <w:rPr>
          <w:rFonts w:hint="eastAsia" w:ascii="仿宋" w:hAnsi="仿宋" w:eastAsia="仿宋" w:cs="仿宋"/>
          <w:color w:val="auto"/>
          <w:sz w:val="28"/>
          <w:szCs w:val="28"/>
          <w:highlight w:val="none"/>
          <w:lang w:val="en"/>
        </w:rPr>
      </w:pPr>
      <w:r>
        <w:rPr>
          <w:rFonts w:hint="eastAsia" w:ascii="仿宋" w:hAnsi="仿宋" w:eastAsia="仿宋" w:cs="仿宋"/>
          <w:color w:val="auto"/>
          <w:sz w:val="28"/>
          <w:szCs w:val="28"/>
          <w:highlight w:val="none"/>
        </w:rPr>
        <w:t>本</w:t>
      </w:r>
      <w:r>
        <w:rPr>
          <w:rFonts w:hint="eastAsia" w:ascii="仿宋" w:hAnsi="仿宋" w:eastAsia="仿宋" w:cs="仿宋"/>
          <w:color w:val="auto"/>
          <w:sz w:val="28"/>
          <w:szCs w:val="28"/>
          <w:highlight w:val="none"/>
          <w:lang w:val="en"/>
        </w:rPr>
        <w:t>企业（单位）自愿参与政府投资政府采购的</w:t>
      </w:r>
      <w:r>
        <w:rPr>
          <w:rFonts w:hint="eastAsia" w:ascii="仿宋" w:hAnsi="仿宋" w:eastAsia="仿宋" w:cs="仿宋"/>
          <w:color w:val="auto"/>
          <w:sz w:val="28"/>
          <w:szCs w:val="28"/>
          <w:highlight w:val="none"/>
          <w:u w:val="single"/>
        </w:rPr>
        <w:t xml:space="preserve">     （项目名称）</w:t>
      </w:r>
      <w:r>
        <w:rPr>
          <w:rFonts w:hint="eastAsia" w:ascii="仿宋" w:hAnsi="仿宋" w:eastAsia="仿宋" w:cs="仿宋"/>
          <w:color w:val="auto"/>
          <w:sz w:val="28"/>
          <w:szCs w:val="28"/>
          <w:highlight w:val="none"/>
          <w:lang w:val="en"/>
        </w:rPr>
        <w:t>项目，</w:t>
      </w:r>
      <w:r>
        <w:rPr>
          <w:rFonts w:hint="eastAsia" w:ascii="仿宋" w:hAnsi="仿宋" w:eastAsia="仿宋" w:cs="仿宋"/>
          <w:b/>
          <w:bCs/>
          <w:color w:val="auto"/>
          <w:sz w:val="28"/>
          <w:szCs w:val="28"/>
          <w:highlight w:val="none"/>
          <w:lang w:val="en"/>
        </w:rPr>
        <w:t>在此郑重承诺：</w:t>
      </w:r>
      <w:r>
        <w:rPr>
          <w:rFonts w:hint="eastAsia" w:ascii="仿宋" w:hAnsi="仿宋" w:eastAsia="仿宋" w:cs="仿宋"/>
          <w:color w:val="auto"/>
          <w:sz w:val="28"/>
          <w:szCs w:val="28"/>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BE0BDEA">
      <w:pPr>
        <w:snapToGrid w:val="0"/>
        <w:spacing w:line="360" w:lineRule="auto"/>
        <w:ind w:left="5965" w:leftChars="1736" w:hanging="2319" w:hangingChars="825"/>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w:t>
      </w:r>
    </w:p>
    <w:p w14:paraId="05724C42">
      <w:pPr>
        <w:snapToGrid w:val="0"/>
        <w:spacing w:line="360" w:lineRule="auto"/>
        <w:ind w:left="5965" w:leftChars="1736" w:hanging="2319" w:hangingChars="825"/>
        <w:rPr>
          <w:rFonts w:hint="eastAsia" w:ascii="仿宋" w:hAnsi="仿宋" w:eastAsia="仿宋" w:cs="仿宋"/>
          <w:b/>
          <w:color w:val="auto"/>
          <w:sz w:val="28"/>
          <w:szCs w:val="28"/>
          <w:highlight w:val="none"/>
        </w:rPr>
      </w:pPr>
    </w:p>
    <w:p w14:paraId="4FBF8F4F">
      <w:pPr>
        <w:snapToGrid w:val="0"/>
        <w:spacing w:line="360" w:lineRule="auto"/>
        <w:ind w:left="5965" w:leftChars="1736" w:hanging="2319" w:hangingChars="825"/>
        <w:rPr>
          <w:rFonts w:hint="eastAsia" w:ascii="仿宋" w:hAnsi="仿宋" w:eastAsia="仿宋" w:cs="仿宋"/>
          <w:b/>
          <w:color w:val="auto"/>
          <w:sz w:val="28"/>
          <w:szCs w:val="28"/>
          <w:highlight w:val="none"/>
        </w:rPr>
      </w:pPr>
    </w:p>
    <w:p w14:paraId="602DD77A">
      <w:pPr>
        <w:snapToGrid w:val="0"/>
        <w:spacing w:line="360" w:lineRule="auto"/>
        <w:ind w:left="5965" w:leftChars="1736" w:hanging="2319" w:hangingChars="825"/>
        <w:rPr>
          <w:rFonts w:hint="eastAsia" w:ascii="仿宋" w:hAnsi="仿宋" w:eastAsia="仿宋" w:cs="仿宋"/>
          <w:b/>
          <w:color w:val="auto"/>
          <w:sz w:val="28"/>
          <w:szCs w:val="28"/>
          <w:highlight w:val="none"/>
        </w:rPr>
      </w:pPr>
    </w:p>
    <w:p w14:paraId="312DE782">
      <w:pPr>
        <w:autoSpaceDE w:val="0"/>
        <w:autoSpaceDN w:val="0"/>
        <w:spacing w:line="360" w:lineRule="auto"/>
        <w:ind w:left="4370" w:leftChars="1304" w:hanging="1632" w:hangingChars="583"/>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供应商名称（电子签章）：</w:t>
      </w:r>
    </w:p>
    <w:p w14:paraId="21E23334">
      <w:pPr>
        <w:pStyle w:val="17"/>
        <w:spacing w:line="500" w:lineRule="exact"/>
        <w:ind w:firstLine="5258" w:firstLineChars="1878"/>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zh-CN"/>
        </w:rPr>
        <w:t>日期</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zh-CN"/>
        </w:rPr>
        <w:t>年</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zh-CN"/>
        </w:rPr>
        <w:t>月</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zh-CN"/>
        </w:rPr>
        <w:t>日</w:t>
      </w:r>
    </w:p>
    <w:p w14:paraId="43D1C237">
      <w:pPr>
        <w:spacing w:line="520" w:lineRule="exact"/>
        <w:rPr>
          <w:rFonts w:hint="eastAsia" w:ascii="仿宋" w:hAnsi="仿宋" w:eastAsia="仿宋" w:cs="仿宋"/>
          <w:color w:val="auto"/>
          <w:sz w:val="24"/>
          <w:highlight w:val="none"/>
        </w:rPr>
        <w:sectPr>
          <w:pgSz w:w="11905" w:h="16838"/>
          <w:pgMar w:top="1440" w:right="1080" w:bottom="1440" w:left="1080" w:header="720" w:footer="720" w:gutter="0"/>
          <w:pgNumType w:fmt="decimal"/>
          <w:cols w:space="720" w:num="1"/>
          <w:docGrid w:type="lines" w:linePitch="331" w:charSpace="0"/>
        </w:sectPr>
      </w:pPr>
    </w:p>
    <w:p w14:paraId="5116F00A">
      <w:pPr>
        <w:spacing w:line="360" w:lineRule="auto"/>
        <w:ind w:right="-89"/>
        <w:jc w:val="center"/>
        <w:outlineLvl w:val="0"/>
        <w:rPr>
          <w:rFonts w:hint="eastAsia" w:ascii="仿宋" w:hAnsi="仿宋" w:eastAsia="仿宋" w:cs="仿宋"/>
          <w:b/>
          <w:bCs/>
          <w:color w:val="auto"/>
          <w:kern w:val="44"/>
          <w:sz w:val="44"/>
          <w:szCs w:val="44"/>
          <w:highlight w:val="none"/>
        </w:rPr>
      </w:pPr>
      <w:bookmarkStart w:id="129" w:name="_Toc263"/>
      <w:bookmarkStart w:id="130" w:name="_Toc13614"/>
      <w:bookmarkStart w:id="131" w:name="_Toc617"/>
      <w:r>
        <w:rPr>
          <w:rFonts w:hint="eastAsia" w:ascii="仿宋" w:hAnsi="仿宋" w:eastAsia="仿宋" w:cs="仿宋"/>
          <w:b/>
          <w:bCs/>
          <w:color w:val="auto"/>
          <w:kern w:val="44"/>
          <w:sz w:val="44"/>
          <w:szCs w:val="44"/>
          <w:highlight w:val="none"/>
        </w:rPr>
        <w:t>第六章 合同文本</w:t>
      </w:r>
      <w:bookmarkEnd w:id="129"/>
      <w:bookmarkEnd w:id="130"/>
      <w:bookmarkEnd w:id="131"/>
    </w:p>
    <w:p w14:paraId="3A8012C3">
      <w:pPr>
        <w:jc w:val="center"/>
        <w:rPr>
          <w:rFonts w:hint="eastAsia" w:ascii="仿宋" w:hAnsi="仿宋" w:eastAsia="仿宋" w:cs="仿宋"/>
          <w:b w:val="0"/>
          <w:bCs w:val="0"/>
          <w:color w:val="auto"/>
          <w:spacing w:val="60"/>
          <w:w w:val="90"/>
          <w:sz w:val="32"/>
          <w:szCs w:val="11"/>
          <w:highlight w:val="none"/>
          <w:lang w:eastAsia="zh-CN"/>
        </w:rPr>
      </w:pPr>
    </w:p>
    <w:p w14:paraId="1D2179D2">
      <w:pPr>
        <w:tabs>
          <w:tab w:val="left" w:pos="734"/>
        </w:tabs>
        <w:spacing w:line="420" w:lineRule="exact"/>
        <w:ind w:firstLine="440" w:firstLineChars="200"/>
        <w:rPr>
          <w:rFonts w:hint="eastAsia" w:ascii="仿宋" w:hAnsi="仿宋" w:eastAsia="仿宋" w:cs="仿宋"/>
          <w:color w:val="auto"/>
          <w:sz w:val="22"/>
          <w:szCs w:val="22"/>
          <w:highlight w:val="none"/>
          <w:lang w:val="zh-CN" w:bidi="zh-CN"/>
        </w:rPr>
      </w:pPr>
      <w:bookmarkStart w:id="132" w:name="_Toc406939642"/>
    </w:p>
    <w:p w14:paraId="55EAD035">
      <w:pPr>
        <w:jc w:val="center"/>
        <w:rPr>
          <w:rFonts w:hint="eastAsia" w:ascii="方正仿宋_GB2312" w:hAnsi="方正仿宋_GB2312" w:eastAsia="方正仿宋_GB2312" w:cs="方正仿宋_GB2312"/>
          <w:b w:val="0"/>
          <w:bCs w:val="0"/>
          <w:color w:val="auto"/>
          <w:spacing w:val="60"/>
          <w:w w:val="90"/>
          <w:sz w:val="56"/>
          <w:szCs w:val="21"/>
          <w:highlight w:val="none"/>
          <w:lang w:eastAsia="zh-CN"/>
        </w:rPr>
      </w:pPr>
      <w:r>
        <w:rPr>
          <w:rFonts w:hint="eastAsia" w:ascii="方正仿宋_GB2312" w:hAnsi="方正仿宋_GB2312" w:eastAsia="方正仿宋_GB2312" w:cs="方正仿宋_GB2312"/>
          <w:b w:val="0"/>
          <w:bCs w:val="0"/>
          <w:color w:val="auto"/>
          <w:spacing w:val="60"/>
          <w:w w:val="90"/>
          <w:sz w:val="56"/>
          <w:szCs w:val="21"/>
          <w:highlight w:val="none"/>
          <w:lang w:eastAsia="zh-CN"/>
        </w:rPr>
        <w:t>周鹿镇双联村龙勉、龙赖屯至龙卜屯硬化路及安防工程</w:t>
      </w:r>
    </w:p>
    <w:p w14:paraId="33B318F8">
      <w:pPr>
        <w:jc w:val="center"/>
        <w:rPr>
          <w:rFonts w:hint="eastAsia" w:ascii="方正仿宋_GB2312" w:hAnsi="方正仿宋_GB2312" w:eastAsia="方正仿宋_GB2312" w:cs="方正仿宋_GB2312"/>
          <w:b w:val="0"/>
          <w:bCs w:val="0"/>
          <w:color w:val="auto"/>
          <w:spacing w:val="60"/>
          <w:w w:val="90"/>
          <w:sz w:val="84"/>
          <w:highlight w:val="none"/>
          <w:lang w:eastAsia="zh-CN"/>
        </w:rPr>
      </w:pPr>
    </w:p>
    <w:p w14:paraId="6A2CCC44">
      <w:pPr>
        <w:jc w:val="center"/>
        <w:rPr>
          <w:rFonts w:hint="eastAsia" w:ascii="方正仿宋_GB2312" w:hAnsi="方正仿宋_GB2312" w:eastAsia="方正仿宋_GB2312" w:cs="方正仿宋_GB2312"/>
          <w:b w:val="0"/>
          <w:bCs w:val="0"/>
          <w:color w:val="auto"/>
          <w:spacing w:val="60"/>
          <w:w w:val="90"/>
          <w:sz w:val="84"/>
          <w:highlight w:val="none"/>
          <w:lang w:eastAsia="zh-CN"/>
        </w:rPr>
      </w:pPr>
    </w:p>
    <w:p w14:paraId="728B6636">
      <w:pPr>
        <w:jc w:val="center"/>
        <w:rPr>
          <w:rFonts w:hint="eastAsia" w:ascii="方正仿宋_GB2312" w:hAnsi="方正仿宋_GB2312" w:eastAsia="方正仿宋_GB2312" w:cs="方正仿宋_GB2312"/>
          <w:b w:val="0"/>
          <w:bCs w:val="0"/>
          <w:color w:val="auto"/>
          <w:spacing w:val="60"/>
          <w:w w:val="90"/>
          <w:sz w:val="84"/>
          <w:highlight w:val="none"/>
        </w:rPr>
      </w:pPr>
      <w:r>
        <w:rPr>
          <w:rFonts w:hint="eastAsia" w:ascii="方正仿宋_GB2312" w:hAnsi="方正仿宋_GB2312" w:eastAsia="方正仿宋_GB2312" w:cs="方正仿宋_GB2312"/>
          <w:b w:val="0"/>
          <w:bCs w:val="0"/>
          <w:color w:val="auto"/>
          <w:spacing w:val="60"/>
          <w:w w:val="90"/>
          <w:sz w:val="84"/>
          <w:highlight w:val="none"/>
          <w:lang w:eastAsia="zh-CN"/>
        </w:rPr>
        <w:t>施工</w:t>
      </w:r>
      <w:r>
        <w:rPr>
          <w:rFonts w:hint="eastAsia" w:ascii="方正仿宋_GB2312" w:hAnsi="方正仿宋_GB2312" w:eastAsia="方正仿宋_GB2312" w:cs="方正仿宋_GB2312"/>
          <w:b w:val="0"/>
          <w:bCs w:val="0"/>
          <w:color w:val="auto"/>
          <w:spacing w:val="60"/>
          <w:w w:val="90"/>
          <w:sz w:val="84"/>
          <w:highlight w:val="none"/>
        </w:rPr>
        <w:t>合同</w:t>
      </w:r>
    </w:p>
    <w:p w14:paraId="1B3D2613">
      <w:pPr>
        <w:rPr>
          <w:rFonts w:hint="eastAsia" w:ascii="方正仿宋_GB2312" w:hAnsi="方正仿宋_GB2312" w:eastAsia="方正仿宋_GB2312" w:cs="方正仿宋_GB2312"/>
          <w:color w:val="auto"/>
          <w:sz w:val="36"/>
          <w:highlight w:val="none"/>
        </w:rPr>
      </w:pPr>
    </w:p>
    <w:p w14:paraId="2FE9F9E8">
      <w:pPr>
        <w:rPr>
          <w:rFonts w:hint="eastAsia" w:ascii="方正仿宋_GB2312" w:hAnsi="方正仿宋_GB2312" w:eastAsia="方正仿宋_GB2312" w:cs="方正仿宋_GB2312"/>
          <w:color w:val="auto"/>
          <w:sz w:val="36"/>
          <w:highlight w:val="none"/>
        </w:rPr>
      </w:pPr>
    </w:p>
    <w:p w14:paraId="4EEC09A2">
      <w:pPr>
        <w:rPr>
          <w:rFonts w:hint="eastAsia" w:ascii="方正仿宋_GB2312" w:hAnsi="方正仿宋_GB2312" w:eastAsia="方正仿宋_GB2312" w:cs="方正仿宋_GB2312"/>
          <w:color w:val="auto"/>
          <w:sz w:val="36"/>
          <w:highlight w:val="none"/>
        </w:rPr>
      </w:pPr>
    </w:p>
    <w:p w14:paraId="4197B12C">
      <w:pPr>
        <w:widowControl w:val="0"/>
        <w:adjustRightInd w:val="0"/>
        <w:spacing w:line="420" w:lineRule="atLeast"/>
        <w:jc w:val="left"/>
        <w:textAlignment w:val="baseline"/>
        <w:rPr>
          <w:rFonts w:hint="eastAsia" w:ascii="方正仿宋_GB2312" w:hAnsi="方正仿宋_GB2312" w:eastAsia="方正仿宋_GB2312" w:cs="方正仿宋_GB2312"/>
          <w:color w:val="auto"/>
          <w:kern w:val="0"/>
          <w:sz w:val="36"/>
          <w:szCs w:val="24"/>
          <w:highlight w:val="none"/>
          <w:lang w:val="en-US" w:eastAsia="zh-CN" w:bidi="ar-SA"/>
        </w:rPr>
      </w:pPr>
    </w:p>
    <w:p w14:paraId="7F88F9A4">
      <w:pPr>
        <w:rPr>
          <w:rFonts w:hint="eastAsia" w:ascii="方正仿宋_GB2312" w:hAnsi="方正仿宋_GB2312" w:eastAsia="方正仿宋_GB2312" w:cs="方正仿宋_GB2312"/>
          <w:color w:val="auto"/>
          <w:sz w:val="36"/>
          <w:highlight w:val="none"/>
        </w:rPr>
      </w:pPr>
    </w:p>
    <w:p w14:paraId="1458368E">
      <w:pPr>
        <w:widowControl w:val="0"/>
        <w:adjustRightInd w:val="0"/>
        <w:spacing w:line="420" w:lineRule="atLeast"/>
        <w:jc w:val="left"/>
        <w:textAlignment w:val="baseline"/>
        <w:rPr>
          <w:rFonts w:hint="eastAsia" w:ascii="方正仿宋_GB2312" w:hAnsi="方正仿宋_GB2312" w:eastAsia="方正仿宋_GB2312" w:cs="方正仿宋_GB2312"/>
          <w:color w:val="auto"/>
          <w:kern w:val="0"/>
          <w:sz w:val="36"/>
          <w:szCs w:val="24"/>
          <w:highlight w:val="none"/>
          <w:lang w:val="en-US" w:eastAsia="zh-CN" w:bidi="ar-SA"/>
        </w:rPr>
      </w:pPr>
    </w:p>
    <w:p w14:paraId="4618F371">
      <w:pPr>
        <w:widowControl w:val="0"/>
        <w:spacing w:after="120"/>
        <w:jc w:val="both"/>
        <w:rPr>
          <w:rFonts w:hint="eastAsia" w:ascii="方正仿宋_GB2312" w:hAnsi="方正仿宋_GB2312" w:eastAsia="方正仿宋_GB2312" w:cs="方正仿宋_GB2312"/>
          <w:color w:val="auto"/>
          <w:kern w:val="2"/>
          <w:sz w:val="21"/>
          <w:szCs w:val="24"/>
          <w:highlight w:val="none"/>
          <w:lang w:val="en-US" w:eastAsia="zh-CN" w:bidi="ar-SA"/>
        </w:rPr>
      </w:pPr>
    </w:p>
    <w:p w14:paraId="32A5109E">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发 包 人：</w:t>
      </w:r>
      <w:r>
        <w:rPr>
          <w:rFonts w:hint="eastAsia" w:ascii="方正仿宋_GB2312" w:hAnsi="方正仿宋_GB2312" w:eastAsia="方正仿宋_GB2312" w:cs="方正仿宋_GB2312"/>
          <w:b w:val="0"/>
          <w:bCs w:val="0"/>
          <w:color w:val="auto"/>
          <w:sz w:val="32"/>
          <w:szCs w:val="32"/>
          <w:highlight w:val="none"/>
          <w:u w:val="none"/>
          <w:lang w:eastAsia="zh-CN"/>
        </w:rPr>
        <w:t>马山县周鹿镇人民政府</w:t>
      </w:r>
      <w:r>
        <w:rPr>
          <w:rFonts w:hint="eastAsia" w:ascii="方正仿宋_GB2312" w:hAnsi="方正仿宋_GB2312" w:eastAsia="方正仿宋_GB2312" w:cs="方正仿宋_GB2312"/>
          <w:b w:val="0"/>
          <w:bCs w:val="0"/>
          <w:color w:val="auto"/>
          <w:sz w:val="32"/>
          <w:szCs w:val="32"/>
          <w:highlight w:val="none"/>
          <w:u w:val="none"/>
        </w:rPr>
        <w:t> </w:t>
      </w:r>
    </w:p>
    <w:p w14:paraId="51C2E776">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eastAsia" w:ascii="方正仿宋_GB2312" w:hAnsi="方正仿宋_GB2312" w:eastAsia="方正仿宋_GB2312" w:cs="方正仿宋_GB2312"/>
          <w:b w:val="0"/>
          <w:bCs w:val="0"/>
          <w:color w:val="auto"/>
          <w:sz w:val="32"/>
          <w:szCs w:val="32"/>
          <w:highlight w:val="none"/>
        </w:rPr>
      </w:pPr>
      <w:r>
        <w:rPr>
          <w:rFonts w:hint="eastAsia" w:ascii="方正仿宋_GB2312" w:hAnsi="方正仿宋_GB2312" w:eastAsia="方正仿宋_GB2312" w:cs="方正仿宋_GB2312"/>
          <w:b w:val="0"/>
          <w:bCs w:val="0"/>
          <w:color w:val="auto"/>
          <w:sz w:val="32"/>
          <w:szCs w:val="32"/>
          <w:highlight w:val="none"/>
        </w:rPr>
        <w:t>承 包 人：</w:t>
      </w:r>
      <w:r>
        <w:rPr>
          <w:rFonts w:hint="eastAsia" w:ascii="方正仿宋_GB2312" w:hAnsi="方正仿宋_GB2312" w:eastAsia="方正仿宋_GB2312" w:cs="方正仿宋_GB2312"/>
          <w:b w:val="0"/>
          <w:bCs w:val="0"/>
          <w:color w:val="auto"/>
          <w:sz w:val="32"/>
          <w:szCs w:val="32"/>
          <w:highlight w:val="none"/>
          <w:u w:val="none"/>
          <w:lang w:val="en-US" w:eastAsia="zh-CN"/>
        </w:rPr>
        <w:t xml:space="preserve"> </w:t>
      </w:r>
    </w:p>
    <w:p w14:paraId="07D006B6">
      <w:pPr>
        <w:jc w:val="center"/>
        <w:rPr>
          <w:rFonts w:hint="eastAsia" w:ascii="方正仿宋_GB2312" w:hAnsi="方正仿宋_GB2312" w:eastAsia="方正仿宋_GB2312" w:cs="方正仿宋_GB2312"/>
          <w:b/>
          <w:color w:val="auto"/>
          <w:spacing w:val="60"/>
          <w:sz w:val="48"/>
          <w:szCs w:val="48"/>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方正仿宋_GB2312" w:hAnsi="方正仿宋_GB2312" w:eastAsia="方正仿宋_GB2312" w:cs="方正仿宋_GB2312"/>
          <w:b w:val="0"/>
          <w:bCs/>
          <w:color w:val="auto"/>
          <w:sz w:val="32"/>
          <w:highlight w:val="none"/>
        </w:rPr>
        <w:t>年</w:t>
      </w:r>
      <w:r>
        <w:rPr>
          <w:rFonts w:hint="eastAsia" w:ascii="方正仿宋_GB2312" w:hAnsi="方正仿宋_GB2312" w:eastAsia="方正仿宋_GB2312" w:cs="方正仿宋_GB2312"/>
          <w:b w:val="0"/>
          <w:bCs/>
          <w:color w:val="auto"/>
          <w:sz w:val="32"/>
          <w:highlight w:val="none"/>
          <w:lang w:val="en-US" w:eastAsia="zh-CN"/>
        </w:rPr>
        <w:t xml:space="preserve">    </w:t>
      </w:r>
      <w:r>
        <w:rPr>
          <w:rFonts w:hint="eastAsia" w:ascii="方正仿宋_GB2312" w:hAnsi="方正仿宋_GB2312" w:eastAsia="方正仿宋_GB2312" w:cs="方正仿宋_GB2312"/>
          <w:b w:val="0"/>
          <w:bCs/>
          <w:color w:val="auto"/>
          <w:sz w:val="32"/>
          <w:highlight w:val="none"/>
        </w:rPr>
        <w:t>月</w:t>
      </w:r>
      <w:r>
        <w:rPr>
          <w:rFonts w:hint="eastAsia" w:ascii="方正仿宋_GB2312" w:hAnsi="方正仿宋_GB2312" w:eastAsia="方正仿宋_GB2312" w:cs="方正仿宋_GB2312"/>
          <w:b w:val="0"/>
          <w:bCs/>
          <w:color w:val="auto"/>
          <w:sz w:val="32"/>
          <w:highlight w:val="none"/>
          <w:lang w:val="en-US" w:eastAsia="zh-CN"/>
        </w:rPr>
        <w:t xml:space="preserve">   日</w:t>
      </w:r>
    </w:p>
    <w:p w14:paraId="515E2651">
      <w:pPr>
        <w:jc w:val="center"/>
        <w:rPr>
          <w:rFonts w:hint="eastAsia" w:ascii="方正仿宋_GB2312" w:hAnsi="方正仿宋_GB2312" w:eastAsia="方正仿宋_GB2312" w:cs="方正仿宋_GB2312"/>
          <w:b/>
          <w:color w:val="auto"/>
          <w:spacing w:val="60"/>
          <w:sz w:val="32"/>
          <w:szCs w:val="32"/>
          <w:highlight w:val="none"/>
        </w:rPr>
      </w:pPr>
      <w:r>
        <w:rPr>
          <w:rFonts w:hint="eastAsia" w:ascii="方正仿宋_GB2312" w:hAnsi="方正仿宋_GB2312" w:eastAsia="方正仿宋_GB2312" w:cs="方正仿宋_GB2312"/>
          <w:b/>
          <w:color w:val="auto"/>
          <w:spacing w:val="60"/>
          <w:sz w:val="32"/>
          <w:szCs w:val="32"/>
          <w:highlight w:val="none"/>
        </w:rPr>
        <w:t>合同文件目录</w:t>
      </w:r>
    </w:p>
    <w:p w14:paraId="79E09A80">
      <w:pPr>
        <w:spacing w:line="700" w:lineRule="exact"/>
        <w:rPr>
          <w:rFonts w:hint="eastAsia" w:ascii="方正仿宋_GB2312" w:hAnsi="方正仿宋_GB2312" w:eastAsia="方正仿宋_GB2312" w:cs="方正仿宋_GB2312"/>
          <w:b/>
          <w:color w:val="auto"/>
          <w:spacing w:val="60"/>
          <w:sz w:val="24"/>
          <w:szCs w:val="24"/>
          <w:highlight w:val="none"/>
        </w:rPr>
      </w:pPr>
      <w:r>
        <w:rPr>
          <w:rFonts w:hint="eastAsia" w:ascii="方正仿宋_GB2312" w:hAnsi="方正仿宋_GB2312" w:eastAsia="方正仿宋_GB2312" w:cs="方正仿宋_GB2312"/>
          <w:color w:val="auto"/>
          <w:sz w:val="24"/>
          <w:szCs w:val="24"/>
          <w:highlight w:val="none"/>
        </w:rPr>
        <w:t>一、合同协议书</w:t>
      </w:r>
    </w:p>
    <w:p w14:paraId="1535597E">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二、廉政合同</w:t>
      </w:r>
    </w:p>
    <w:p w14:paraId="2C735D77">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三、安全生产合同</w:t>
      </w:r>
    </w:p>
    <w:p w14:paraId="5748F0FF">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四、通用合同条款</w:t>
      </w:r>
    </w:p>
    <w:p w14:paraId="319E59D9">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五、专用合同条款</w:t>
      </w:r>
    </w:p>
    <w:p w14:paraId="3F5150DB">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六、项目专用条款</w:t>
      </w:r>
    </w:p>
    <w:p w14:paraId="702C338C">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七、技术规范专用条款</w:t>
      </w:r>
    </w:p>
    <w:p w14:paraId="242D7118">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八、工程量清单</w:t>
      </w:r>
    </w:p>
    <w:p w14:paraId="7F32E971">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九、履约保证金</w:t>
      </w:r>
    </w:p>
    <w:p w14:paraId="6F6EBAC1">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十、中标通知书</w:t>
      </w:r>
    </w:p>
    <w:p w14:paraId="6E84F01A">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十一、法人证书或机构代码证</w:t>
      </w:r>
    </w:p>
    <w:p w14:paraId="0A229290">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十二、项目经理委托书</w:t>
      </w:r>
    </w:p>
    <w:p w14:paraId="0D049D71">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十三、法人代表身份证复印件</w:t>
      </w:r>
    </w:p>
    <w:p w14:paraId="0DC6A3F2">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十四、项目经理身份证、建造师证、职称证复印件</w:t>
      </w:r>
    </w:p>
    <w:p w14:paraId="0EC9B476">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十五、主要施工机具和设备进场时间表</w:t>
      </w:r>
    </w:p>
    <w:p w14:paraId="4093981F">
      <w:pPr>
        <w:spacing w:line="700" w:lineRule="exac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十六、开户证明</w:t>
      </w:r>
    </w:p>
    <w:p w14:paraId="62FA3048">
      <w:pPr>
        <w:rPr>
          <w:rFonts w:hint="eastAsia" w:ascii="方正仿宋_GB2312" w:hAnsi="方正仿宋_GB2312" w:eastAsia="方正仿宋_GB2312" w:cs="方正仿宋_GB2312"/>
          <w:color w:val="auto"/>
          <w:sz w:val="28"/>
          <w:szCs w:val="28"/>
          <w:highlight w:val="none"/>
        </w:rPr>
      </w:pPr>
    </w:p>
    <w:p w14:paraId="5F4FA516">
      <w:pPr>
        <w:widowControl w:val="0"/>
        <w:adjustRightInd w:val="0"/>
        <w:spacing w:line="420" w:lineRule="atLeast"/>
        <w:jc w:val="left"/>
        <w:textAlignment w:val="baseline"/>
        <w:rPr>
          <w:rFonts w:hint="eastAsia" w:ascii="方正仿宋_GB2312" w:hAnsi="方正仿宋_GB2312" w:eastAsia="方正仿宋_GB2312" w:cs="方正仿宋_GB2312"/>
          <w:color w:val="auto"/>
          <w:kern w:val="0"/>
          <w:sz w:val="21"/>
          <w:szCs w:val="24"/>
          <w:highlight w:val="none"/>
          <w:lang w:val="en-US" w:eastAsia="zh-CN" w:bidi="ar-SA"/>
        </w:rPr>
      </w:pPr>
    </w:p>
    <w:p w14:paraId="5A1BE33F">
      <w:pPr>
        <w:widowControl w:val="0"/>
        <w:spacing w:after="120"/>
        <w:jc w:val="both"/>
        <w:rPr>
          <w:rFonts w:hint="eastAsia" w:ascii="方正仿宋_GB2312" w:hAnsi="方正仿宋_GB2312" w:eastAsia="方正仿宋_GB2312" w:cs="方正仿宋_GB2312"/>
          <w:color w:val="auto"/>
          <w:kern w:val="2"/>
          <w:sz w:val="21"/>
          <w:szCs w:val="24"/>
          <w:highlight w:val="none"/>
          <w:lang w:val="en-US" w:eastAsia="zh-CN" w:bidi="ar-SA"/>
        </w:rPr>
      </w:pPr>
    </w:p>
    <w:p w14:paraId="3E06AB5A">
      <w:pPr>
        <w:keepNext/>
        <w:keepLines/>
        <w:widowControl w:val="0"/>
        <w:shd w:val="clear" w:color="auto" w:fill="auto"/>
        <w:autoSpaceDE/>
        <w:autoSpaceDN/>
        <w:adjustRightInd/>
        <w:spacing w:after="408" w:line="240" w:lineRule="auto"/>
        <w:ind w:firstLine="562"/>
        <w:jc w:val="center"/>
        <w:outlineLvl w:val="9"/>
        <w:rPr>
          <w:rFonts w:hint="eastAsia" w:ascii="方正仿宋_GB2312" w:hAnsi="方正仿宋_GB2312" w:eastAsia="方正仿宋_GB2312" w:cs="方正仿宋_GB2312"/>
          <w:b/>
          <w:color w:val="auto"/>
          <w:kern w:val="2"/>
          <w:sz w:val="36"/>
          <w:szCs w:val="36"/>
          <w:highlight w:val="none"/>
          <w:lang w:val="en-US" w:eastAsia="zh-CN" w:bidi="ar-SA"/>
        </w:rPr>
      </w:pPr>
      <w:bookmarkStart w:id="133" w:name="_Toc514786907"/>
      <w:bookmarkStart w:id="134" w:name="bookmark186"/>
      <w:r>
        <w:rPr>
          <w:rFonts w:hint="eastAsia" w:ascii="方正仿宋_GB2312" w:hAnsi="方正仿宋_GB2312" w:eastAsia="方正仿宋_GB2312" w:cs="方正仿宋_GB2312"/>
          <w:b/>
          <w:color w:val="auto"/>
          <w:spacing w:val="0"/>
          <w:w w:val="100"/>
          <w:kern w:val="2"/>
          <w:position w:val="0"/>
          <w:sz w:val="36"/>
          <w:szCs w:val="36"/>
          <w:highlight w:val="none"/>
          <w:lang w:val="zh-CN" w:eastAsia="zh-CN" w:bidi="ar-SA"/>
        </w:rPr>
        <w:t>合同协议书</w:t>
      </w:r>
      <w:bookmarkEnd w:id="133"/>
      <w:bookmarkEnd w:id="134"/>
    </w:p>
    <w:p w14:paraId="1A6DD9E6">
      <w:pPr>
        <w:widowControl w:val="0"/>
        <w:shd w:val="clear" w:color="auto" w:fill="auto"/>
        <w:tabs>
          <w:tab w:val="left" w:leader="underscore" w:pos="1756"/>
          <w:tab w:val="left" w:leader="underscore" w:pos="8354"/>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马山县周鹿镇人民政府</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 (发包人名称，以下简称“发包人”）为实施</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周鹿镇双联村龙勉、龙赖屯至龙卜屯硬化路及安防工程</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(项目名称)，己接受</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(承包人名称，以下简称“承包人”）对该项目施工的投标。发包人和承包人共同达成如下协议。</w:t>
      </w:r>
    </w:p>
    <w:p w14:paraId="138D804E">
      <w:pPr>
        <w:widowControl w:val="0"/>
        <w:shd w:val="clear" w:color="auto" w:fill="auto"/>
        <w:tabs>
          <w:tab w:val="left" w:pos="1074"/>
        </w:tabs>
        <w:spacing w:before="0" w:line="439" w:lineRule="exact"/>
        <w:ind w:firstLine="420" w:firstLineChars="200"/>
        <w:jc w:val="both"/>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1．第_标段由K_+_至K_+_，长约_km，公路等级为_，设计时速为</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，_路面，有_立交_处；特大桥  座，计长_ m;大中桥座，计长 _m;隧道_座，计长_ m以及其他构造物工程等。</w:t>
      </w:r>
    </w:p>
    <w:p w14:paraId="1602A344">
      <w:pPr>
        <w:widowControl w:val="0"/>
        <w:shd w:val="clear" w:color="auto" w:fill="auto"/>
        <w:tabs>
          <w:tab w:val="left" w:pos="1098"/>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2．下列文件应视为构成合同文件的组成部分：</w:t>
      </w:r>
    </w:p>
    <w:p w14:paraId="57E1AE7D">
      <w:pPr>
        <w:widowControl w:val="0"/>
        <w:shd w:val="clear" w:color="auto" w:fill="auto"/>
        <w:tabs>
          <w:tab w:val="left" w:pos="1373"/>
        </w:tabs>
        <w:spacing w:before="0" w:line="439" w:lineRule="exact"/>
        <w:ind w:firstLine="420" w:firstLineChars="200"/>
        <w:jc w:val="left"/>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（1）本协议书及各种合同附件（含评标期间和合同谈判过程中的澄清文件和 补充资料）；</w:t>
      </w:r>
    </w:p>
    <w:p w14:paraId="4CD2B32D">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（2）中标通知书；</w:t>
      </w:r>
    </w:p>
    <w:p w14:paraId="766C4E0B">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（3）投标函及投标函附录；</w:t>
      </w:r>
    </w:p>
    <w:p w14:paraId="0E036529">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（4）项目专用合同条款；</w:t>
      </w:r>
    </w:p>
    <w:p w14:paraId="51BDB29F">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（5）公路工程专用合同条款；</w:t>
      </w:r>
    </w:p>
    <w:p w14:paraId="4C34DB2F">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（6）通用合同条款；</w:t>
      </w:r>
    </w:p>
    <w:p w14:paraId="1BCABBA7">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（7）工程量清单计量规则；</w:t>
      </w:r>
    </w:p>
    <w:p w14:paraId="0AAE8641">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（8）技术规范；</w:t>
      </w:r>
    </w:p>
    <w:p w14:paraId="6228C6C0">
      <w:pPr>
        <w:widowControl w:val="0"/>
        <w:shd w:val="clear" w:color="auto" w:fill="auto"/>
        <w:tabs>
          <w:tab w:val="left" w:pos="138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（9）图纸；</w:t>
      </w:r>
    </w:p>
    <w:p w14:paraId="4F24B7AE">
      <w:pPr>
        <w:widowControl w:val="0"/>
        <w:shd w:val="clear" w:color="auto" w:fill="auto"/>
        <w:tabs>
          <w:tab w:val="left" w:pos="1506"/>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（10）己标价工程量清单；</w:t>
      </w:r>
    </w:p>
    <w:p w14:paraId="375D4C69">
      <w:pPr>
        <w:widowControl w:val="0"/>
        <w:shd w:val="clear" w:color="auto" w:fill="auto"/>
        <w:tabs>
          <w:tab w:val="left" w:pos="1506"/>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（11）承包人有关人员、设备投入的承诺及投标文件中的施工组织设计；</w:t>
      </w:r>
    </w:p>
    <w:p w14:paraId="035EC6DE">
      <w:pPr>
        <w:widowControl w:val="0"/>
        <w:shd w:val="clear" w:color="auto" w:fill="auto"/>
        <w:tabs>
          <w:tab w:val="left" w:pos="1506"/>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（12）其他合同文件。</w:t>
      </w:r>
    </w:p>
    <w:p w14:paraId="5AB8A7A3">
      <w:pPr>
        <w:widowControl w:val="0"/>
        <w:shd w:val="clear" w:color="auto" w:fill="auto"/>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上述合同文件互相补充和解释。如果合同文件之间存在矛盾或不一致之处，</w:t>
      </w:r>
    </w:p>
    <w:p w14:paraId="5B67A212">
      <w:pPr>
        <w:widowControl w:val="0"/>
        <w:shd w:val="clear" w:color="auto" w:fill="auto"/>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以上述文件的排列顺序在先者为准。</w:t>
      </w:r>
    </w:p>
    <w:p w14:paraId="5A0A4EF8">
      <w:pPr>
        <w:bidi w:val="0"/>
        <w:spacing w:line="360" w:lineRule="auto"/>
        <w:ind w:firstLine="420" w:firstLineChars="20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highlight w:val="none"/>
        </w:rPr>
        <w:t xml:space="preserve">3．根据工程量清单所列的预计数量和单价或总额价计算的签约合同价：人民币（大写）元（¥               </w:t>
      </w:r>
      <w:r>
        <w:rPr>
          <w:rFonts w:hint="eastAsia" w:ascii="方正仿宋_GB2312" w:hAnsi="方正仿宋_GB2312" w:eastAsia="方正仿宋_GB2312" w:cs="方正仿宋_GB2312"/>
          <w:color w:val="auto"/>
          <w:highlight w:val="none"/>
        </w:rPr>
        <w:tab/>
      </w:r>
      <w:r>
        <w:rPr>
          <w:rFonts w:hint="eastAsia" w:ascii="方正仿宋_GB2312" w:hAnsi="方正仿宋_GB2312" w:eastAsia="方正仿宋_GB2312" w:cs="方正仿宋_GB2312"/>
          <w:color w:val="auto"/>
          <w:highlight w:val="none"/>
        </w:rPr>
        <w:t>）。</w:t>
      </w:r>
    </w:p>
    <w:p w14:paraId="7F6C9B3A">
      <w:pPr>
        <w:widowControl w:val="0"/>
        <w:shd w:val="clear" w:color="auto" w:fill="auto"/>
        <w:tabs>
          <w:tab w:val="left" w:pos="1043"/>
        </w:tabs>
        <w:spacing w:before="0" w:line="439" w:lineRule="exact"/>
        <w:ind w:firstLine="420" w:firstLineChars="200"/>
        <w:jc w:val="both"/>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en-US" w:eastAsia="zh-CN" w:bidi="zh-CN"/>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 xml:space="preserve">4．承包人项目经理： </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。承包人项目总工：</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w:t>
      </w:r>
    </w:p>
    <w:p w14:paraId="3A2EB507">
      <w:pPr>
        <w:widowControl w:val="0"/>
        <w:shd w:val="clear" w:color="auto" w:fill="auto"/>
        <w:tabs>
          <w:tab w:val="left" w:pos="1098"/>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5．工程质量</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达到国家施工验收规范合格</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标准。工程安全目标：</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w:t>
      </w:r>
    </w:p>
    <w:p w14:paraId="35AAC738">
      <w:pPr>
        <w:widowControl w:val="0"/>
        <w:shd w:val="clear" w:color="auto" w:fill="auto"/>
        <w:tabs>
          <w:tab w:val="left" w:pos="1101"/>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6．承包人承诺按合同约定承担工程的实施、完成及缺陷修复。</w:t>
      </w:r>
    </w:p>
    <w:p w14:paraId="2CB098C1">
      <w:pPr>
        <w:widowControl w:val="0"/>
        <w:shd w:val="clear" w:color="auto" w:fill="auto"/>
        <w:tabs>
          <w:tab w:val="left" w:pos="1101"/>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7．发包人承诺按合同约定的条件、时间和方式向承包人支付合同价款。</w:t>
      </w:r>
    </w:p>
    <w:p w14:paraId="7D4F8D6A">
      <w:pPr>
        <w:widowControl w:val="0"/>
        <w:shd w:val="clear" w:color="auto" w:fill="auto"/>
        <w:tabs>
          <w:tab w:val="left" w:pos="1109"/>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8．承包人应按照发包人指示开工，</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工期为</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90</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日历天。</w:t>
      </w:r>
    </w:p>
    <w:p w14:paraId="3380EBA1">
      <w:pPr>
        <w:widowControl w:val="0"/>
        <w:shd w:val="clear" w:color="auto" w:fill="auto"/>
        <w:tabs>
          <w:tab w:val="left" w:pos="1043"/>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9．本协议书在承包人提供履约保证金后，由双方法定代表人或其委托代理人签署并加盖单位章后生效。全部工程完工后经交工验收合格、缺陷责任期满签发缺陷责任终止证书后失效。</w:t>
      </w:r>
    </w:p>
    <w:p w14:paraId="11C2B7EF">
      <w:pPr>
        <w:widowControl w:val="0"/>
        <w:shd w:val="clear" w:color="auto" w:fill="auto"/>
        <w:tabs>
          <w:tab w:val="left" w:leader="underscore" w:pos="4168"/>
          <w:tab w:val="left" w:leader="underscore" w:pos="8283"/>
        </w:tabs>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10．本协议书正本二份、副本</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份，合同双方各执正本一份，副本</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份，</w:t>
      </w:r>
    </w:p>
    <w:p w14:paraId="2EF09187">
      <w:pPr>
        <w:widowControl w:val="0"/>
        <w:shd w:val="clear" w:color="auto" w:fill="auto"/>
        <w:spacing w:before="0"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当正本与副本的内容不一致时，以正本为准。</w:t>
      </w:r>
    </w:p>
    <w:p w14:paraId="16026CB3">
      <w:pPr>
        <w:widowControl w:val="0"/>
        <w:shd w:val="clear" w:color="auto" w:fill="auto"/>
        <w:tabs>
          <w:tab w:val="left" w:pos="1214"/>
        </w:tabs>
        <w:spacing w:before="0" w:after="418" w:line="439"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11．合同未尽事宜，双方另行签订补充协议。补充协议是合同的组成部分。</w:t>
      </w:r>
    </w:p>
    <w:tbl>
      <w:tblPr>
        <w:tblStyle w:val="28"/>
        <w:tblW w:w="8379" w:type="dxa"/>
        <w:tblInd w:w="414" w:type="dxa"/>
        <w:tblLayout w:type="fixed"/>
        <w:tblCellMar>
          <w:top w:w="0" w:type="dxa"/>
          <w:left w:w="108" w:type="dxa"/>
          <w:bottom w:w="0" w:type="dxa"/>
          <w:right w:w="108" w:type="dxa"/>
        </w:tblCellMar>
      </w:tblPr>
      <w:tblGrid>
        <w:gridCol w:w="4349"/>
        <w:gridCol w:w="4030"/>
      </w:tblGrid>
      <w:tr w14:paraId="59F812B0">
        <w:tblPrEx>
          <w:tblCellMar>
            <w:top w:w="0" w:type="dxa"/>
            <w:left w:w="108" w:type="dxa"/>
            <w:bottom w:w="0" w:type="dxa"/>
            <w:right w:w="108" w:type="dxa"/>
          </w:tblCellMar>
        </w:tblPrEx>
        <w:tc>
          <w:tcPr>
            <w:tcW w:w="8379" w:type="dxa"/>
            <w:gridSpan w:val="2"/>
            <w:noWrap w:val="0"/>
            <w:vAlign w:val="top"/>
          </w:tcPr>
          <w:p w14:paraId="0D13363C">
            <w:pPr>
              <w:snapToGrid w:val="0"/>
              <w:spacing w:line="460" w:lineRule="exact"/>
              <w:ind w:left="5880" w:hanging="4410" w:hangingChars="2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发包人：</w:t>
            </w:r>
            <w:r>
              <w:rPr>
                <w:rFonts w:hint="eastAsia" w:ascii="方正仿宋_GB2312" w:hAnsi="方正仿宋_GB2312" w:eastAsia="方正仿宋_GB2312" w:cs="方正仿宋_GB2312"/>
                <w:color w:val="auto"/>
                <w:sz w:val="21"/>
                <w:szCs w:val="21"/>
                <w:highlight w:val="none"/>
                <w:lang w:eastAsia="zh-CN"/>
              </w:rPr>
              <w:t>马山县周鹿镇人民政府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承包人：</w:t>
            </w:r>
          </w:p>
        </w:tc>
      </w:tr>
      <w:tr w14:paraId="4BF4286B">
        <w:tblPrEx>
          <w:tblCellMar>
            <w:top w:w="0" w:type="dxa"/>
            <w:left w:w="108" w:type="dxa"/>
            <w:bottom w:w="0" w:type="dxa"/>
            <w:right w:w="108" w:type="dxa"/>
          </w:tblCellMar>
        </w:tblPrEx>
        <w:tc>
          <w:tcPr>
            <w:tcW w:w="8379" w:type="dxa"/>
            <w:gridSpan w:val="2"/>
            <w:noWrap w:val="0"/>
            <w:vAlign w:val="top"/>
          </w:tcPr>
          <w:p w14:paraId="253721F8">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法定代表人：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法定代表人或其</w:t>
            </w:r>
          </w:p>
          <w:p w14:paraId="62BE14BB">
            <w:pPr>
              <w:snapToGrid w:val="0"/>
              <w:spacing w:line="460" w:lineRule="exact"/>
              <w:ind w:firstLine="4410" w:firstLineChars="2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授权的代理人：</w:t>
            </w:r>
          </w:p>
        </w:tc>
      </w:tr>
      <w:tr w14:paraId="1BB1A46C">
        <w:tblPrEx>
          <w:tblCellMar>
            <w:top w:w="0" w:type="dxa"/>
            <w:left w:w="108" w:type="dxa"/>
            <w:bottom w:w="0" w:type="dxa"/>
            <w:right w:w="108" w:type="dxa"/>
          </w:tblCellMar>
        </w:tblPrEx>
        <w:tc>
          <w:tcPr>
            <w:tcW w:w="8379" w:type="dxa"/>
            <w:gridSpan w:val="2"/>
            <w:noWrap w:val="0"/>
            <w:vAlign w:val="top"/>
          </w:tcPr>
          <w:p w14:paraId="2D443675">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职  务：</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职  务：</w:t>
            </w:r>
            <w:r>
              <w:rPr>
                <w:rFonts w:hint="eastAsia" w:ascii="方正仿宋_GB2312" w:hAnsi="方正仿宋_GB2312" w:eastAsia="方正仿宋_GB2312" w:cs="方正仿宋_GB2312"/>
                <w:color w:val="auto"/>
                <w:sz w:val="21"/>
                <w:szCs w:val="21"/>
                <w:highlight w:val="none"/>
                <w:u w:val="single"/>
              </w:rPr>
              <w:t xml:space="preserve">                </w:t>
            </w:r>
          </w:p>
        </w:tc>
      </w:tr>
      <w:tr w14:paraId="6800D35A">
        <w:tblPrEx>
          <w:tblCellMar>
            <w:top w:w="0" w:type="dxa"/>
            <w:left w:w="108" w:type="dxa"/>
            <w:bottom w:w="0" w:type="dxa"/>
            <w:right w:w="108" w:type="dxa"/>
          </w:tblCellMar>
        </w:tblPrEx>
        <w:tc>
          <w:tcPr>
            <w:tcW w:w="8379" w:type="dxa"/>
            <w:gridSpan w:val="2"/>
            <w:noWrap w:val="0"/>
            <w:vAlign w:val="top"/>
          </w:tcPr>
          <w:p w14:paraId="59A67CBC">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姓  名：</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姓  名：</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tc>
      </w:tr>
      <w:tr w14:paraId="6E8E47B4">
        <w:tblPrEx>
          <w:tblCellMar>
            <w:top w:w="0" w:type="dxa"/>
            <w:left w:w="108" w:type="dxa"/>
            <w:bottom w:w="0" w:type="dxa"/>
            <w:right w:w="108" w:type="dxa"/>
          </w:tblCellMar>
        </w:tblPrEx>
        <w:tc>
          <w:tcPr>
            <w:tcW w:w="8379" w:type="dxa"/>
            <w:gridSpan w:val="2"/>
            <w:noWrap w:val="0"/>
            <w:vAlign w:val="top"/>
          </w:tcPr>
          <w:p w14:paraId="1EC55039">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签  字：</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签  字：</w:t>
            </w:r>
            <w:r>
              <w:rPr>
                <w:rFonts w:hint="eastAsia" w:ascii="方正仿宋_GB2312" w:hAnsi="方正仿宋_GB2312" w:eastAsia="方正仿宋_GB2312" w:cs="方正仿宋_GB2312"/>
                <w:color w:val="auto"/>
                <w:sz w:val="21"/>
                <w:szCs w:val="21"/>
                <w:highlight w:val="none"/>
                <w:u w:val="single"/>
              </w:rPr>
              <w:t xml:space="preserve">                </w:t>
            </w:r>
          </w:p>
        </w:tc>
      </w:tr>
      <w:tr w14:paraId="34B2A20A">
        <w:tblPrEx>
          <w:tblCellMar>
            <w:top w:w="0" w:type="dxa"/>
            <w:left w:w="108" w:type="dxa"/>
            <w:bottom w:w="0" w:type="dxa"/>
            <w:right w:w="108" w:type="dxa"/>
          </w:tblCellMar>
        </w:tblPrEx>
        <w:tc>
          <w:tcPr>
            <w:tcW w:w="4349" w:type="dxa"/>
            <w:noWrap w:val="0"/>
            <w:vAlign w:val="top"/>
          </w:tcPr>
          <w:p w14:paraId="45E6F562">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日        </w:t>
            </w:r>
          </w:p>
        </w:tc>
        <w:tc>
          <w:tcPr>
            <w:tcW w:w="4030" w:type="dxa"/>
            <w:noWrap w:val="0"/>
            <w:vAlign w:val="top"/>
          </w:tcPr>
          <w:p w14:paraId="0E66F72C">
            <w:pPr>
              <w:snapToGrid w:val="0"/>
              <w:spacing w:line="4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日        </w:t>
            </w:r>
          </w:p>
        </w:tc>
      </w:tr>
    </w:tbl>
    <w:p w14:paraId="24BAAF68">
      <w:pPr>
        <w:ind w:firstLine="480"/>
        <w:rPr>
          <w:rFonts w:hint="eastAsia" w:ascii="方正仿宋_GB2312" w:hAnsi="方正仿宋_GB2312" w:eastAsia="方正仿宋_GB2312" w:cs="方正仿宋_GB2312"/>
          <w:color w:val="auto"/>
          <w:sz w:val="24"/>
          <w:szCs w:val="24"/>
          <w:highlight w:val="none"/>
        </w:rPr>
      </w:pPr>
    </w:p>
    <w:p w14:paraId="527D37BB">
      <w:pPr>
        <w:ind w:firstLine="480"/>
        <w:rPr>
          <w:rFonts w:hint="eastAsia" w:ascii="方正仿宋_GB2312" w:hAnsi="方正仿宋_GB2312" w:eastAsia="方正仿宋_GB2312" w:cs="方正仿宋_GB2312"/>
          <w:color w:val="auto"/>
          <w:sz w:val="24"/>
          <w:szCs w:val="24"/>
          <w:highlight w:val="none"/>
        </w:rPr>
      </w:pPr>
    </w:p>
    <w:p w14:paraId="633C9BE9">
      <w:pPr>
        <w:ind w:firstLine="480"/>
        <w:rPr>
          <w:rFonts w:hint="eastAsia" w:ascii="方正仿宋_GB2312" w:hAnsi="方正仿宋_GB2312" w:eastAsia="方正仿宋_GB2312" w:cs="方正仿宋_GB2312"/>
          <w:color w:val="auto"/>
          <w:sz w:val="24"/>
          <w:szCs w:val="24"/>
          <w:highlight w:val="none"/>
        </w:rPr>
      </w:pPr>
    </w:p>
    <w:p w14:paraId="0F8076DA">
      <w:pPr>
        <w:ind w:firstLine="480"/>
        <w:rPr>
          <w:rFonts w:hint="eastAsia" w:ascii="方正仿宋_GB2312" w:hAnsi="方正仿宋_GB2312" w:eastAsia="方正仿宋_GB2312" w:cs="方正仿宋_GB2312"/>
          <w:color w:val="auto"/>
          <w:sz w:val="24"/>
          <w:szCs w:val="24"/>
          <w:highlight w:val="none"/>
        </w:rPr>
      </w:pPr>
    </w:p>
    <w:p w14:paraId="69165F6B">
      <w:pPr>
        <w:ind w:firstLine="480"/>
        <w:rPr>
          <w:rFonts w:hint="eastAsia" w:ascii="方正仿宋_GB2312" w:hAnsi="方正仿宋_GB2312" w:eastAsia="方正仿宋_GB2312" w:cs="方正仿宋_GB2312"/>
          <w:color w:val="auto"/>
          <w:sz w:val="24"/>
          <w:szCs w:val="24"/>
          <w:highlight w:val="none"/>
        </w:rPr>
      </w:pPr>
    </w:p>
    <w:p w14:paraId="66802EB6">
      <w:pPr>
        <w:ind w:firstLine="480"/>
        <w:rPr>
          <w:rFonts w:hint="eastAsia" w:ascii="方正仿宋_GB2312" w:hAnsi="方正仿宋_GB2312" w:eastAsia="方正仿宋_GB2312" w:cs="方正仿宋_GB2312"/>
          <w:color w:val="auto"/>
          <w:sz w:val="24"/>
          <w:szCs w:val="24"/>
          <w:highlight w:val="none"/>
        </w:rPr>
      </w:pPr>
    </w:p>
    <w:p w14:paraId="6C20BA0E">
      <w:pPr>
        <w:ind w:firstLine="480"/>
        <w:rPr>
          <w:rFonts w:hint="eastAsia" w:ascii="方正仿宋_GB2312" w:hAnsi="方正仿宋_GB2312" w:eastAsia="方正仿宋_GB2312" w:cs="方正仿宋_GB2312"/>
          <w:color w:val="auto"/>
          <w:sz w:val="24"/>
          <w:szCs w:val="24"/>
          <w:highlight w:val="none"/>
        </w:rPr>
      </w:pPr>
    </w:p>
    <w:p w14:paraId="0EB71C66">
      <w:pPr>
        <w:ind w:firstLine="480"/>
        <w:rPr>
          <w:rFonts w:hint="eastAsia" w:ascii="方正仿宋_GB2312" w:hAnsi="方正仿宋_GB2312" w:eastAsia="方正仿宋_GB2312" w:cs="方正仿宋_GB2312"/>
          <w:color w:val="auto"/>
          <w:sz w:val="24"/>
          <w:szCs w:val="24"/>
          <w:highlight w:val="none"/>
        </w:rPr>
      </w:pPr>
    </w:p>
    <w:p w14:paraId="7560F187">
      <w:pPr>
        <w:ind w:firstLine="480"/>
        <w:rPr>
          <w:rFonts w:hint="eastAsia" w:ascii="方正仿宋_GB2312" w:hAnsi="方正仿宋_GB2312" w:eastAsia="方正仿宋_GB2312" w:cs="方正仿宋_GB2312"/>
          <w:color w:val="auto"/>
          <w:sz w:val="24"/>
          <w:szCs w:val="24"/>
          <w:highlight w:val="none"/>
        </w:rPr>
      </w:pPr>
    </w:p>
    <w:p w14:paraId="10E8E610">
      <w:pPr>
        <w:ind w:firstLine="480"/>
        <w:rPr>
          <w:rFonts w:hint="eastAsia" w:ascii="方正仿宋_GB2312" w:hAnsi="方正仿宋_GB2312" w:eastAsia="方正仿宋_GB2312" w:cs="方正仿宋_GB2312"/>
          <w:color w:val="auto"/>
          <w:sz w:val="24"/>
          <w:szCs w:val="24"/>
          <w:highlight w:val="none"/>
        </w:rPr>
      </w:pPr>
    </w:p>
    <w:p w14:paraId="3242F7F5">
      <w:pPr>
        <w:ind w:firstLine="480"/>
        <w:rPr>
          <w:rFonts w:hint="eastAsia" w:ascii="方正仿宋_GB2312" w:hAnsi="方正仿宋_GB2312" w:eastAsia="方正仿宋_GB2312" w:cs="方正仿宋_GB2312"/>
          <w:color w:val="auto"/>
          <w:sz w:val="24"/>
          <w:szCs w:val="24"/>
          <w:highlight w:val="none"/>
        </w:rPr>
      </w:pPr>
    </w:p>
    <w:p w14:paraId="0A4B95D7">
      <w:pPr>
        <w:ind w:firstLine="480"/>
        <w:rPr>
          <w:rFonts w:hint="eastAsia" w:ascii="方正仿宋_GB2312" w:hAnsi="方正仿宋_GB2312" w:eastAsia="方正仿宋_GB2312" w:cs="方正仿宋_GB2312"/>
          <w:color w:val="auto"/>
          <w:szCs w:val="24"/>
          <w:highlight w:val="none"/>
        </w:rPr>
      </w:pPr>
    </w:p>
    <w:p w14:paraId="44238854">
      <w:pPr>
        <w:ind w:firstLine="480"/>
        <w:rPr>
          <w:rFonts w:hint="eastAsia" w:ascii="方正仿宋_GB2312" w:hAnsi="方正仿宋_GB2312" w:eastAsia="方正仿宋_GB2312" w:cs="方正仿宋_GB2312"/>
          <w:color w:val="auto"/>
          <w:szCs w:val="24"/>
          <w:highlight w:val="none"/>
        </w:rPr>
      </w:pPr>
    </w:p>
    <w:p w14:paraId="5334CCCB">
      <w:pPr>
        <w:ind w:firstLine="480"/>
        <w:rPr>
          <w:rFonts w:hint="eastAsia" w:ascii="方正仿宋_GB2312" w:hAnsi="方正仿宋_GB2312" w:eastAsia="方正仿宋_GB2312" w:cs="方正仿宋_GB2312"/>
          <w:color w:val="auto"/>
          <w:szCs w:val="24"/>
          <w:highlight w:val="none"/>
        </w:rPr>
      </w:pPr>
    </w:p>
    <w:p w14:paraId="0C61B8C6">
      <w:pPr>
        <w:ind w:firstLine="480"/>
        <w:rPr>
          <w:rFonts w:hint="eastAsia" w:ascii="方正仿宋_GB2312" w:hAnsi="方正仿宋_GB2312" w:eastAsia="方正仿宋_GB2312" w:cs="方正仿宋_GB2312"/>
          <w:color w:val="auto"/>
          <w:szCs w:val="24"/>
          <w:highlight w:val="none"/>
        </w:rPr>
      </w:pPr>
    </w:p>
    <w:p w14:paraId="38D95B5C">
      <w:pPr>
        <w:ind w:firstLine="480"/>
        <w:rPr>
          <w:rFonts w:hint="eastAsia" w:ascii="方正仿宋_GB2312" w:hAnsi="方正仿宋_GB2312" w:eastAsia="方正仿宋_GB2312" w:cs="方正仿宋_GB2312"/>
          <w:color w:val="auto"/>
          <w:szCs w:val="24"/>
          <w:highlight w:val="none"/>
        </w:rPr>
      </w:pPr>
    </w:p>
    <w:p w14:paraId="64E4790E">
      <w:pPr>
        <w:spacing w:line="360" w:lineRule="auto"/>
        <w:jc w:val="center"/>
        <w:outlineLvl w:val="9"/>
        <w:rPr>
          <w:rFonts w:hint="eastAsia" w:ascii="方正仿宋_GB2312" w:hAnsi="方正仿宋_GB2312" w:eastAsia="方正仿宋_GB2312" w:cs="方正仿宋_GB2312"/>
          <w:color w:val="auto"/>
          <w:spacing w:val="0"/>
          <w:sz w:val="44"/>
          <w:szCs w:val="44"/>
          <w:highlight w:val="none"/>
        </w:rPr>
      </w:pPr>
      <w:bookmarkStart w:id="135" w:name="_Toc511595194"/>
      <w:bookmarkStart w:id="136" w:name="_Toc394929417"/>
      <w:bookmarkStart w:id="137" w:name="_Toc28168"/>
      <w:bookmarkStart w:id="138" w:name="_Toc508779710"/>
      <w:r>
        <w:rPr>
          <w:rFonts w:hint="eastAsia" w:ascii="方正仿宋_GB2312" w:hAnsi="方正仿宋_GB2312" w:eastAsia="方正仿宋_GB2312" w:cs="方正仿宋_GB2312"/>
          <w:color w:val="auto"/>
          <w:sz w:val="24"/>
          <w:szCs w:val="24"/>
          <w:highlight w:val="none"/>
        </w:rPr>
        <w:br w:type="page"/>
      </w:r>
      <w:bookmarkEnd w:id="135"/>
      <w:bookmarkEnd w:id="136"/>
      <w:bookmarkEnd w:id="137"/>
      <w:bookmarkEnd w:id="138"/>
      <w:bookmarkStart w:id="139" w:name="_Toc394929418"/>
      <w:r>
        <w:rPr>
          <w:rFonts w:hint="eastAsia" w:ascii="方正仿宋_GB2312" w:hAnsi="方正仿宋_GB2312" w:eastAsia="方正仿宋_GB2312" w:cs="方正仿宋_GB2312"/>
          <w:b/>
          <w:bCs/>
          <w:color w:val="auto"/>
          <w:spacing w:val="0"/>
          <w:w w:val="100"/>
          <w:position w:val="0"/>
          <w:sz w:val="36"/>
          <w:szCs w:val="36"/>
          <w:highlight w:val="none"/>
          <w:u w:val="none"/>
          <w:shd w:val="clear" w:color="auto" w:fill="FFFFFF"/>
          <w:lang w:val="zh-CN"/>
        </w:rPr>
        <w:t>廉政合同</w:t>
      </w:r>
    </w:p>
    <w:p w14:paraId="321F6BF7">
      <w:pPr>
        <w:widowControl w:val="0"/>
        <w:shd w:val="clear" w:color="auto" w:fill="auto"/>
        <w:spacing w:before="0" w:line="398"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周鹿镇双联村龙勉、龙赖屯至龙卜屯硬化路及安防工程</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(项目名称）的项目法人</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马山县周鹿镇人民政府</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(项目法人名称，以下简称“发包人”）与该项目的施工单位</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(施工单位名称，以下简称“承包人”)，特订立如下合同。</w:t>
      </w:r>
    </w:p>
    <w:p w14:paraId="15BD3207">
      <w:pPr>
        <w:keepNext/>
        <w:keepLines/>
        <w:widowControl w:val="0"/>
        <w:shd w:val="clear" w:color="auto" w:fill="auto"/>
        <w:tabs>
          <w:tab w:val="left" w:pos="1178"/>
        </w:tabs>
        <w:autoSpaceDE/>
        <w:autoSpaceDN/>
        <w:adjustRightInd/>
        <w:spacing w:before="0" w:after="0" w:line="360" w:lineRule="auto"/>
        <w:jc w:val="both"/>
        <w:outlineLvl w:val="9"/>
        <w:rPr>
          <w:rFonts w:hint="eastAsia" w:ascii="方正仿宋_GB2312" w:hAnsi="方正仿宋_GB2312" w:eastAsia="方正仿宋_GB2312" w:cs="方正仿宋_GB2312"/>
          <w:b/>
          <w:bCs/>
          <w:color w:val="auto"/>
          <w:spacing w:val="0"/>
          <w:kern w:val="2"/>
          <w:sz w:val="21"/>
          <w:szCs w:val="21"/>
          <w:highlight w:val="none"/>
          <w:shd w:val="clear" w:color="auto" w:fill="FFFFFF"/>
          <w:lang w:val="en-US" w:eastAsia="zh-CN" w:bidi="ar-SA"/>
        </w:rPr>
      </w:pPr>
      <w:bookmarkStart w:id="140" w:name="bookmark188"/>
      <w:bookmarkStart w:id="141" w:name="_Toc514786909"/>
      <w:r>
        <w:rPr>
          <w:rFonts w:hint="eastAsia" w:ascii="方正仿宋_GB2312" w:hAnsi="方正仿宋_GB2312" w:eastAsia="方正仿宋_GB2312" w:cs="方正仿宋_GB2312"/>
          <w:b/>
          <w:bCs/>
          <w:color w:val="auto"/>
          <w:spacing w:val="0"/>
          <w:w w:val="100"/>
          <w:kern w:val="2"/>
          <w:position w:val="0"/>
          <w:sz w:val="21"/>
          <w:szCs w:val="21"/>
          <w:highlight w:val="none"/>
          <w:u w:val="none"/>
          <w:shd w:val="clear" w:color="auto" w:fill="FFFFFF"/>
          <w:lang w:val="zh-CN" w:eastAsia="zh-CN" w:bidi="zh-CN"/>
        </w:rPr>
        <w:t>1．发包人和承包人双方的权利和义务</w:t>
      </w:r>
      <w:bookmarkEnd w:id="140"/>
      <w:bookmarkEnd w:id="141"/>
    </w:p>
    <w:p w14:paraId="2FE9823F">
      <w:pPr>
        <w:widowControl w:val="0"/>
        <w:numPr>
          <w:ilvl w:val="0"/>
          <w:numId w:val="0"/>
        </w:numPr>
        <w:shd w:val="clear" w:color="auto" w:fill="auto"/>
        <w:tabs>
          <w:tab w:val="left" w:pos="1386"/>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严格遵守党的政策规定和国家有关法律法规及交通运输部的有关规定。</w:t>
      </w:r>
    </w:p>
    <w:p w14:paraId="50AA1E66">
      <w:pPr>
        <w:widowControl w:val="0"/>
        <w:numPr>
          <w:ilvl w:val="0"/>
          <w:numId w:val="0"/>
        </w:numPr>
        <w:shd w:val="clear" w:color="auto" w:fill="auto"/>
        <w:tabs>
          <w:tab w:val="left" w:pos="1386"/>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(2)</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严格执行</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周鹿镇双联村龙勉、龙赖屯至龙卜屯硬化路及安防工程(项目名称）</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标段施工合同文件，自觉按合同办事。</w:t>
      </w:r>
    </w:p>
    <w:p w14:paraId="49A04B28">
      <w:pPr>
        <w:widowControl w:val="0"/>
        <w:numPr>
          <w:ilvl w:val="0"/>
          <w:numId w:val="0"/>
        </w:numPr>
        <w:shd w:val="clear" w:color="auto" w:fill="auto"/>
        <w:tabs>
          <w:tab w:val="left" w:pos="1273"/>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(3)</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双方的业务活动坚持公开、公正、诚信、透明的原则（法律认定的商业秘密和合同文件另有规定除外），不得损害国家和集体利益，不得违反工程建设管理规章制度。</w:t>
      </w:r>
    </w:p>
    <w:p w14:paraId="2B3720DC">
      <w:pPr>
        <w:widowControl w:val="0"/>
        <w:numPr>
          <w:ilvl w:val="0"/>
          <w:numId w:val="0"/>
        </w:numPr>
        <w:shd w:val="clear" w:color="auto" w:fill="auto"/>
        <w:tabs>
          <w:tab w:val="left" w:pos="1270"/>
        </w:tabs>
        <w:spacing w:before="0" w:line="360" w:lineRule="auto"/>
        <w:ind w:firstLine="440" w:firstLineChars="200"/>
        <w:jc w:val="left"/>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(4)</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建立健全廉政制度，开展廉政教育，设立廉政告示牌，公布举报电话，监督并认真查处违法违纪行为。</w:t>
      </w:r>
    </w:p>
    <w:p w14:paraId="75AA7BFB">
      <w:pPr>
        <w:widowControl w:val="0"/>
        <w:numPr>
          <w:ilvl w:val="0"/>
          <w:numId w:val="0"/>
        </w:numPr>
        <w:shd w:val="clear" w:color="auto" w:fill="auto"/>
        <w:tabs>
          <w:tab w:val="left" w:pos="1273"/>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(5)</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发现对方在业务活动中有违反廉政规定的行为，有及时提醒对方纠正的权利和义务。</w:t>
      </w:r>
    </w:p>
    <w:p w14:paraId="1AB257C4">
      <w:pPr>
        <w:widowControl w:val="0"/>
        <w:numPr>
          <w:ilvl w:val="0"/>
          <w:numId w:val="0"/>
        </w:numPr>
        <w:shd w:val="clear" w:color="auto" w:fill="auto"/>
        <w:tabs>
          <w:tab w:val="left" w:pos="1270"/>
        </w:tabs>
        <w:spacing w:before="0" w:line="360" w:lineRule="auto"/>
        <w:ind w:firstLine="440" w:firstLineChars="200"/>
        <w:jc w:val="left"/>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(6)</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发现对方严重违反本合同义务条款的行为，有向其上级有关部门举报、建议给予处理并要求告知处理结果的权利。</w:t>
      </w:r>
    </w:p>
    <w:p w14:paraId="697F44C2">
      <w:pPr>
        <w:keepNext/>
        <w:keepLines/>
        <w:widowControl w:val="0"/>
        <w:shd w:val="clear" w:color="auto" w:fill="auto"/>
        <w:tabs>
          <w:tab w:val="left" w:pos="1178"/>
        </w:tabs>
        <w:autoSpaceDE/>
        <w:autoSpaceDN/>
        <w:adjustRightInd/>
        <w:spacing w:before="0" w:after="0" w:line="360" w:lineRule="auto"/>
        <w:jc w:val="both"/>
        <w:outlineLvl w:val="9"/>
        <w:rPr>
          <w:rFonts w:hint="eastAsia" w:ascii="方正仿宋_GB2312" w:hAnsi="方正仿宋_GB2312" w:eastAsia="方正仿宋_GB2312" w:cs="方正仿宋_GB2312"/>
          <w:b/>
          <w:bCs/>
          <w:color w:val="auto"/>
          <w:spacing w:val="0"/>
          <w:kern w:val="2"/>
          <w:sz w:val="21"/>
          <w:szCs w:val="21"/>
          <w:highlight w:val="none"/>
          <w:shd w:val="clear" w:color="auto" w:fill="FFFFFF"/>
          <w:lang w:val="en-US" w:eastAsia="zh-CN" w:bidi="ar-SA"/>
        </w:rPr>
      </w:pPr>
      <w:bookmarkStart w:id="142" w:name="_Toc514786910"/>
      <w:bookmarkStart w:id="143" w:name="bookmark189"/>
      <w:r>
        <w:rPr>
          <w:rFonts w:hint="eastAsia" w:ascii="方正仿宋_GB2312" w:hAnsi="方正仿宋_GB2312" w:eastAsia="方正仿宋_GB2312" w:cs="方正仿宋_GB2312"/>
          <w:b/>
          <w:bCs/>
          <w:color w:val="auto"/>
          <w:spacing w:val="0"/>
          <w:w w:val="100"/>
          <w:kern w:val="2"/>
          <w:position w:val="0"/>
          <w:sz w:val="21"/>
          <w:szCs w:val="21"/>
          <w:highlight w:val="none"/>
          <w:u w:val="none"/>
          <w:shd w:val="clear" w:color="auto" w:fill="FFFFFF"/>
          <w:lang w:val="zh-CN" w:eastAsia="zh-CN" w:bidi="zh-CN"/>
        </w:rPr>
        <w:t>2．发包人的义务</w:t>
      </w:r>
      <w:bookmarkEnd w:id="142"/>
      <w:bookmarkEnd w:id="143"/>
    </w:p>
    <w:p w14:paraId="3B20851B">
      <w:pPr>
        <w:widowControl w:val="0"/>
        <w:shd w:val="clear" w:color="auto" w:fill="auto"/>
        <w:tabs>
          <w:tab w:val="left" w:pos="1251"/>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（1）发包人及其工作人员不得索要或接受承包人的礼金、有价证券和贵重物品，不得让承包人报销任何应由发包人或发包人工作人员个人支付的费用等。</w:t>
      </w:r>
    </w:p>
    <w:p w14:paraId="3ACC6ED0">
      <w:pPr>
        <w:widowControl w:val="0"/>
        <w:shd w:val="clear" w:color="auto" w:fill="auto"/>
        <w:tabs>
          <w:tab w:val="left" w:pos="1266"/>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（2）发包人工作人员不得参加承包人安排的超标准宴请和娱乐活动；不得接受承包人提供的通讯工具、交通工具和高档办公用品等。</w:t>
      </w:r>
    </w:p>
    <w:p w14:paraId="222C84EA">
      <w:pPr>
        <w:widowControl w:val="0"/>
        <w:shd w:val="clear" w:color="auto" w:fill="auto"/>
        <w:tabs>
          <w:tab w:val="left" w:pos="1268"/>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（3）发包人及其工作人员不得要求或者接受承包人为其住房装修、婚丧嫁娶活动、配偶子女的工作安排以及出国出境、旅游等提供方便等。</w:t>
      </w:r>
    </w:p>
    <w:p w14:paraId="622558AB">
      <w:pPr>
        <w:widowControl w:val="0"/>
        <w:shd w:val="clear" w:color="auto" w:fill="auto"/>
        <w:tabs>
          <w:tab w:val="left" w:pos="1270"/>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（4）发包人工作人员及其配偶、子女不得从事与发包人工程有关的材料设备供应、工程分包、劳务等经济活动等。</w:t>
      </w:r>
    </w:p>
    <w:p w14:paraId="163105DF">
      <w:pPr>
        <w:widowControl w:val="0"/>
        <w:shd w:val="clear" w:color="auto" w:fill="auto"/>
        <w:tabs>
          <w:tab w:val="left" w:pos="1268"/>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（5）发包人及其工作人员不得以任何理由向承包人推荐分包单位或推销材料， 不得要求承包人购买合同规定外的材料和设备。</w:t>
      </w:r>
    </w:p>
    <w:p w14:paraId="575E4271">
      <w:pPr>
        <w:widowControl w:val="0"/>
        <w:shd w:val="clear" w:color="auto" w:fill="auto"/>
        <w:tabs>
          <w:tab w:val="left" w:pos="1268"/>
        </w:tabs>
        <w:spacing w:before="0" w:line="360" w:lineRule="auto"/>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（6）发包人工作人员要秉公办事，不准营私舞弊，不准利用职权从事各种个人有偿中介活动和安排个人施工队伍。</w:t>
      </w:r>
    </w:p>
    <w:p w14:paraId="25BD0698">
      <w:pPr>
        <w:widowControl w:val="0"/>
        <w:shd w:val="clear" w:color="auto" w:fill="auto"/>
        <w:tabs>
          <w:tab w:val="left" w:pos="1268"/>
        </w:tabs>
        <w:spacing w:before="0" w:line="360" w:lineRule="auto"/>
        <w:jc w:val="both"/>
        <w:rPr>
          <w:rFonts w:hint="eastAsia" w:ascii="方正仿宋_GB2312" w:hAnsi="方正仿宋_GB2312" w:eastAsia="方正仿宋_GB2312" w:cs="方正仿宋_GB2312"/>
          <w:b/>
          <w:bCs/>
          <w:color w:val="auto"/>
          <w:spacing w:val="0"/>
          <w:kern w:val="2"/>
          <w:sz w:val="21"/>
          <w:szCs w:val="21"/>
          <w:highlight w:val="none"/>
          <w:lang w:val="en-US" w:eastAsia="zh-CN" w:bidi="ar-SA"/>
        </w:rPr>
      </w:pPr>
      <w:r>
        <w:rPr>
          <w:rFonts w:hint="eastAsia" w:ascii="方正仿宋_GB2312" w:hAnsi="方正仿宋_GB2312" w:eastAsia="方正仿宋_GB2312" w:cs="方正仿宋_GB2312"/>
          <w:b/>
          <w:bCs/>
          <w:color w:val="auto"/>
          <w:spacing w:val="0"/>
          <w:w w:val="100"/>
          <w:kern w:val="2"/>
          <w:position w:val="0"/>
          <w:sz w:val="21"/>
          <w:szCs w:val="21"/>
          <w:highlight w:val="none"/>
          <w:u w:val="none"/>
          <w:lang w:val="zh-CN" w:eastAsia="zh-CN" w:bidi="zh-CN"/>
        </w:rPr>
        <w:t>3．承包人的义务</w:t>
      </w:r>
    </w:p>
    <w:p w14:paraId="780DFD9F">
      <w:pPr>
        <w:widowControl w:val="0"/>
        <w:numPr>
          <w:ilvl w:val="0"/>
          <w:numId w:val="0"/>
        </w:numPr>
        <w:shd w:val="clear" w:color="auto" w:fill="auto"/>
        <w:tabs>
          <w:tab w:val="left" w:pos="1275"/>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承包人不得以任何理由向发包人及其工作人员行贿或馈赠礼金、有价证券、贵重礼品。</w:t>
      </w:r>
    </w:p>
    <w:p w14:paraId="550B3513">
      <w:pPr>
        <w:widowControl w:val="0"/>
        <w:numPr>
          <w:ilvl w:val="0"/>
          <w:numId w:val="0"/>
        </w:numPr>
        <w:shd w:val="clear" w:color="auto" w:fill="auto"/>
        <w:tabs>
          <w:tab w:val="left" w:pos="1270"/>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(2)</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承包人不得以任何名义为发包人及其工作人员报销应由发包人单位或个人支付的任何费用。</w:t>
      </w:r>
    </w:p>
    <w:p w14:paraId="1B5FA717">
      <w:pPr>
        <w:widowControl w:val="0"/>
        <w:numPr>
          <w:ilvl w:val="0"/>
          <w:numId w:val="0"/>
        </w:numPr>
        <w:shd w:val="clear" w:color="auto" w:fill="auto"/>
        <w:tabs>
          <w:tab w:val="left" w:pos="1389"/>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(3)</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承包人不得以任何理由安排发包人工作人员参加超标准宴请及娱乐活动。</w:t>
      </w:r>
    </w:p>
    <w:p w14:paraId="0672C1C3">
      <w:pPr>
        <w:widowControl w:val="0"/>
        <w:numPr>
          <w:ilvl w:val="0"/>
          <w:numId w:val="0"/>
        </w:numPr>
        <w:shd w:val="clear" w:color="auto" w:fill="auto"/>
        <w:tabs>
          <w:tab w:val="left" w:pos="1266"/>
        </w:tabs>
        <w:spacing w:before="0" w:line="360" w:lineRule="auto"/>
        <w:ind w:firstLine="44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(4)</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承包人不得为发包人单位和个人购置或提供通信工具、交通工具和高档办公用品等。</w:t>
      </w:r>
    </w:p>
    <w:p w14:paraId="32264E0A">
      <w:pPr>
        <w:widowControl w:val="0"/>
        <w:shd w:val="clear" w:color="auto" w:fill="auto"/>
        <w:tabs>
          <w:tab w:val="left" w:pos="1154"/>
        </w:tabs>
        <w:autoSpaceDE/>
        <w:autoSpaceDN/>
        <w:adjustRightInd/>
        <w:spacing w:line="398" w:lineRule="exact"/>
        <w:jc w:val="both"/>
        <w:rPr>
          <w:rFonts w:hint="eastAsia" w:ascii="方正仿宋_GB2312" w:hAnsi="方正仿宋_GB2312" w:eastAsia="方正仿宋_GB2312" w:cs="方正仿宋_GB2312"/>
          <w:b/>
          <w:bCs/>
          <w:color w:val="auto"/>
          <w:spacing w:val="0"/>
          <w:kern w:val="2"/>
          <w:sz w:val="21"/>
          <w:szCs w:val="21"/>
          <w:highlight w:val="none"/>
          <w:shd w:val="clear" w:color="auto" w:fill="FFFFFF"/>
          <w:lang w:val="en-US" w:eastAsia="zh-CN" w:bidi="ar-SA"/>
        </w:rPr>
      </w:pPr>
      <w:r>
        <w:rPr>
          <w:rFonts w:hint="eastAsia" w:ascii="方正仿宋_GB2312" w:hAnsi="方正仿宋_GB2312" w:eastAsia="方正仿宋_GB2312" w:cs="方正仿宋_GB2312"/>
          <w:b/>
          <w:bCs/>
          <w:color w:val="auto"/>
          <w:spacing w:val="0"/>
          <w:w w:val="100"/>
          <w:kern w:val="2"/>
          <w:position w:val="0"/>
          <w:sz w:val="21"/>
          <w:szCs w:val="21"/>
          <w:highlight w:val="none"/>
          <w:u w:val="none"/>
          <w:shd w:val="clear" w:color="auto" w:fill="FFFFFF"/>
          <w:lang w:val="zh-CN" w:eastAsia="zh-CN" w:bidi="zh-CN"/>
        </w:rPr>
        <w:t>4．违约责任</w:t>
      </w:r>
    </w:p>
    <w:p w14:paraId="6BC95FD2">
      <w:pPr>
        <w:widowControl w:val="0"/>
        <w:shd w:val="clear" w:color="auto" w:fill="auto"/>
        <w:tabs>
          <w:tab w:val="left" w:pos="1270"/>
        </w:tabs>
        <w:spacing w:before="0" w:line="398"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（1）发包人及其工作人员违反本合同第1、2条，按管理权限，依据有关规定给予党纪、政纪或组织处理；涉嫌犯罪的，移交司法机关追究刑事责任；给承包人单位造成经济损失的，应予以赔偿。</w:t>
      </w:r>
    </w:p>
    <w:p w14:paraId="1A04AC76">
      <w:pPr>
        <w:widowControl w:val="0"/>
        <w:shd w:val="clear" w:color="auto" w:fill="auto"/>
        <w:tabs>
          <w:tab w:val="left" w:pos="1270"/>
        </w:tabs>
        <w:spacing w:before="0" w:line="398" w:lineRule="exact"/>
        <w:ind w:firstLine="420" w:firstLineChars="200"/>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 建设市场的处罚。</w:t>
      </w:r>
    </w:p>
    <w:p w14:paraId="2BCDA5B3">
      <w:pPr>
        <w:widowControl w:val="0"/>
        <w:shd w:val="clear" w:color="auto" w:fill="auto"/>
        <w:tabs>
          <w:tab w:val="left" w:pos="975"/>
        </w:tabs>
        <w:spacing w:before="0" w:line="360" w:lineRule="auto"/>
        <w:jc w:val="left"/>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6ABEA9A9">
      <w:pPr>
        <w:widowControl w:val="0"/>
        <w:shd w:val="clear" w:color="auto" w:fill="auto"/>
        <w:tabs>
          <w:tab w:val="left" w:pos="1154"/>
        </w:tabs>
        <w:spacing w:before="0" w:line="360" w:lineRule="auto"/>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6．本合同有效期为发包人和承包人签署之日起至全部工程完工后经交工验收合格、缺陷责任期满签发缺陷责任终止证书后失效。</w:t>
      </w:r>
    </w:p>
    <w:p w14:paraId="5DD5BBE1">
      <w:pPr>
        <w:widowControl w:val="0"/>
        <w:shd w:val="clear" w:color="auto" w:fill="auto"/>
        <w:tabs>
          <w:tab w:val="left" w:leader="underscore" w:pos="3373"/>
          <w:tab w:val="left" w:leader="underscore" w:pos="5307"/>
        </w:tabs>
        <w:spacing w:before="0" w:line="360" w:lineRule="auto"/>
        <w:jc w:val="both"/>
        <w:rPr>
          <w:rFonts w:hint="eastAsia" w:ascii="方正仿宋_GB2312" w:hAnsi="方正仿宋_GB2312" w:eastAsia="方正仿宋_GB2312" w:cs="方正仿宋_GB2312"/>
          <w:color w:val="auto"/>
          <w:spacing w:val="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7．本合同作为</w:t>
      </w:r>
      <w:r>
        <w:rPr>
          <w:rFonts w:hint="eastAsia" w:ascii="方正仿宋_GB2312" w:hAnsi="方正仿宋_GB2312" w:eastAsia="方正仿宋_GB2312" w:cs="方正仿宋_GB2312"/>
          <w:color w:val="auto"/>
          <w:spacing w:val="0"/>
          <w:w w:val="100"/>
          <w:kern w:val="2"/>
          <w:position w:val="0"/>
          <w:sz w:val="21"/>
          <w:szCs w:val="21"/>
          <w:highlight w:val="none"/>
          <w:u w:val="single"/>
          <w:shd w:val="clear" w:color="auto" w:fill="FFFFFF"/>
          <w:lang w:val="zh-CN" w:eastAsia="zh-CN" w:bidi="zh-CN"/>
        </w:rPr>
        <w:t>周鹿镇双联村龙勉、龙赖屯至龙卜屯硬化路及安防工程</w:t>
      </w: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 xml:space="preserve"> (项目名称）施工合同的附件，与工程施工合同具有同等的法律效力，经合同双方签署后立即生效。</w:t>
      </w:r>
    </w:p>
    <w:p w14:paraId="27291D80">
      <w:pPr>
        <w:widowControl w:val="0"/>
        <w:shd w:val="clear" w:color="auto" w:fill="auto"/>
        <w:tabs>
          <w:tab w:val="left" w:pos="978"/>
        </w:tabs>
        <w:spacing w:before="0" w:line="360" w:lineRule="auto"/>
        <w:jc w:val="left"/>
        <w:rPr>
          <w:rFonts w:hint="eastAsia" w:ascii="方正仿宋_GB2312" w:hAnsi="方正仿宋_GB2312" w:eastAsia="方正仿宋_GB2312" w:cs="方正仿宋_GB2312"/>
          <w:color w:val="auto"/>
          <w:spacing w:val="20"/>
          <w:kern w:val="2"/>
          <w:sz w:val="21"/>
          <w:szCs w:val="21"/>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1"/>
          <w:szCs w:val="21"/>
          <w:highlight w:val="none"/>
          <w:u w:val="none"/>
          <w:shd w:val="clear" w:color="auto" w:fill="FFFFFF"/>
          <w:lang w:val="zh-CN" w:eastAsia="zh-CN" w:bidi="zh-CN"/>
        </w:rPr>
        <w:t>8．本合同一式四份，由发包人和承包人各执一份，送交发包人和承包人的监督单位各一份。</w:t>
      </w:r>
    </w:p>
    <w:p w14:paraId="0FCA31ED">
      <w:pPr>
        <w:widowControl w:val="0"/>
        <w:shd w:val="clear" w:color="auto" w:fill="auto"/>
        <w:tabs>
          <w:tab w:val="left" w:pos="978"/>
        </w:tabs>
        <w:spacing w:before="0" w:line="398" w:lineRule="exact"/>
        <w:jc w:val="left"/>
        <w:rPr>
          <w:rFonts w:hint="eastAsia" w:ascii="方正仿宋_GB2312" w:hAnsi="方正仿宋_GB2312" w:eastAsia="方正仿宋_GB2312" w:cs="方正仿宋_GB2312"/>
          <w:color w:val="auto"/>
          <w:spacing w:val="0"/>
          <w:kern w:val="2"/>
          <w:sz w:val="21"/>
          <w:szCs w:val="21"/>
          <w:highlight w:val="none"/>
          <w:lang w:val="en-US" w:eastAsia="zh-CN" w:bidi="ar-SA"/>
        </w:rPr>
      </w:pPr>
    </w:p>
    <w:p w14:paraId="75178755">
      <w:pPr>
        <w:spacing w:line="360" w:lineRule="auto"/>
        <w:ind w:firstLine="210" w:firstLineChars="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甲  方：</w:t>
      </w:r>
      <w:r>
        <w:rPr>
          <w:rFonts w:hint="eastAsia" w:ascii="方正仿宋_GB2312" w:hAnsi="方正仿宋_GB2312" w:eastAsia="方正仿宋_GB2312" w:cs="方正仿宋_GB2312"/>
          <w:color w:val="auto"/>
          <w:sz w:val="21"/>
          <w:szCs w:val="21"/>
          <w:highlight w:val="none"/>
          <w:u w:val="single"/>
          <w:lang w:eastAsia="zh-CN"/>
        </w:rPr>
        <w:t>马山县周鹿镇人民政府</w:t>
      </w:r>
      <w:r>
        <w:rPr>
          <w:rFonts w:hint="eastAsia" w:ascii="方正仿宋_GB2312" w:hAnsi="方正仿宋_GB2312" w:eastAsia="方正仿宋_GB2312" w:cs="方正仿宋_GB2312"/>
          <w:color w:val="auto"/>
          <w:sz w:val="21"/>
          <w:szCs w:val="21"/>
          <w:highlight w:val="none"/>
          <w:lang w:eastAsia="zh-CN"/>
        </w:rPr>
        <w:t>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乙</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 方：</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p>
    <w:p w14:paraId="47A469B3">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法定代表人或其</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法定代人或其</w:t>
      </w:r>
    </w:p>
    <w:p w14:paraId="00FAC1E2">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授权的代理人：</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授权的代理人：</w:t>
      </w:r>
      <w:r>
        <w:rPr>
          <w:rFonts w:hint="eastAsia" w:ascii="方正仿宋_GB2312" w:hAnsi="方正仿宋_GB2312" w:eastAsia="方正仿宋_GB2312" w:cs="方正仿宋_GB2312"/>
          <w:color w:val="auto"/>
          <w:sz w:val="21"/>
          <w:szCs w:val="21"/>
          <w:highlight w:val="none"/>
          <w:u w:val="single"/>
        </w:rPr>
        <w:t xml:space="preserve">            </w:t>
      </w:r>
    </w:p>
    <w:p w14:paraId="245174D3">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职  务：</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职  务：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09FCF434">
      <w:pPr>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姓  名：</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姓  名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09C3CE54">
      <w:pPr>
        <w:spacing w:line="360" w:lineRule="auto"/>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 xml:space="preserve">  签  字：</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签  字：</w:t>
      </w:r>
      <w:r>
        <w:rPr>
          <w:rFonts w:hint="eastAsia" w:ascii="方正仿宋_GB2312" w:hAnsi="方正仿宋_GB2312" w:eastAsia="方正仿宋_GB2312" w:cs="方正仿宋_GB2312"/>
          <w:color w:val="auto"/>
          <w:sz w:val="21"/>
          <w:szCs w:val="21"/>
          <w:highlight w:val="none"/>
          <w:u w:val="single"/>
        </w:rPr>
        <w:t xml:space="preserve">                  </w:t>
      </w:r>
    </w:p>
    <w:p w14:paraId="4F78B985">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地  址：</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地</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  址：</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0250A5B6">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日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日</w:t>
      </w:r>
    </w:p>
    <w:p w14:paraId="4377DD8A">
      <w:pPr>
        <w:widowControl w:val="0"/>
        <w:shd w:val="clear" w:color="auto" w:fill="auto"/>
        <w:tabs>
          <w:tab w:val="left" w:leader="underscore" w:pos="2153"/>
          <w:tab w:val="left" w:leader="underscore" w:pos="2993"/>
          <w:tab w:val="left" w:leader="underscore" w:pos="3833"/>
        </w:tabs>
        <w:spacing w:before="0" w:line="360" w:lineRule="auto"/>
        <w:ind w:right="660" w:firstLine="250" w:firstLineChars="100"/>
        <w:jc w:val="left"/>
        <w:rPr>
          <w:rFonts w:hint="eastAsia" w:ascii="方正仿宋_GB2312" w:hAnsi="方正仿宋_GB2312" w:eastAsia="方正仿宋_GB2312" w:cs="方正仿宋_GB2312"/>
          <w:color w:val="auto"/>
          <w:spacing w:val="20"/>
          <w:kern w:val="2"/>
          <w:sz w:val="21"/>
          <w:szCs w:val="21"/>
          <w:highlight w:val="none"/>
          <w:lang w:val="en-US" w:eastAsia="zh-CN" w:bidi="ar-SA"/>
        </w:rPr>
      </w:pPr>
      <w:r>
        <w:rPr>
          <w:rFonts w:hint="eastAsia" w:ascii="方正仿宋_GB2312" w:hAnsi="方正仿宋_GB2312" w:eastAsia="方正仿宋_GB2312" w:cs="方正仿宋_GB2312"/>
          <w:color w:val="auto"/>
          <w:spacing w:val="20"/>
          <w:kern w:val="2"/>
          <w:sz w:val="21"/>
          <w:szCs w:val="21"/>
          <w:highlight w:val="none"/>
          <w:lang w:val="en-US" w:eastAsia="zh-CN" w:bidi="ar-SA"/>
        </w:rPr>
        <w:t>甲方监督单位：</w:t>
      </w:r>
      <w:r>
        <w:rPr>
          <w:rFonts w:hint="eastAsia" w:ascii="方正仿宋_GB2312" w:hAnsi="方正仿宋_GB2312" w:eastAsia="方正仿宋_GB2312" w:cs="方正仿宋_GB2312"/>
          <w:color w:val="auto"/>
          <w:spacing w:val="20"/>
          <w:kern w:val="2"/>
          <w:sz w:val="21"/>
          <w:szCs w:val="21"/>
          <w:highlight w:val="none"/>
          <w:u w:val="single"/>
          <w:lang w:val="en-US" w:eastAsia="zh-CN" w:bidi="ar-SA"/>
        </w:rPr>
        <w:t xml:space="preserve">        </w:t>
      </w:r>
      <w:r>
        <w:rPr>
          <w:rFonts w:hint="eastAsia" w:ascii="方正仿宋_GB2312" w:hAnsi="方正仿宋_GB2312" w:eastAsia="方正仿宋_GB2312" w:cs="方正仿宋_GB2312"/>
          <w:color w:val="auto"/>
          <w:spacing w:val="20"/>
          <w:kern w:val="2"/>
          <w:sz w:val="21"/>
          <w:szCs w:val="21"/>
          <w:highlight w:val="none"/>
          <w:lang w:val="en-US" w:eastAsia="zh-CN" w:bidi="ar-SA"/>
        </w:rPr>
        <w:t xml:space="preserve">          乙方监督单位：</w:t>
      </w:r>
      <w:r>
        <w:rPr>
          <w:rFonts w:hint="eastAsia" w:ascii="方正仿宋_GB2312" w:hAnsi="方正仿宋_GB2312" w:eastAsia="方正仿宋_GB2312" w:cs="方正仿宋_GB2312"/>
          <w:color w:val="auto"/>
          <w:spacing w:val="20"/>
          <w:kern w:val="2"/>
          <w:sz w:val="21"/>
          <w:szCs w:val="21"/>
          <w:highlight w:val="none"/>
          <w:u w:val="single"/>
          <w:lang w:val="en-US" w:eastAsia="zh-CN" w:bidi="ar-SA"/>
        </w:rPr>
        <w:t xml:space="preserve">        </w:t>
      </w:r>
    </w:p>
    <w:p w14:paraId="77783CFD">
      <w:pPr>
        <w:spacing w:line="360" w:lineRule="auto"/>
        <w:jc w:val="center"/>
        <w:outlineLvl w:val="9"/>
        <w:rPr>
          <w:rFonts w:hint="eastAsia" w:ascii="方正仿宋_GB2312" w:hAnsi="方正仿宋_GB2312" w:eastAsia="方正仿宋_GB2312" w:cs="方正仿宋_GB2312"/>
          <w:b/>
          <w:bCs/>
          <w:color w:val="auto"/>
          <w:spacing w:val="0"/>
          <w:highlight w:val="none"/>
        </w:rPr>
      </w:pPr>
      <w:bookmarkStart w:id="144" w:name="_Toc511595195"/>
      <w:bookmarkStart w:id="145" w:name="_Toc508779711"/>
      <w:bookmarkStart w:id="146" w:name="_Toc428"/>
      <w:r>
        <w:rPr>
          <w:rFonts w:hint="eastAsia" w:ascii="方正仿宋_GB2312" w:hAnsi="方正仿宋_GB2312" w:eastAsia="方正仿宋_GB2312" w:cs="方正仿宋_GB2312"/>
          <w:color w:val="auto"/>
          <w:sz w:val="21"/>
          <w:szCs w:val="21"/>
          <w:highlight w:val="none"/>
        </w:rPr>
        <w:br w:type="page"/>
      </w:r>
      <w:bookmarkEnd w:id="139"/>
      <w:bookmarkEnd w:id="144"/>
      <w:bookmarkEnd w:id="145"/>
      <w:bookmarkEnd w:id="146"/>
      <w:bookmarkStart w:id="147" w:name="_Toc514786912"/>
      <w:bookmarkStart w:id="148" w:name="bookmark191"/>
      <w:r>
        <w:rPr>
          <w:rFonts w:hint="eastAsia" w:ascii="方正仿宋_GB2312" w:hAnsi="方正仿宋_GB2312" w:eastAsia="方正仿宋_GB2312" w:cs="方正仿宋_GB2312"/>
          <w:b/>
          <w:bCs/>
          <w:color w:val="auto"/>
          <w:spacing w:val="0"/>
          <w:w w:val="100"/>
          <w:position w:val="0"/>
          <w:sz w:val="36"/>
          <w:szCs w:val="36"/>
          <w:highlight w:val="none"/>
          <w:u w:val="none"/>
          <w:shd w:val="clear" w:color="auto" w:fill="FFFFFF"/>
          <w:lang w:val="zh-CN"/>
        </w:rPr>
        <w:t>安全生产合同</w:t>
      </w:r>
      <w:bookmarkEnd w:id="147"/>
      <w:bookmarkEnd w:id="148"/>
    </w:p>
    <w:p w14:paraId="022DE594">
      <w:pPr>
        <w:widowControl w:val="0"/>
        <w:shd w:val="clear" w:color="auto" w:fill="auto"/>
        <w:tabs>
          <w:tab w:val="left" w:leader="underscore" w:pos="2726"/>
          <w:tab w:val="left" w:leader="underscore" w:pos="4730"/>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为在</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zh-CN" w:eastAsia="zh-CN" w:bidi="zh-CN"/>
        </w:rPr>
        <w:t>周鹿镇双联村龙勉、龙赖屯至龙卜屯硬化路及安防工程</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(项目名称）施工合同的实施过程中创造安全、高效的施工环境，切实搞好本项目的安全管理工作，本项目发包人</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zh-CN" w:eastAsia="zh-CN" w:bidi="zh-CN"/>
        </w:rPr>
        <w:t>马山县周鹿镇人民政府</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(发包人名称，以下简称“发包人”）与承包人</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zh-CN" w:eastAsia="zh-CN" w:bidi="zh-CN"/>
        </w:rPr>
        <w:tab/>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(承包人名称，以下简称“承包人”）特此签订安全生产合同：</w:t>
      </w:r>
    </w:p>
    <w:p w14:paraId="1F6FAC4B">
      <w:pPr>
        <w:keepNext/>
        <w:keepLines/>
        <w:widowControl w:val="0"/>
        <w:shd w:val="clear" w:color="auto" w:fill="auto"/>
        <w:tabs>
          <w:tab w:val="left" w:pos="994"/>
        </w:tabs>
        <w:autoSpaceDE/>
        <w:autoSpaceDN/>
        <w:adjustRightInd/>
        <w:spacing w:before="0" w:after="0" w:line="389" w:lineRule="exact"/>
        <w:jc w:val="both"/>
        <w:outlineLvl w:val="9"/>
        <w:rPr>
          <w:rFonts w:hint="eastAsia" w:ascii="方正仿宋_GB2312" w:hAnsi="方正仿宋_GB2312" w:eastAsia="方正仿宋_GB2312" w:cs="方正仿宋_GB2312"/>
          <w:b/>
          <w:bCs/>
          <w:color w:val="auto"/>
          <w:spacing w:val="0"/>
          <w:kern w:val="2"/>
          <w:sz w:val="22"/>
          <w:szCs w:val="22"/>
          <w:highlight w:val="none"/>
          <w:shd w:val="clear" w:color="auto" w:fill="FFFFFF"/>
          <w:lang w:val="en-US" w:eastAsia="zh-CN" w:bidi="ar-SA"/>
        </w:rPr>
      </w:pPr>
      <w:bookmarkStart w:id="149" w:name="bookmark192"/>
      <w:bookmarkStart w:id="150" w:name="_Toc514786913"/>
      <w:r>
        <w:rPr>
          <w:rFonts w:hint="eastAsia" w:ascii="方正仿宋_GB2312" w:hAnsi="方正仿宋_GB2312" w:eastAsia="方正仿宋_GB2312" w:cs="方正仿宋_GB2312"/>
          <w:b/>
          <w:bCs/>
          <w:color w:val="auto"/>
          <w:spacing w:val="0"/>
          <w:w w:val="100"/>
          <w:kern w:val="2"/>
          <w:position w:val="0"/>
          <w:sz w:val="22"/>
          <w:szCs w:val="22"/>
          <w:highlight w:val="none"/>
          <w:u w:val="none"/>
          <w:shd w:val="clear" w:color="auto" w:fill="FFFFFF"/>
          <w:lang w:val="zh-CN" w:eastAsia="zh-CN" w:bidi="zh-CN"/>
        </w:rPr>
        <w:t>1．发包人职责</w:t>
      </w:r>
      <w:bookmarkEnd w:id="149"/>
      <w:bookmarkEnd w:id="150"/>
    </w:p>
    <w:p w14:paraId="11A8AC28">
      <w:pPr>
        <w:widowControl w:val="0"/>
        <w:numPr>
          <w:ilvl w:val="0"/>
          <w:numId w:val="0"/>
        </w:numPr>
        <w:shd w:val="clear" w:color="auto" w:fill="auto"/>
        <w:tabs>
          <w:tab w:val="left" w:pos="1268"/>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严格遵守国家有关安全生产的法律法规，认真执行工程承包合同中的有关安全要求。</w:t>
      </w:r>
    </w:p>
    <w:p w14:paraId="0E708FE9">
      <w:pPr>
        <w:widowControl w:val="0"/>
        <w:numPr>
          <w:ilvl w:val="0"/>
          <w:numId w:val="0"/>
        </w:numPr>
        <w:shd w:val="clear" w:color="auto" w:fill="auto"/>
        <w:tabs>
          <w:tab w:val="left" w:pos="1273"/>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(2)</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按照“安全第一、预防为主”和坚持“管生产必须管安全”的原则进行安全生产管理，做到生产与安全工作同时计划、布置、检查、总结和评比。</w:t>
      </w:r>
    </w:p>
    <w:p w14:paraId="41F6C7EE">
      <w:pPr>
        <w:widowControl w:val="0"/>
        <w:numPr>
          <w:ilvl w:val="0"/>
          <w:numId w:val="0"/>
        </w:numPr>
        <w:shd w:val="clear" w:color="auto" w:fill="auto"/>
        <w:tabs>
          <w:tab w:val="left" w:pos="1263"/>
        </w:tabs>
        <w:spacing w:before="0" w:line="389" w:lineRule="exact"/>
        <w:ind w:firstLine="440" w:firstLineChars="200"/>
        <w:jc w:val="left"/>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(3)</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重要的安全设施必须坚持与主体工程“三同时”的原则：同时设计、 审批，同时施工，同时验收，投入使用。</w:t>
      </w:r>
    </w:p>
    <w:p w14:paraId="4B1ECDD2">
      <w:pPr>
        <w:widowControl w:val="0"/>
        <w:numPr>
          <w:ilvl w:val="0"/>
          <w:numId w:val="0"/>
        </w:numPr>
        <w:shd w:val="clear" w:color="auto" w:fill="auto"/>
        <w:tabs>
          <w:tab w:val="left" w:pos="1311"/>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(4)</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定期召开安全生产调度会，及时传达中央及地方有关安全生产的精神。</w:t>
      </w:r>
    </w:p>
    <w:p w14:paraId="2EE93A7F">
      <w:pPr>
        <w:widowControl w:val="0"/>
        <w:numPr>
          <w:ilvl w:val="0"/>
          <w:numId w:val="0"/>
        </w:numPr>
        <w:shd w:val="clear" w:color="auto" w:fill="auto"/>
        <w:tabs>
          <w:tab w:val="left" w:pos="1273"/>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(5)</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组织对承包人施工现场进行安全生产检查，监督承包人及时处理发现的各种安全隐患。</w:t>
      </w:r>
    </w:p>
    <w:p w14:paraId="003898AC">
      <w:pPr>
        <w:keepNext/>
        <w:keepLines/>
        <w:widowControl w:val="0"/>
        <w:shd w:val="clear" w:color="auto" w:fill="auto"/>
        <w:tabs>
          <w:tab w:val="left" w:pos="1018"/>
        </w:tabs>
        <w:autoSpaceDE/>
        <w:autoSpaceDN/>
        <w:adjustRightInd/>
        <w:spacing w:before="0" w:after="0" w:line="389" w:lineRule="exact"/>
        <w:jc w:val="both"/>
        <w:outlineLvl w:val="9"/>
        <w:rPr>
          <w:rFonts w:hint="eastAsia" w:ascii="方正仿宋_GB2312" w:hAnsi="方正仿宋_GB2312" w:eastAsia="方正仿宋_GB2312" w:cs="方正仿宋_GB2312"/>
          <w:b/>
          <w:bCs/>
          <w:color w:val="auto"/>
          <w:spacing w:val="0"/>
          <w:kern w:val="2"/>
          <w:sz w:val="22"/>
          <w:szCs w:val="22"/>
          <w:highlight w:val="none"/>
          <w:shd w:val="clear" w:color="auto" w:fill="FFFFFF"/>
          <w:lang w:val="en-US" w:eastAsia="zh-CN" w:bidi="ar-SA"/>
        </w:rPr>
      </w:pPr>
      <w:bookmarkStart w:id="151" w:name="_Toc514786914"/>
      <w:bookmarkStart w:id="152" w:name="bookmark193"/>
      <w:r>
        <w:rPr>
          <w:rFonts w:hint="eastAsia" w:ascii="方正仿宋_GB2312" w:hAnsi="方正仿宋_GB2312" w:eastAsia="方正仿宋_GB2312" w:cs="方正仿宋_GB2312"/>
          <w:b/>
          <w:bCs/>
          <w:color w:val="auto"/>
          <w:spacing w:val="0"/>
          <w:w w:val="100"/>
          <w:kern w:val="2"/>
          <w:position w:val="0"/>
          <w:sz w:val="22"/>
          <w:szCs w:val="22"/>
          <w:highlight w:val="none"/>
          <w:u w:val="none"/>
          <w:shd w:val="clear" w:color="auto" w:fill="FFFFFF"/>
          <w:lang w:val="zh-CN" w:eastAsia="zh-CN" w:bidi="zh-CN"/>
        </w:rPr>
        <w:t>2．承包人职责</w:t>
      </w:r>
      <w:bookmarkEnd w:id="151"/>
      <w:bookmarkEnd w:id="152"/>
    </w:p>
    <w:p w14:paraId="124D86BB">
      <w:pPr>
        <w:widowControl w:val="0"/>
        <w:numPr>
          <w:ilvl w:val="0"/>
          <w:numId w:val="0"/>
        </w:numPr>
        <w:shd w:val="clear" w:color="auto" w:fill="auto"/>
        <w:tabs>
          <w:tab w:val="left" w:pos="1270"/>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严格遵守《中华人民共和国安全生产法》、《建设工程安全生产管理条例》 等国家有关安全生产的法律法规、《公路水运工程安全生产监督管理办法》和《公路工程施工安全技术规范》等有关安全生产的规定。认真执行工程承包合同中的有关安全要求。</w:t>
      </w:r>
    </w:p>
    <w:p w14:paraId="4CFF1CDA">
      <w:pPr>
        <w:widowControl w:val="0"/>
        <w:numPr>
          <w:ilvl w:val="0"/>
          <w:numId w:val="0"/>
        </w:numPr>
        <w:shd w:val="clear" w:color="auto" w:fill="auto"/>
        <w:tabs>
          <w:tab w:val="left" w:pos="1275"/>
        </w:tabs>
        <w:spacing w:before="0" w:line="389" w:lineRule="exact"/>
        <w:ind w:firstLine="440" w:firstLineChars="200"/>
        <w:jc w:val="left"/>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(2)</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 各级领导、工程技术人员、生产管理人员和具体操作人员，必须熟悉和遵守本合同的各项规定，做到生产与安全工作同时计划、布置、检查、总结和评比。</w:t>
      </w:r>
    </w:p>
    <w:p w14:paraId="22BE2629">
      <w:pPr>
        <w:widowControl w:val="0"/>
        <w:numPr>
          <w:ilvl w:val="0"/>
          <w:numId w:val="0"/>
        </w:numPr>
        <w:shd w:val="clear" w:color="auto" w:fill="auto"/>
        <w:tabs>
          <w:tab w:val="left" w:pos="1275"/>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(3)</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 护性措施防止事故发生。</w:t>
      </w:r>
    </w:p>
    <w:p w14:paraId="4242228B">
      <w:pPr>
        <w:widowControl w:val="0"/>
        <w:numPr>
          <w:ilvl w:val="0"/>
          <w:numId w:val="0"/>
        </w:numPr>
        <w:shd w:val="clear" w:color="auto" w:fill="auto"/>
        <w:tabs>
          <w:tab w:val="left" w:pos="531"/>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(4)</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承包人在任何时候都应采取各种合理的预防措施，防止其员工发生任何违法、违禁、暴力或妨碍治安的行为。</w:t>
      </w:r>
    </w:p>
    <w:p w14:paraId="0D3E002A">
      <w:pPr>
        <w:widowControl w:val="0"/>
        <w:numPr>
          <w:ilvl w:val="0"/>
          <w:numId w:val="0"/>
        </w:numPr>
        <w:shd w:val="clear" w:color="auto" w:fill="auto"/>
        <w:tabs>
          <w:tab w:val="left" w:pos="1273"/>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(5)</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承包人必须具有劳动安全管理部门颁发的安全生产考核合格证书，参加施工的人员，必须接受安全技术教育，熟知和遵守本工种的各项安全技术操作规程，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B84AE44">
      <w:pPr>
        <w:widowControl w:val="0"/>
        <w:numPr>
          <w:ilvl w:val="0"/>
          <w:numId w:val="0"/>
        </w:numPr>
        <w:shd w:val="clear" w:color="auto" w:fill="auto"/>
        <w:tabs>
          <w:tab w:val="left" w:pos="1273"/>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(6)</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7EC62A0">
      <w:pPr>
        <w:widowControl w:val="0"/>
        <w:numPr>
          <w:ilvl w:val="0"/>
          <w:numId w:val="0"/>
        </w:numPr>
        <w:shd w:val="clear" w:color="auto" w:fill="auto"/>
        <w:tabs>
          <w:tab w:val="left" w:pos="1261"/>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(7)</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操作人员上岗，必须按规定穿戴防护用品。施工负责人和安全检查员应随时检查劳动防护用品的穿戴情况，不按规定穿戴防护用品的人员不得上岗。</w:t>
      </w:r>
    </w:p>
    <w:p w14:paraId="099463E2">
      <w:pPr>
        <w:widowControl w:val="0"/>
        <w:numPr>
          <w:ilvl w:val="0"/>
          <w:numId w:val="0"/>
        </w:numPr>
        <w:shd w:val="clear" w:color="auto" w:fill="auto"/>
        <w:tabs>
          <w:tab w:val="left" w:pos="1273"/>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(8)</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所有施工机具设备和高空作业的设备均应定期检查，并有安全员的签字记录，保证其经常处于完好状态；不合格的机具、设备和劳动保护用品严禁使用。</w:t>
      </w:r>
    </w:p>
    <w:p w14:paraId="56A11503">
      <w:pPr>
        <w:widowControl w:val="0"/>
        <w:numPr>
          <w:ilvl w:val="0"/>
          <w:numId w:val="0"/>
        </w:numPr>
        <w:shd w:val="clear" w:color="auto" w:fill="auto"/>
        <w:tabs>
          <w:tab w:val="left" w:pos="1270"/>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(9)</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施工中采用新技术、新工艺、新设备、新材料时，必须制定相应的安全技术措施，施工现场必须具有相关的安全标志牌。</w:t>
      </w:r>
    </w:p>
    <w:p w14:paraId="68FD05D8">
      <w:pPr>
        <w:widowControl w:val="0"/>
        <w:numPr>
          <w:ilvl w:val="0"/>
          <w:numId w:val="0"/>
        </w:numPr>
        <w:shd w:val="clear" w:color="auto" w:fill="auto"/>
        <w:tabs>
          <w:tab w:val="left" w:pos="1390"/>
        </w:tabs>
        <w:spacing w:before="0" w:line="389" w:lineRule="exact"/>
        <w:ind w:firstLine="440" w:firstLineChars="200"/>
        <w:jc w:val="left"/>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(10)</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 严肃处理相关责任人。</w:t>
      </w:r>
    </w:p>
    <w:p w14:paraId="7619D7BD">
      <w:pPr>
        <w:widowControl w:val="0"/>
        <w:numPr>
          <w:ilvl w:val="0"/>
          <w:numId w:val="0"/>
        </w:numPr>
        <w:shd w:val="clear" w:color="auto" w:fill="auto"/>
        <w:tabs>
          <w:tab w:val="left" w:pos="1390"/>
        </w:tabs>
        <w:spacing w:before="0" w:line="389" w:lineRule="exact"/>
        <w:ind w:firstLine="440" w:firstLineChars="200"/>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b w:val="0"/>
          <w:bCs w:val="0"/>
          <w:i w:val="0"/>
          <w:iCs w:val="0"/>
          <w:smallCaps w:val="0"/>
          <w:strike w:val="0"/>
          <w:color w:val="auto"/>
          <w:spacing w:val="0"/>
          <w:w w:val="100"/>
          <w:kern w:val="2"/>
          <w:position w:val="0"/>
          <w:sz w:val="22"/>
          <w:szCs w:val="22"/>
          <w:highlight w:val="none"/>
          <w:u w:val="none"/>
          <w:shd w:val="clear" w:color="auto" w:fill="FFFFFF"/>
          <w:lang w:val="en-US" w:eastAsia="zh-CN" w:bidi="ar-SA"/>
        </w:rPr>
        <w:t>(11)</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安全生产费用按照《公路水运工程安全生产监督管理办法》的相关规定使用和管理。</w:t>
      </w:r>
    </w:p>
    <w:p w14:paraId="34EC43AC">
      <w:pPr>
        <w:widowControl w:val="0"/>
        <w:shd w:val="clear" w:color="auto" w:fill="auto"/>
        <w:tabs>
          <w:tab w:val="left" w:pos="994"/>
        </w:tabs>
        <w:autoSpaceDE/>
        <w:autoSpaceDN/>
        <w:adjustRightInd/>
        <w:spacing w:line="389" w:lineRule="exact"/>
        <w:jc w:val="both"/>
        <w:rPr>
          <w:rFonts w:hint="eastAsia" w:ascii="方正仿宋_GB2312" w:hAnsi="方正仿宋_GB2312" w:eastAsia="方正仿宋_GB2312" w:cs="方正仿宋_GB2312"/>
          <w:b/>
          <w:bCs/>
          <w:color w:val="auto"/>
          <w:spacing w:val="0"/>
          <w:kern w:val="2"/>
          <w:sz w:val="22"/>
          <w:szCs w:val="22"/>
          <w:highlight w:val="none"/>
          <w:shd w:val="clear" w:color="auto" w:fill="FFFFFF"/>
          <w:lang w:val="en-US" w:eastAsia="zh-CN" w:bidi="ar-SA"/>
        </w:rPr>
      </w:pPr>
      <w:r>
        <w:rPr>
          <w:rFonts w:hint="eastAsia" w:ascii="方正仿宋_GB2312" w:hAnsi="方正仿宋_GB2312" w:eastAsia="方正仿宋_GB2312" w:cs="方正仿宋_GB2312"/>
          <w:b/>
          <w:bCs/>
          <w:color w:val="auto"/>
          <w:spacing w:val="0"/>
          <w:w w:val="100"/>
          <w:kern w:val="2"/>
          <w:position w:val="0"/>
          <w:sz w:val="22"/>
          <w:szCs w:val="22"/>
          <w:highlight w:val="none"/>
          <w:u w:val="none"/>
          <w:shd w:val="clear" w:color="auto" w:fill="FFFFFF"/>
          <w:lang w:val="zh-CN" w:eastAsia="zh-CN" w:bidi="zh-CN"/>
        </w:rPr>
        <w:t>3．违约责任</w:t>
      </w:r>
    </w:p>
    <w:p w14:paraId="149F2919">
      <w:pPr>
        <w:widowControl w:val="0"/>
        <w:numPr>
          <w:ilvl w:val="0"/>
          <w:numId w:val="0"/>
        </w:numPr>
        <w:shd w:val="clear" w:color="auto" w:fill="auto"/>
        <w:tabs>
          <w:tab w:val="left" w:pos="1390"/>
        </w:tabs>
        <w:spacing w:before="0" w:line="389" w:lineRule="exact"/>
        <w:ind w:firstLine="440" w:firstLineChars="200"/>
        <w:jc w:val="both"/>
        <w:rPr>
          <w:rFonts w:hint="eastAsia" w:ascii="方正仿宋_GB2312" w:hAnsi="方正仿宋_GB2312" w:eastAsia="方正仿宋_GB2312" w:cs="方正仿宋_GB2312"/>
          <w:color w:val="auto"/>
          <w:spacing w:val="20"/>
          <w:kern w:val="2"/>
          <w:sz w:val="21"/>
          <w:szCs w:val="24"/>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如因发包人或承包人违约造成安全事故，将依法追究责任。</w:t>
      </w:r>
    </w:p>
    <w:p w14:paraId="377DE01B">
      <w:pPr>
        <w:widowControl w:val="0"/>
        <w:numPr>
          <w:ilvl w:val="0"/>
          <w:numId w:val="0"/>
        </w:numPr>
        <w:shd w:val="clear" w:color="auto" w:fill="auto"/>
        <w:tabs>
          <w:tab w:val="left" w:pos="1390"/>
        </w:tabs>
        <w:spacing w:before="0" w:line="389" w:lineRule="exact"/>
        <w:jc w:val="both"/>
        <w:rPr>
          <w:rFonts w:hint="eastAsia" w:ascii="方正仿宋_GB2312" w:hAnsi="方正仿宋_GB2312" w:eastAsia="方正仿宋_GB2312" w:cs="方正仿宋_GB2312"/>
          <w:color w:val="auto"/>
          <w:spacing w:val="20"/>
          <w:kern w:val="2"/>
          <w:sz w:val="21"/>
          <w:szCs w:val="24"/>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4．本合同由双方法定代表人或其授权的代理人签署并加盖单位章后生效，全部工程完工后经交工验收合格、缺陷责任期满签发缺陷责任终止证书后失效。</w:t>
      </w:r>
    </w:p>
    <w:p w14:paraId="65E5DC30">
      <w:pPr>
        <w:widowControl w:val="0"/>
        <w:shd w:val="clear" w:color="auto" w:fill="auto"/>
        <w:tabs>
          <w:tab w:val="left" w:leader="underscore" w:pos="3679"/>
          <w:tab w:val="left" w:leader="underscore" w:pos="7914"/>
        </w:tabs>
        <w:spacing w:before="0" w:line="389" w:lineRule="exact"/>
        <w:jc w:val="both"/>
        <w:rPr>
          <w:rFonts w:hint="eastAsia" w:ascii="方正仿宋_GB2312" w:hAnsi="方正仿宋_GB2312" w:eastAsia="方正仿宋_GB2312" w:cs="方正仿宋_GB2312"/>
          <w:color w:val="auto"/>
          <w:spacing w:val="0"/>
          <w:kern w:val="2"/>
          <w:sz w:val="21"/>
          <w:szCs w:val="24"/>
          <w:highlight w:val="none"/>
          <w:lang w:val="en-US" w:eastAsia="zh-CN" w:bidi="ar-SA"/>
        </w:rPr>
      </w:pP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5．本合同正本二份、副本</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份，合同双方各执正本一份，副本</w:t>
      </w:r>
      <w:r>
        <w:rPr>
          <w:rFonts w:hint="eastAsia" w:ascii="方正仿宋_GB2312" w:hAnsi="方正仿宋_GB2312" w:eastAsia="方正仿宋_GB2312" w:cs="方正仿宋_GB2312"/>
          <w:color w:val="auto"/>
          <w:spacing w:val="0"/>
          <w:w w:val="100"/>
          <w:kern w:val="2"/>
          <w:position w:val="0"/>
          <w:sz w:val="22"/>
          <w:szCs w:val="22"/>
          <w:highlight w:val="none"/>
          <w:u w:val="single"/>
          <w:shd w:val="clear" w:color="auto" w:fill="FFFFFF"/>
          <w:lang w:val="en-US" w:eastAsia="zh-CN" w:bidi="zh-CN"/>
        </w:rPr>
        <w:t xml:space="preserve">   </w:t>
      </w:r>
      <w:r>
        <w:rPr>
          <w:rFonts w:hint="eastAsia" w:ascii="方正仿宋_GB2312" w:hAnsi="方正仿宋_GB2312" w:eastAsia="方正仿宋_GB2312" w:cs="方正仿宋_GB2312"/>
          <w:color w:val="auto"/>
          <w:spacing w:val="0"/>
          <w:w w:val="100"/>
          <w:kern w:val="2"/>
          <w:position w:val="0"/>
          <w:sz w:val="22"/>
          <w:szCs w:val="22"/>
          <w:highlight w:val="none"/>
          <w:u w:val="none"/>
          <w:shd w:val="clear" w:color="auto" w:fill="FFFFFF"/>
          <w:lang w:val="zh-CN" w:eastAsia="zh-CN" w:bidi="zh-CN"/>
        </w:rPr>
        <w:t>份，当正本与副本的内容不一致时，以正本为准。</w:t>
      </w:r>
    </w:p>
    <w:p w14:paraId="0D0A85A5">
      <w:pPr>
        <w:spacing w:line="360" w:lineRule="auto"/>
        <w:ind w:firstLine="210" w:firstLineChars="100"/>
        <w:rPr>
          <w:rFonts w:hint="eastAsia" w:ascii="方正仿宋_GB2312" w:hAnsi="方正仿宋_GB2312" w:eastAsia="方正仿宋_GB2312" w:cs="方正仿宋_GB2312"/>
          <w:color w:val="auto"/>
          <w:sz w:val="21"/>
          <w:szCs w:val="21"/>
          <w:highlight w:val="none"/>
        </w:rPr>
      </w:pPr>
      <w:bookmarkStart w:id="153" w:name="_Toc511595196"/>
      <w:bookmarkStart w:id="154" w:name="_Toc508779712"/>
      <w:bookmarkStart w:id="155" w:name="_Toc394929419"/>
      <w:bookmarkStart w:id="156" w:name="_Toc4646"/>
    </w:p>
    <w:p w14:paraId="4719C462">
      <w:pPr>
        <w:spacing w:line="360" w:lineRule="auto"/>
        <w:ind w:firstLine="210" w:firstLineChars="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甲  方：</w:t>
      </w:r>
      <w:r>
        <w:rPr>
          <w:rFonts w:hint="eastAsia" w:ascii="方正仿宋_GB2312" w:hAnsi="方正仿宋_GB2312" w:eastAsia="方正仿宋_GB2312" w:cs="方正仿宋_GB2312"/>
          <w:color w:val="auto"/>
          <w:sz w:val="21"/>
          <w:szCs w:val="21"/>
          <w:highlight w:val="none"/>
          <w:u w:val="single"/>
          <w:lang w:eastAsia="zh-CN"/>
        </w:rPr>
        <w:t>马山县周鹿镇人民政府</w:t>
      </w:r>
      <w:r>
        <w:rPr>
          <w:rFonts w:hint="eastAsia" w:ascii="方正仿宋_GB2312" w:hAnsi="方正仿宋_GB2312" w:eastAsia="方正仿宋_GB2312" w:cs="方正仿宋_GB2312"/>
          <w:color w:val="auto"/>
          <w:sz w:val="21"/>
          <w:szCs w:val="21"/>
          <w:highlight w:val="none"/>
          <w:lang w:eastAsia="zh-CN"/>
        </w:rPr>
        <w:t>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乙 方：</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p>
    <w:p w14:paraId="71AB1E70">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法定代表人或其</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法定代人或其</w:t>
      </w:r>
    </w:p>
    <w:p w14:paraId="19495DEE">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授权的代理人：</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授权的代理人：</w:t>
      </w:r>
      <w:r>
        <w:rPr>
          <w:rFonts w:hint="eastAsia" w:ascii="方正仿宋_GB2312" w:hAnsi="方正仿宋_GB2312" w:eastAsia="方正仿宋_GB2312" w:cs="方正仿宋_GB2312"/>
          <w:color w:val="auto"/>
          <w:sz w:val="21"/>
          <w:szCs w:val="21"/>
          <w:highlight w:val="none"/>
          <w:u w:val="single"/>
        </w:rPr>
        <w:t xml:space="preserve">            </w:t>
      </w:r>
    </w:p>
    <w:p w14:paraId="3B5536DF">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职  务：</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职  务：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55387692">
      <w:pPr>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姓  名：</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姓  名 ：</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4FB6DB99">
      <w:pPr>
        <w:spacing w:line="360" w:lineRule="auto"/>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 xml:space="preserve">  签  字：</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签  字：</w:t>
      </w:r>
      <w:r>
        <w:rPr>
          <w:rFonts w:hint="eastAsia" w:ascii="方正仿宋_GB2312" w:hAnsi="方正仿宋_GB2312" w:eastAsia="方正仿宋_GB2312" w:cs="方正仿宋_GB2312"/>
          <w:color w:val="auto"/>
          <w:sz w:val="21"/>
          <w:szCs w:val="21"/>
          <w:highlight w:val="none"/>
          <w:u w:val="single"/>
        </w:rPr>
        <w:t xml:space="preserve">                  </w:t>
      </w:r>
    </w:p>
    <w:p w14:paraId="2BB0B619">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地  址：</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地</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 xml:space="preserve">  址：</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w:t>
      </w:r>
    </w:p>
    <w:p w14:paraId="63ACFBD9">
      <w:pPr>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日  </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日  期：</w:t>
      </w:r>
      <w:r>
        <w:rPr>
          <w:rFonts w:hint="eastAsia" w:ascii="方正仿宋_GB2312" w:hAnsi="方正仿宋_GB2312" w:eastAsia="方正仿宋_GB2312" w:cs="方正仿宋_GB2312"/>
          <w:color w:val="auto"/>
          <w:sz w:val="21"/>
          <w:szCs w:val="21"/>
          <w:highlight w:val="none"/>
          <w:u w:val="single"/>
          <w:lang w:val="en-US" w:eastAsia="zh-CN"/>
        </w:rPr>
        <w:t xml:space="preserve">   </w:t>
      </w:r>
      <w:r>
        <w:rPr>
          <w:rFonts w:hint="eastAsia" w:ascii="方正仿宋_GB2312" w:hAnsi="方正仿宋_GB2312" w:eastAsia="方正仿宋_GB2312" w:cs="方正仿宋_GB2312"/>
          <w:color w:val="auto"/>
          <w:sz w:val="21"/>
          <w:szCs w:val="21"/>
          <w:highlight w:val="none"/>
        </w:rPr>
        <w:t>年</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月</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日</w:t>
      </w:r>
    </w:p>
    <w:p w14:paraId="5ABAFF82">
      <w:pPr>
        <w:snapToGrid w:val="0"/>
        <w:spacing w:line="360" w:lineRule="auto"/>
        <w:jc w:val="center"/>
        <w:outlineLvl w:val="9"/>
        <w:rPr>
          <w:rFonts w:hint="eastAsia" w:ascii="方正仿宋_GB2312" w:hAnsi="方正仿宋_GB2312" w:eastAsia="方正仿宋_GB2312" w:cs="方正仿宋_GB2312"/>
          <w:b/>
          <w:bCs/>
          <w:color w:val="auto"/>
          <w:spacing w:val="60"/>
          <w:sz w:val="36"/>
          <w:szCs w:val="36"/>
          <w:highlight w:val="none"/>
        </w:rPr>
      </w:pPr>
      <w:r>
        <w:rPr>
          <w:rFonts w:hint="eastAsia" w:ascii="方正仿宋_GB2312" w:hAnsi="方正仿宋_GB2312" w:eastAsia="方正仿宋_GB2312" w:cs="方正仿宋_GB2312"/>
          <w:color w:val="auto"/>
          <w:highlight w:val="none"/>
        </w:rPr>
        <w:br w:type="page"/>
      </w:r>
      <w:bookmarkEnd w:id="153"/>
      <w:bookmarkEnd w:id="154"/>
      <w:bookmarkEnd w:id="155"/>
      <w:bookmarkEnd w:id="156"/>
      <w:r>
        <w:rPr>
          <w:rFonts w:hint="eastAsia" w:ascii="方正仿宋_GB2312" w:hAnsi="方正仿宋_GB2312" w:eastAsia="方正仿宋_GB2312" w:cs="方正仿宋_GB2312"/>
          <w:b/>
          <w:bCs/>
          <w:color w:val="auto"/>
          <w:spacing w:val="60"/>
          <w:sz w:val="36"/>
          <w:szCs w:val="36"/>
          <w:highlight w:val="none"/>
        </w:rPr>
        <w:t>通用合同条款</w:t>
      </w:r>
    </w:p>
    <w:p w14:paraId="16146F77">
      <w:pPr>
        <w:tabs>
          <w:tab w:val="left" w:pos="1080"/>
        </w:tabs>
        <w:spacing w:line="360" w:lineRule="exact"/>
        <w:ind w:firstLine="420" w:firstLineChars="200"/>
        <w:rPr>
          <w:rFonts w:hint="eastAsia" w:ascii="方正仿宋_GB2312" w:hAnsi="方正仿宋_GB2312" w:eastAsia="方正仿宋_GB2312" w:cs="方正仿宋_GB2312"/>
          <w:color w:val="auto"/>
          <w:sz w:val="21"/>
          <w:szCs w:val="21"/>
          <w:highlight w:val="none"/>
        </w:rPr>
      </w:pPr>
    </w:p>
    <w:p w14:paraId="7F537B3A">
      <w:pPr>
        <w:tabs>
          <w:tab w:val="left" w:pos="1080"/>
        </w:tabs>
        <w:spacing w:line="360" w:lineRule="exact"/>
        <w:ind w:firstLine="420"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
          <w:color w:val="auto"/>
          <w:sz w:val="21"/>
          <w:szCs w:val="21"/>
          <w:highlight w:val="none"/>
        </w:rPr>
        <w:t>公路工程</w:t>
      </w:r>
      <w:r>
        <w:rPr>
          <w:rFonts w:hint="eastAsia" w:ascii="方正仿宋_GB2312" w:hAnsi="方正仿宋_GB2312" w:eastAsia="方正仿宋_GB2312" w:cs="方正仿宋_GB2312"/>
          <w:b/>
          <w:color w:val="auto"/>
          <w:sz w:val="21"/>
          <w:szCs w:val="21"/>
          <w:highlight w:val="none"/>
          <w:lang w:eastAsia="zh-CN"/>
        </w:rPr>
        <w:t>通用</w:t>
      </w:r>
      <w:r>
        <w:rPr>
          <w:rFonts w:hint="eastAsia" w:ascii="方正仿宋_GB2312" w:hAnsi="方正仿宋_GB2312" w:eastAsia="方正仿宋_GB2312" w:cs="方正仿宋_GB2312"/>
          <w:b/>
          <w:color w:val="auto"/>
          <w:sz w:val="21"/>
          <w:szCs w:val="21"/>
          <w:highlight w:val="none"/>
        </w:rPr>
        <w:t>合同条款”采用交通运输部《公路工程标准施工招标文件》（2018年版）的“公路工程</w:t>
      </w:r>
      <w:r>
        <w:rPr>
          <w:rFonts w:hint="eastAsia" w:ascii="方正仿宋_GB2312" w:hAnsi="方正仿宋_GB2312" w:eastAsia="方正仿宋_GB2312" w:cs="方正仿宋_GB2312"/>
          <w:b/>
          <w:color w:val="auto"/>
          <w:sz w:val="21"/>
          <w:szCs w:val="21"/>
          <w:highlight w:val="none"/>
          <w:lang w:eastAsia="zh-CN"/>
        </w:rPr>
        <w:t>通用</w:t>
      </w:r>
      <w:r>
        <w:rPr>
          <w:rFonts w:hint="eastAsia" w:ascii="方正仿宋_GB2312" w:hAnsi="方正仿宋_GB2312" w:eastAsia="方正仿宋_GB2312" w:cs="方正仿宋_GB2312"/>
          <w:b/>
          <w:color w:val="auto"/>
          <w:sz w:val="21"/>
          <w:szCs w:val="21"/>
          <w:highlight w:val="none"/>
        </w:rPr>
        <w:t>合同条款”。</w:t>
      </w:r>
    </w:p>
    <w:p w14:paraId="6921F8C2">
      <w:pPr>
        <w:tabs>
          <w:tab w:val="left" w:pos="1080"/>
        </w:tabs>
        <w:spacing w:line="360" w:lineRule="exact"/>
        <w:jc w:val="both"/>
        <w:rPr>
          <w:rFonts w:hint="eastAsia" w:ascii="方正仿宋_GB2312" w:hAnsi="方正仿宋_GB2312" w:eastAsia="方正仿宋_GB2312" w:cs="方正仿宋_GB2312"/>
          <w:b/>
          <w:color w:val="auto"/>
          <w:sz w:val="21"/>
          <w:szCs w:val="21"/>
          <w:highlight w:val="none"/>
        </w:rPr>
      </w:pPr>
    </w:p>
    <w:p w14:paraId="74DE9D9B">
      <w:pPr>
        <w:tabs>
          <w:tab w:val="left" w:pos="1080"/>
        </w:tabs>
        <w:spacing w:line="360" w:lineRule="exact"/>
        <w:ind w:left="-359" w:leftChars="-171"/>
        <w:jc w:val="center"/>
        <w:rPr>
          <w:rFonts w:hint="eastAsia" w:ascii="方正仿宋_GB2312" w:hAnsi="方正仿宋_GB2312" w:eastAsia="方正仿宋_GB2312" w:cs="方正仿宋_GB2312"/>
          <w:b/>
          <w:color w:val="auto"/>
          <w:sz w:val="21"/>
          <w:szCs w:val="21"/>
          <w:highlight w:val="none"/>
        </w:rPr>
      </w:pPr>
    </w:p>
    <w:p w14:paraId="096BB182">
      <w:pPr>
        <w:tabs>
          <w:tab w:val="left" w:pos="1080"/>
        </w:tabs>
        <w:spacing w:line="360" w:lineRule="exact"/>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注：《公路工程标准施工招标文件》（2018年版）由</w:t>
      </w:r>
      <w:r>
        <w:rPr>
          <w:rFonts w:hint="eastAsia" w:ascii="方正仿宋_GB2312" w:hAnsi="方正仿宋_GB2312" w:eastAsia="方正仿宋_GB2312" w:cs="方正仿宋_GB2312"/>
          <w:color w:val="auto"/>
          <w:sz w:val="21"/>
          <w:szCs w:val="21"/>
          <w:highlight w:val="none"/>
          <w:lang w:eastAsia="zh-CN"/>
        </w:rPr>
        <w:t>承包人</w:t>
      </w:r>
      <w:r>
        <w:rPr>
          <w:rFonts w:hint="eastAsia" w:ascii="方正仿宋_GB2312" w:hAnsi="方正仿宋_GB2312" w:eastAsia="方正仿宋_GB2312" w:cs="方正仿宋_GB2312"/>
          <w:color w:val="auto"/>
          <w:sz w:val="21"/>
          <w:szCs w:val="21"/>
          <w:highlight w:val="none"/>
        </w:rPr>
        <w:t>自行到书店购买。</w:t>
      </w:r>
    </w:p>
    <w:p w14:paraId="4B01F4DC">
      <w:pPr>
        <w:snapToGrid w:val="0"/>
        <w:spacing w:line="360" w:lineRule="auto"/>
        <w:jc w:val="center"/>
        <w:outlineLvl w:val="9"/>
        <w:rPr>
          <w:rFonts w:hint="eastAsia" w:ascii="方正仿宋_GB2312" w:hAnsi="方正仿宋_GB2312" w:eastAsia="方正仿宋_GB2312" w:cs="方正仿宋_GB2312"/>
          <w:b/>
          <w:bCs/>
          <w:color w:val="auto"/>
          <w:spacing w:val="60"/>
          <w:sz w:val="36"/>
          <w:szCs w:val="36"/>
          <w:highlight w:val="none"/>
        </w:rPr>
      </w:pPr>
      <w:r>
        <w:rPr>
          <w:rFonts w:hint="eastAsia" w:ascii="方正仿宋_GB2312" w:hAnsi="方正仿宋_GB2312" w:eastAsia="方正仿宋_GB2312" w:cs="方正仿宋_GB2312"/>
          <w:bCs/>
          <w:color w:val="auto"/>
          <w:spacing w:val="60"/>
          <w:sz w:val="52"/>
          <w:szCs w:val="52"/>
          <w:highlight w:val="none"/>
        </w:rPr>
        <w:br w:type="page"/>
      </w:r>
      <w:r>
        <w:rPr>
          <w:rFonts w:hint="eastAsia" w:ascii="方正仿宋_GB2312" w:hAnsi="方正仿宋_GB2312" w:eastAsia="方正仿宋_GB2312" w:cs="方正仿宋_GB2312"/>
          <w:b/>
          <w:bCs/>
          <w:color w:val="auto"/>
          <w:spacing w:val="60"/>
          <w:sz w:val="36"/>
          <w:szCs w:val="36"/>
          <w:highlight w:val="none"/>
        </w:rPr>
        <w:t>专用合同条款</w:t>
      </w:r>
    </w:p>
    <w:p w14:paraId="1BBEB0FF">
      <w:pPr>
        <w:tabs>
          <w:tab w:val="left" w:pos="1080"/>
        </w:tabs>
        <w:spacing w:line="360" w:lineRule="exact"/>
        <w:ind w:left="-359" w:leftChars="-171"/>
        <w:jc w:val="center"/>
        <w:rPr>
          <w:rFonts w:hint="eastAsia" w:ascii="方正仿宋_GB2312" w:hAnsi="方正仿宋_GB2312" w:eastAsia="方正仿宋_GB2312" w:cs="方正仿宋_GB2312"/>
          <w:b/>
          <w:color w:val="auto"/>
          <w:sz w:val="30"/>
          <w:szCs w:val="30"/>
          <w:highlight w:val="none"/>
        </w:rPr>
      </w:pPr>
    </w:p>
    <w:p w14:paraId="28B9F27C">
      <w:pPr>
        <w:tabs>
          <w:tab w:val="left" w:pos="1080"/>
        </w:tabs>
        <w:spacing w:line="360" w:lineRule="exact"/>
        <w:ind w:left="-359" w:leftChars="-171"/>
        <w:jc w:val="center"/>
        <w:rPr>
          <w:rFonts w:hint="eastAsia" w:ascii="方正仿宋_GB2312" w:hAnsi="方正仿宋_GB2312" w:eastAsia="方正仿宋_GB2312" w:cs="方正仿宋_GB2312"/>
          <w:b/>
          <w:color w:val="auto"/>
          <w:sz w:val="30"/>
          <w:szCs w:val="30"/>
          <w:highlight w:val="none"/>
        </w:rPr>
      </w:pPr>
      <w:r>
        <w:rPr>
          <w:rFonts w:hint="eastAsia" w:ascii="方正仿宋_GB2312" w:hAnsi="方正仿宋_GB2312" w:eastAsia="方正仿宋_GB2312" w:cs="方正仿宋_GB2312"/>
          <w:b/>
          <w:color w:val="auto"/>
          <w:sz w:val="30"/>
          <w:szCs w:val="30"/>
          <w:highlight w:val="none"/>
        </w:rPr>
        <w:t>A.公路工程专用合同条款</w:t>
      </w:r>
    </w:p>
    <w:p w14:paraId="3354ED97">
      <w:pPr>
        <w:tabs>
          <w:tab w:val="left" w:pos="1080"/>
        </w:tabs>
        <w:spacing w:line="360" w:lineRule="exact"/>
        <w:ind w:left="-359" w:leftChars="-171"/>
        <w:jc w:val="center"/>
        <w:rPr>
          <w:rFonts w:hint="eastAsia" w:ascii="方正仿宋_GB2312" w:hAnsi="方正仿宋_GB2312" w:eastAsia="方正仿宋_GB2312" w:cs="方正仿宋_GB2312"/>
          <w:b/>
          <w:color w:val="auto"/>
          <w:sz w:val="30"/>
          <w:szCs w:val="30"/>
          <w:highlight w:val="none"/>
        </w:rPr>
      </w:pPr>
    </w:p>
    <w:p w14:paraId="0A11449E">
      <w:pPr>
        <w:tabs>
          <w:tab w:val="left" w:pos="1080"/>
        </w:tabs>
        <w:spacing w:line="360" w:lineRule="exact"/>
        <w:ind w:firstLine="420"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
          <w:color w:val="auto"/>
          <w:sz w:val="21"/>
          <w:szCs w:val="21"/>
          <w:highlight w:val="none"/>
        </w:rPr>
        <w:t>公路工程专用合同条款”采用交通运输部《公路工程标准施工招标文件》（2018年版）的“公路工程专用合同条款”。</w:t>
      </w:r>
    </w:p>
    <w:p w14:paraId="3ED2613D">
      <w:pPr>
        <w:tabs>
          <w:tab w:val="left" w:pos="1080"/>
        </w:tabs>
        <w:spacing w:line="360" w:lineRule="exact"/>
        <w:jc w:val="both"/>
        <w:rPr>
          <w:rFonts w:hint="eastAsia" w:ascii="方正仿宋_GB2312" w:hAnsi="方正仿宋_GB2312" w:eastAsia="方正仿宋_GB2312" w:cs="方正仿宋_GB2312"/>
          <w:b/>
          <w:color w:val="auto"/>
          <w:sz w:val="21"/>
          <w:szCs w:val="21"/>
          <w:highlight w:val="none"/>
        </w:rPr>
      </w:pPr>
    </w:p>
    <w:p w14:paraId="4E6A87E0">
      <w:pPr>
        <w:tabs>
          <w:tab w:val="left" w:pos="1080"/>
        </w:tabs>
        <w:spacing w:line="360" w:lineRule="exact"/>
        <w:ind w:left="-359" w:leftChars="-171"/>
        <w:jc w:val="center"/>
        <w:rPr>
          <w:rFonts w:hint="eastAsia" w:ascii="方正仿宋_GB2312" w:hAnsi="方正仿宋_GB2312" w:eastAsia="方正仿宋_GB2312" w:cs="方正仿宋_GB2312"/>
          <w:b/>
          <w:color w:val="auto"/>
          <w:sz w:val="21"/>
          <w:szCs w:val="21"/>
          <w:highlight w:val="none"/>
        </w:rPr>
      </w:pPr>
    </w:p>
    <w:p w14:paraId="109A469D">
      <w:pPr>
        <w:tabs>
          <w:tab w:val="left" w:pos="1080"/>
        </w:tabs>
        <w:spacing w:line="360" w:lineRule="exact"/>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注：《公路工程标准施工招标文件》（2018年版）由</w:t>
      </w:r>
      <w:r>
        <w:rPr>
          <w:rFonts w:hint="eastAsia" w:ascii="方正仿宋_GB2312" w:hAnsi="方正仿宋_GB2312" w:eastAsia="方正仿宋_GB2312" w:cs="方正仿宋_GB2312"/>
          <w:color w:val="auto"/>
          <w:sz w:val="21"/>
          <w:szCs w:val="21"/>
          <w:highlight w:val="none"/>
          <w:lang w:eastAsia="zh-CN"/>
        </w:rPr>
        <w:t>承包人</w:t>
      </w:r>
      <w:r>
        <w:rPr>
          <w:rFonts w:hint="eastAsia" w:ascii="方正仿宋_GB2312" w:hAnsi="方正仿宋_GB2312" w:eastAsia="方正仿宋_GB2312" w:cs="方正仿宋_GB2312"/>
          <w:color w:val="auto"/>
          <w:sz w:val="21"/>
          <w:szCs w:val="21"/>
          <w:highlight w:val="none"/>
        </w:rPr>
        <w:t>自行到书店购买。</w:t>
      </w:r>
    </w:p>
    <w:p w14:paraId="0E8F366C">
      <w:pPr>
        <w:tabs>
          <w:tab w:val="left" w:pos="1080"/>
        </w:tabs>
        <w:spacing w:line="360" w:lineRule="exact"/>
        <w:ind w:left="-359" w:leftChars="-171"/>
        <w:jc w:val="center"/>
        <w:rPr>
          <w:rFonts w:hint="eastAsia" w:ascii="方正仿宋_GB2312" w:hAnsi="方正仿宋_GB2312" w:eastAsia="方正仿宋_GB2312" w:cs="方正仿宋_GB2312"/>
          <w:b/>
          <w:color w:val="auto"/>
          <w:sz w:val="30"/>
          <w:szCs w:val="30"/>
          <w:highlight w:val="none"/>
        </w:rPr>
      </w:pPr>
    </w:p>
    <w:p w14:paraId="580B1F3D">
      <w:pPr>
        <w:snapToGrid w:val="0"/>
        <w:spacing w:line="360" w:lineRule="auto"/>
        <w:ind w:firstLine="280"/>
        <w:jc w:val="center"/>
        <w:outlineLvl w:val="9"/>
        <w:rPr>
          <w:rFonts w:hint="eastAsia" w:ascii="方正仿宋_GB2312" w:hAnsi="方正仿宋_GB2312" w:eastAsia="方正仿宋_GB2312" w:cs="方正仿宋_GB2312"/>
          <w:b/>
          <w:bCs w:val="0"/>
          <w:color w:val="auto"/>
          <w:spacing w:val="60"/>
          <w:sz w:val="28"/>
          <w:szCs w:val="28"/>
          <w:highlight w:val="none"/>
        </w:rPr>
      </w:pPr>
    </w:p>
    <w:p w14:paraId="09A84BAB">
      <w:pPr>
        <w:snapToGrid w:val="0"/>
        <w:spacing w:line="360" w:lineRule="auto"/>
        <w:ind w:firstLine="280"/>
        <w:jc w:val="center"/>
        <w:outlineLvl w:val="9"/>
        <w:rPr>
          <w:rFonts w:hint="eastAsia" w:ascii="方正仿宋_GB2312" w:hAnsi="方正仿宋_GB2312" w:eastAsia="方正仿宋_GB2312" w:cs="方正仿宋_GB2312"/>
          <w:b/>
          <w:bCs w:val="0"/>
          <w:color w:val="auto"/>
          <w:spacing w:val="60"/>
          <w:sz w:val="28"/>
          <w:szCs w:val="28"/>
          <w:highlight w:val="none"/>
        </w:rPr>
      </w:pPr>
      <w:r>
        <w:rPr>
          <w:rFonts w:hint="eastAsia" w:ascii="方正仿宋_GB2312" w:hAnsi="方正仿宋_GB2312" w:eastAsia="方正仿宋_GB2312" w:cs="方正仿宋_GB2312"/>
          <w:b/>
          <w:bCs w:val="0"/>
          <w:color w:val="auto"/>
          <w:spacing w:val="60"/>
          <w:sz w:val="28"/>
          <w:szCs w:val="28"/>
          <w:highlight w:val="none"/>
        </w:rPr>
        <w:t>B.项目专用条款</w:t>
      </w:r>
    </w:p>
    <w:p w14:paraId="4726FD9F">
      <w:pPr>
        <w:tabs>
          <w:tab w:val="left" w:pos="1080"/>
        </w:tabs>
        <w:spacing w:line="36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说明：</w:t>
      </w:r>
    </w:p>
    <w:p w14:paraId="1FFDDDB6">
      <w:pPr>
        <w:tabs>
          <w:tab w:val="left" w:pos="1080"/>
        </w:tabs>
        <w:spacing w:line="400" w:lineRule="exact"/>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1.招标人在根据《公路工程标准施工招标文件》</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lang w:val="en-US" w:eastAsia="zh-CN"/>
        </w:rPr>
        <w:t>2018年版</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rPr>
        <w:t>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不同内容，不得违反法律、行政法规的强制性规定和平等、自愿、公平和诚实信用原则。</w:t>
      </w:r>
    </w:p>
    <w:p w14:paraId="2DE758A4">
      <w:pPr>
        <w:tabs>
          <w:tab w:val="left" w:pos="1080"/>
        </w:tabs>
        <w:spacing w:line="400" w:lineRule="exact"/>
        <w:ind w:firstLine="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2.项目专用合同条款的编号应与通用合同条款和公路工程专用合同条款一致。</w:t>
      </w:r>
    </w:p>
    <w:p w14:paraId="5C3B2255">
      <w:pPr>
        <w:tabs>
          <w:tab w:val="left" w:pos="1080"/>
        </w:tabs>
        <w:spacing w:line="400" w:lineRule="exact"/>
        <w:ind w:firstLine="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3.项目专用合同条款可对下列内容进行补充和细化：</w:t>
      </w:r>
    </w:p>
    <w:p w14:paraId="3C8873D7">
      <w:pPr>
        <w:tabs>
          <w:tab w:val="left" w:pos="1080"/>
        </w:tabs>
        <w:spacing w:line="400" w:lineRule="exact"/>
        <w:ind w:firstLine="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079848E9">
      <w:pPr>
        <w:tabs>
          <w:tab w:val="left" w:pos="1080"/>
        </w:tabs>
        <w:spacing w:line="400" w:lineRule="exact"/>
        <w:ind w:firstLine="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5D27DB96">
      <w:pPr>
        <w:tabs>
          <w:tab w:val="left" w:pos="1080"/>
        </w:tabs>
        <w:spacing w:line="400" w:lineRule="exact"/>
        <w:ind w:firstLine="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（3）其他需要补充、细化的内容。</w:t>
      </w:r>
    </w:p>
    <w:p w14:paraId="6EBFBE4A">
      <w:pPr>
        <w:snapToGrid w:val="0"/>
        <w:spacing w:line="360" w:lineRule="auto"/>
        <w:ind w:firstLine="1200" w:firstLineChars="300"/>
        <w:outlineLvl w:val="9"/>
        <w:rPr>
          <w:rFonts w:hint="eastAsia" w:ascii="方正仿宋_GB2312" w:hAnsi="方正仿宋_GB2312" w:eastAsia="方正仿宋_GB2312" w:cs="方正仿宋_GB2312"/>
          <w:bCs/>
          <w:color w:val="auto"/>
          <w:spacing w:val="60"/>
          <w:sz w:val="28"/>
          <w:szCs w:val="28"/>
          <w:highlight w:val="none"/>
        </w:rPr>
      </w:pPr>
    </w:p>
    <w:p w14:paraId="79207E57">
      <w:pPr>
        <w:spacing w:line="840" w:lineRule="auto"/>
        <w:jc w:val="center"/>
        <w:rPr>
          <w:rFonts w:hint="eastAsia" w:ascii="方正仿宋_GB2312" w:hAnsi="方正仿宋_GB2312" w:eastAsia="方正仿宋_GB2312" w:cs="方正仿宋_GB2312"/>
          <w:color w:val="auto"/>
          <w:sz w:val="48"/>
          <w:szCs w:val="48"/>
          <w:highlight w:val="none"/>
        </w:rPr>
      </w:pPr>
    </w:p>
    <w:p w14:paraId="5D649FF4">
      <w:pPr>
        <w:tabs>
          <w:tab w:val="left" w:pos="1080"/>
        </w:tabs>
        <w:spacing w:line="360" w:lineRule="exact"/>
        <w:jc w:val="center"/>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项目专用合同条款数据表</w:t>
      </w:r>
    </w:p>
    <w:p w14:paraId="3EFD0906">
      <w:pPr>
        <w:tabs>
          <w:tab w:val="left" w:pos="1080"/>
        </w:tabs>
        <w:spacing w:line="360" w:lineRule="exact"/>
        <w:rPr>
          <w:rFonts w:hint="eastAsia" w:ascii="方正仿宋_GB2312" w:hAnsi="方正仿宋_GB2312" w:eastAsia="方正仿宋_GB2312" w:cs="方正仿宋_GB2312"/>
          <w:color w:val="auto"/>
          <w:sz w:val="28"/>
          <w:szCs w:val="28"/>
          <w:highlight w:val="none"/>
        </w:rPr>
      </w:pPr>
    </w:p>
    <w:p w14:paraId="52EFB597">
      <w:pPr>
        <w:tabs>
          <w:tab w:val="left" w:pos="1080"/>
        </w:tabs>
        <w:spacing w:line="40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说明：</w:t>
      </w:r>
      <w:r>
        <w:rPr>
          <w:rFonts w:hint="eastAsia" w:ascii="方正仿宋_GB2312" w:hAnsi="方正仿宋_GB2312" w:eastAsia="方正仿宋_GB2312" w:cs="方正仿宋_GB2312"/>
          <w:color w:val="auto"/>
          <w:sz w:val="21"/>
          <w:szCs w:val="21"/>
          <w:highlight w:val="none"/>
        </w:rPr>
        <w:t>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数据出现差错或不一致。</w:t>
      </w:r>
    </w:p>
    <w:p w14:paraId="3EDD7918">
      <w:pPr>
        <w:tabs>
          <w:tab w:val="left" w:pos="1080"/>
        </w:tabs>
        <w:spacing w:line="360" w:lineRule="exact"/>
        <w:rPr>
          <w:rFonts w:hint="eastAsia" w:ascii="方正仿宋_GB2312" w:hAnsi="方正仿宋_GB2312" w:eastAsia="方正仿宋_GB2312" w:cs="方正仿宋_GB2312"/>
          <w:color w:val="auto"/>
          <w:sz w:val="24"/>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2"/>
        <w:gridCol w:w="7205"/>
      </w:tblGrid>
      <w:tr w14:paraId="52DF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18" w:type="dxa"/>
            <w:noWrap w:val="0"/>
            <w:vAlign w:val="center"/>
          </w:tcPr>
          <w:p w14:paraId="08EE9B9C">
            <w:pPr>
              <w:shd w:val="clear"/>
              <w:tabs>
                <w:tab w:val="left" w:pos="1080"/>
              </w:tabs>
              <w:spacing w:line="36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序号</w:t>
            </w:r>
          </w:p>
        </w:tc>
        <w:tc>
          <w:tcPr>
            <w:tcW w:w="1272" w:type="dxa"/>
            <w:noWrap w:val="0"/>
            <w:vAlign w:val="center"/>
          </w:tcPr>
          <w:p w14:paraId="4F32758F">
            <w:pPr>
              <w:shd w:val="clear"/>
              <w:tabs>
                <w:tab w:val="left" w:pos="1080"/>
              </w:tabs>
              <w:spacing w:line="36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条目号</w:t>
            </w:r>
          </w:p>
        </w:tc>
        <w:tc>
          <w:tcPr>
            <w:tcW w:w="7205" w:type="dxa"/>
            <w:noWrap w:val="0"/>
            <w:vAlign w:val="center"/>
          </w:tcPr>
          <w:p w14:paraId="2411DC84">
            <w:pPr>
              <w:shd w:val="clear"/>
              <w:tabs>
                <w:tab w:val="left" w:pos="1080"/>
              </w:tabs>
              <w:spacing w:line="36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信 息 或 数 据</w:t>
            </w:r>
          </w:p>
        </w:tc>
      </w:tr>
      <w:tr w14:paraId="6348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18" w:type="dxa"/>
            <w:noWrap w:val="0"/>
            <w:vAlign w:val="center"/>
          </w:tcPr>
          <w:p w14:paraId="7F7D549E">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w:t>
            </w:r>
          </w:p>
        </w:tc>
        <w:tc>
          <w:tcPr>
            <w:tcW w:w="1272" w:type="dxa"/>
            <w:noWrap w:val="0"/>
            <w:vAlign w:val="center"/>
          </w:tcPr>
          <w:p w14:paraId="5CA4D566">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1.1.2.2</w:t>
            </w:r>
          </w:p>
        </w:tc>
        <w:tc>
          <w:tcPr>
            <w:tcW w:w="7205" w:type="dxa"/>
            <w:noWrap w:val="0"/>
            <w:vAlign w:val="top"/>
          </w:tcPr>
          <w:p w14:paraId="1545225B">
            <w:pPr>
              <w:shd w:val="clear"/>
              <w:spacing w:line="300" w:lineRule="auto"/>
              <w:ind w:firstLine="113" w:firstLineChars="50"/>
              <w:jc w:val="left"/>
              <w:rPr>
                <w:rFonts w:hint="eastAsia" w:ascii="方正仿宋_GB2312" w:hAnsi="方正仿宋_GB2312" w:eastAsia="方正仿宋_GB2312" w:cs="方正仿宋_GB2312"/>
                <w:color w:val="auto"/>
                <w:spacing w:val="8"/>
                <w:sz w:val="21"/>
                <w:szCs w:val="21"/>
                <w:highlight w:val="none"/>
                <w:lang w:eastAsia="zh-CN"/>
              </w:rPr>
            </w:pPr>
            <w:r>
              <w:rPr>
                <w:rFonts w:hint="eastAsia" w:ascii="方正仿宋_GB2312" w:hAnsi="方正仿宋_GB2312" w:eastAsia="方正仿宋_GB2312" w:cs="方正仿宋_GB2312"/>
                <w:color w:val="auto"/>
                <w:spacing w:val="8"/>
                <w:sz w:val="21"/>
                <w:szCs w:val="21"/>
                <w:highlight w:val="none"/>
              </w:rPr>
              <w:t>发 包 人：</w:t>
            </w:r>
            <w:r>
              <w:rPr>
                <w:rFonts w:hint="eastAsia" w:ascii="方正仿宋_GB2312" w:hAnsi="方正仿宋_GB2312" w:eastAsia="方正仿宋_GB2312" w:cs="方正仿宋_GB2312"/>
                <w:color w:val="auto"/>
                <w:spacing w:val="8"/>
                <w:sz w:val="21"/>
                <w:szCs w:val="21"/>
                <w:highlight w:val="none"/>
                <w:lang w:eastAsia="zh-CN"/>
              </w:rPr>
              <w:t>马山县周鹿镇人民政府 </w:t>
            </w:r>
          </w:p>
          <w:p w14:paraId="0C752CCA">
            <w:pPr>
              <w:shd w:val="clear"/>
              <w:tabs>
                <w:tab w:val="left" w:pos="1080"/>
              </w:tabs>
              <w:spacing w:line="300" w:lineRule="auto"/>
              <w:ind w:firstLine="113" w:firstLineChars="50"/>
              <w:jc w:val="left"/>
              <w:rPr>
                <w:rFonts w:hint="eastAsia" w:ascii="方正仿宋_GB2312" w:hAnsi="方正仿宋_GB2312" w:eastAsia="方正仿宋_GB2312" w:cs="方正仿宋_GB2312"/>
                <w:color w:val="auto"/>
                <w:spacing w:val="8"/>
                <w:sz w:val="21"/>
                <w:szCs w:val="21"/>
                <w:highlight w:val="none"/>
              </w:rPr>
            </w:pPr>
            <w:r>
              <w:rPr>
                <w:rFonts w:hint="eastAsia" w:ascii="方正仿宋_GB2312" w:hAnsi="方正仿宋_GB2312" w:eastAsia="方正仿宋_GB2312" w:cs="方正仿宋_GB2312"/>
                <w:color w:val="auto"/>
                <w:spacing w:val="8"/>
                <w:sz w:val="21"/>
                <w:szCs w:val="21"/>
                <w:highlight w:val="none"/>
              </w:rPr>
              <w:t>地    址：</w:t>
            </w:r>
          </w:p>
          <w:p w14:paraId="7BDE680E">
            <w:pPr>
              <w:shd w:val="clear"/>
              <w:tabs>
                <w:tab w:val="left" w:pos="1080"/>
              </w:tabs>
              <w:spacing w:line="300" w:lineRule="auto"/>
              <w:ind w:firstLine="113" w:firstLineChars="5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pacing w:val="8"/>
                <w:sz w:val="21"/>
                <w:szCs w:val="21"/>
                <w:highlight w:val="none"/>
              </w:rPr>
              <w:t>邮政编码：</w:t>
            </w:r>
          </w:p>
        </w:tc>
      </w:tr>
      <w:tr w14:paraId="600F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18" w:type="dxa"/>
            <w:noWrap w:val="0"/>
            <w:vAlign w:val="center"/>
          </w:tcPr>
          <w:p w14:paraId="7857AB0E">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w:t>
            </w:r>
          </w:p>
        </w:tc>
        <w:tc>
          <w:tcPr>
            <w:tcW w:w="1272" w:type="dxa"/>
            <w:noWrap w:val="0"/>
            <w:vAlign w:val="center"/>
          </w:tcPr>
          <w:p w14:paraId="2564CBA1">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1.1.2.6</w:t>
            </w:r>
          </w:p>
        </w:tc>
        <w:tc>
          <w:tcPr>
            <w:tcW w:w="7205" w:type="dxa"/>
            <w:noWrap w:val="0"/>
            <w:vAlign w:val="top"/>
          </w:tcPr>
          <w:p w14:paraId="07E4DA18">
            <w:pPr>
              <w:shd w:val="clear"/>
              <w:spacing w:line="300" w:lineRule="auto"/>
              <w:ind w:firstLine="113" w:firstLineChars="50"/>
              <w:jc w:val="left"/>
              <w:rPr>
                <w:rFonts w:hint="eastAsia" w:ascii="方正仿宋_GB2312" w:hAnsi="方正仿宋_GB2312" w:eastAsia="方正仿宋_GB2312" w:cs="方正仿宋_GB2312"/>
                <w:color w:val="auto"/>
                <w:spacing w:val="8"/>
                <w:sz w:val="21"/>
                <w:szCs w:val="21"/>
                <w:highlight w:val="none"/>
              </w:rPr>
            </w:pPr>
            <w:r>
              <w:rPr>
                <w:rFonts w:hint="eastAsia" w:ascii="方正仿宋_GB2312" w:hAnsi="方正仿宋_GB2312" w:eastAsia="方正仿宋_GB2312" w:cs="方正仿宋_GB2312"/>
                <w:color w:val="auto"/>
                <w:spacing w:val="8"/>
                <w:sz w:val="21"/>
                <w:szCs w:val="21"/>
                <w:highlight w:val="none"/>
              </w:rPr>
              <w:t>监 理 人：</w:t>
            </w:r>
          </w:p>
          <w:p w14:paraId="058BC6F7">
            <w:pPr>
              <w:shd w:val="clear"/>
              <w:spacing w:line="300" w:lineRule="auto"/>
              <w:ind w:firstLine="113" w:firstLineChars="50"/>
              <w:jc w:val="left"/>
              <w:rPr>
                <w:rFonts w:hint="eastAsia" w:ascii="方正仿宋_GB2312" w:hAnsi="方正仿宋_GB2312" w:eastAsia="方正仿宋_GB2312" w:cs="方正仿宋_GB2312"/>
                <w:color w:val="auto"/>
                <w:spacing w:val="8"/>
                <w:sz w:val="21"/>
                <w:szCs w:val="21"/>
                <w:highlight w:val="none"/>
              </w:rPr>
            </w:pPr>
            <w:r>
              <w:rPr>
                <w:rFonts w:hint="eastAsia" w:ascii="方正仿宋_GB2312" w:hAnsi="方正仿宋_GB2312" w:eastAsia="方正仿宋_GB2312" w:cs="方正仿宋_GB2312"/>
                <w:color w:val="auto"/>
                <w:spacing w:val="8"/>
                <w:sz w:val="21"/>
                <w:szCs w:val="21"/>
                <w:highlight w:val="none"/>
              </w:rPr>
              <w:t xml:space="preserve">地    址： </w:t>
            </w:r>
          </w:p>
          <w:p w14:paraId="657FD679">
            <w:pPr>
              <w:shd w:val="clear"/>
              <w:spacing w:line="300" w:lineRule="auto"/>
              <w:ind w:firstLine="113" w:firstLineChars="5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pacing w:val="8"/>
                <w:sz w:val="21"/>
                <w:szCs w:val="21"/>
                <w:highlight w:val="none"/>
              </w:rPr>
              <w:t xml:space="preserve">邮政编码：   </w:t>
            </w:r>
          </w:p>
        </w:tc>
      </w:tr>
      <w:tr w14:paraId="4E49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8" w:type="dxa"/>
            <w:noWrap w:val="0"/>
            <w:vAlign w:val="center"/>
          </w:tcPr>
          <w:p w14:paraId="257690C9">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w:t>
            </w:r>
          </w:p>
        </w:tc>
        <w:tc>
          <w:tcPr>
            <w:tcW w:w="1272" w:type="dxa"/>
            <w:noWrap w:val="0"/>
            <w:vAlign w:val="center"/>
          </w:tcPr>
          <w:p w14:paraId="5924F5AB">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1.1.4.5</w:t>
            </w:r>
          </w:p>
        </w:tc>
        <w:tc>
          <w:tcPr>
            <w:tcW w:w="7205" w:type="dxa"/>
            <w:noWrap w:val="0"/>
            <w:vAlign w:val="top"/>
          </w:tcPr>
          <w:p w14:paraId="04486A40">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缺陷责任期：</w:t>
            </w:r>
            <w:r>
              <w:rPr>
                <w:rFonts w:hint="eastAsia" w:ascii="方正仿宋_GB2312" w:hAnsi="方正仿宋_GB2312" w:eastAsia="方正仿宋_GB2312" w:cs="方正仿宋_GB2312"/>
                <w:color w:val="auto"/>
                <w:spacing w:val="8"/>
                <w:sz w:val="21"/>
                <w:szCs w:val="21"/>
                <w:highlight w:val="none"/>
              </w:rPr>
              <w:t>自工程</w:t>
            </w:r>
            <w:r>
              <w:rPr>
                <w:rFonts w:hint="eastAsia" w:ascii="方正仿宋_GB2312" w:hAnsi="方正仿宋_GB2312" w:eastAsia="方正仿宋_GB2312" w:cs="方正仿宋_GB2312"/>
                <w:color w:val="auto"/>
                <w:spacing w:val="8"/>
                <w:sz w:val="21"/>
                <w:szCs w:val="21"/>
                <w:highlight w:val="none"/>
                <w:lang w:eastAsia="zh-CN"/>
              </w:rPr>
              <w:t>交工</w:t>
            </w:r>
            <w:r>
              <w:rPr>
                <w:rFonts w:hint="eastAsia" w:ascii="方正仿宋_GB2312" w:hAnsi="方正仿宋_GB2312" w:eastAsia="方正仿宋_GB2312" w:cs="方正仿宋_GB2312"/>
                <w:color w:val="auto"/>
                <w:spacing w:val="8"/>
                <w:sz w:val="21"/>
                <w:szCs w:val="21"/>
                <w:highlight w:val="none"/>
              </w:rPr>
              <w:t>验收认定为合格工程之日起计时</w:t>
            </w:r>
            <w:r>
              <w:rPr>
                <w:rFonts w:hint="eastAsia" w:ascii="方正仿宋_GB2312" w:hAnsi="方正仿宋_GB2312" w:eastAsia="方正仿宋_GB2312" w:cs="方正仿宋_GB2312"/>
                <w:color w:val="auto"/>
                <w:spacing w:val="8"/>
                <w:sz w:val="21"/>
                <w:szCs w:val="21"/>
                <w:highlight w:val="none"/>
                <w:u w:val="single"/>
                <w:lang w:val="en-US" w:eastAsia="zh-CN"/>
              </w:rPr>
              <w:t>1</w:t>
            </w:r>
            <w:r>
              <w:rPr>
                <w:rFonts w:hint="eastAsia" w:ascii="方正仿宋_GB2312" w:hAnsi="方正仿宋_GB2312" w:eastAsia="方正仿宋_GB2312" w:cs="方正仿宋_GB2312"/>
                <w:color w:val="auto"/>
                <w:spacing w:val="8"/>
                <w:sz w:val="21"/>
                <w:szCs w:val="21"/>
                <w:highlight w:val="none"/>
                <w:lang w:eastAsia="zh-CN"/>
              </w:rPr>
              <w:t>年</w:t>
            </w:r>
          </w:p>
        </w:tc>
      </w:tr>
      <w:tr w14:paraId="568B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18" w:type="dxa"/>
            <w:noWrap w:val="0"/>
            <w:vAlign w:val="center"/>
          </w:tcPr>
          <w:p w14:paraId="12BEA2AF">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w:t>
            </w:r>
          </w:p>
        </w:tc>
        <w:tc>
          <w:tcPr>
            <w:tcW w:w="1272" w:type="dxa"/>
            <w:noWrap w:val="0"/>
            <w:vAlign w:val="center"/>
          </w:tcPr>
          <w:p w14:paraId="5C0C1A90">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1.6.3</w:t>
            </w:r>
          </w:p>
        </w:tc>
        <w:tc>
          <w:tcPr>
            <w:tcW w:w="7205" w:type="dxa"/>
            <w:noWrap w:val="0"/>
            <w:vAlign w:val="top"/>
          </w:tcPr>
          <w:p w14:paraId="52E4098C">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图纸需要修改和补充的，应由监理人取得发包人同意后，在该工程或工程相应部位施工前</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b/>
                <w:color w:val="auto"/>
                <w:sz w:val="21"/>
                <w:szCs w:val="21"/>
                <w:highlight w:val="none"/>
                <w:u w:val="single"/>
              </w:rPr>
              <w:t xml:space="preserve">14 </w:t>
            </w:r>
            <w:r>
              <w:rPr>
                <w:rFonts w:hint="eastAsia" w:ascii="方正仿宋_GB2312" w:hAnsi="方正仿宋_GB2312" w:eastAsia="方正仿宋_GB2312" w:cs="方正仿宋_GB2312"/>
                <w:color w:val="auto"/>
                <w:sz w:val="21"/>
                <w:szCs w:val="21"/>
                <w:highlight w:val="none"/>
              </w:rPr>
              <w:t>天签发图纸修改图给承包人</w:t>
            </w:r>
          </w:p>
        </w:tc>
      </w:tr>
      <w:tr w14:paraId="4F00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818" w:type="dxa"/>
            <w:noWrap w:val="0"/>
            <w:vAlign w:val="center"/>
          </w:tcPr>
          <w:p w14:paraId="6C72A96E">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w:t>
            </w:r>
          </w:p>
        </w:tc>
        <w:tc>
          <w:tcPr>
            <w:tcW w:w="1272" w:type="dxa"/>
            <w:noWrap w:val="0"/>
            <w:vAlign w:val="center"/>
          </w:tcPr>
          <w:p w14:paraId="00E689D7">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3.1.1</w:t>
            </w:r>
          </w:p>
        </w:tc>
        <w:tc>
          <w:tcPr>
            <w:tcW w:w="7205" w:type="dxa"/>
            <w:noWrap w:val="0"/>
            <w:vAlign w:val="top"/>
          </w:tcPr>
          <w:p w14:paraId="352C72ED">
            <w:pPr>
              <w:shd w:val="clea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监理人在行使下列权力前需要经发包人事先批准：</w:t>
            </w:r>
          </w:p>
          <w:p w14:paraId="31A9E9B1">
            <w:pPr>
              <w:shd w:val="clear"/>
              <w:tabs>
                <w:tab w:val="left" w:pos="1080"/>
              </w:tabs>
              <w:spacing w:line="440" w:lineRule="exact"/>
              <w:ind w:firstLine="315" w:firstLineChars="15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（6）根据第15.3款发出的变更指示，其单项工程变更涉及的金额超过了该单项工程签约合同价的</w:t>
            </w:r>
            <w:r>
              <w:rPr>
                <w:rFonts w:hint="eastAsia" w:ascii="方正仿宋_GB2312" w:hAnsi="方正仿宋_GB2312" w:eastAsia="方正仿宋_GB2312" w:cs="方正仿宋_GB2312"/>
                <w:color w:val="auto"/>
                <w:sz w:val="21"/>
                <w:szCs w:val="21"/>
                <w:highlight w:val="none"/>
                <w:u w:val="single"/>
              </w:rPr>
              <w:t xml:space="preserve"> / </w:t>
            </w:r>
            <w:r>
              <w:rPr>
                <w:rFonts w:hint="eastAsia" w:ascii="方正仿宋_GB2312" w:hAnsi="方正仿宋_GB2312" w:eastAsia="方正仿宋_GB2312" w:cs="方正仿宋_GB2312"/>
                <w:color w:val="auto"/>
                <w:sz w:val="21"/>
                <w:szCs w:val="21"/>
                <w:highlight w:val="none"/>
              </w:rPr>
              <w:t>%或累计变更超过了签约合同价的</w:t>
            </w:r>
            <w:r>
              <w:rPr>
                <w:rFonts w:hint="eastAsia" w:ascii="方正仿宋_GB2312" w:hAnsi="方正仿宋_GB2312" w:eastAsia="方正仿宋_GB2312" w:cs="方正仿宋_GB2312"/>
                <w:color w:val="auto"/>
                <w:sz w:val="21"/>
                <w:szCs w:val="21"/>
                <w:highlight w:val="none"/>
                <w:u w:val="single"/>
              </w:rPr>
              <w:t xml:space="preserve"> /</w:t>
            </w:r>
            <w:r>
              <w:rPr>
                <w:rFonts w:hint="eastAsia" w:ascii="方正仿宋_GB2312" w:hAnsi="方正仿宋_GB2312" w:eastAsia="方正仿宋_GB2312" w:cs="方正仿宋_GB2312"/>
                <w:color w:val="auto"/>
                <w:sz w:val="21"/>
                <w:szCs w:val="21"/>
                <w:highlight w:val="none"/>
              </w:rPr>
              <w:t xml:space="preserve"> %（即凡涉及费用调整的均应事先取得发包人的专门批准）</w:t>
            </w:r>
          </w:p>
        </w:tc>
      </w:tr>
      <w:tr w14:paraId="0798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18" w:type="dxa"/>
            <w:noWrap w:val="0"/>
            <w:vAlign w:val="center"/>
          </w:tcPr>
          <w:p w14:paraId="311763B7">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w:t>
            </w:r>
          </w:p>
        </w:tc>
        <w:tc>
          <w:tcPr>
            <w:tcW w:w="1272" w:type="dxa"/>
            <w:noWrap w:val="0"/>
            <w:vAlign w:val="center"/>
          </w:tcPr>
          <w:p w14:paraId="1928BFA0">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5.2.1</w:t>
            </w:r>
          </w:p>
        </w:tc>
        <w:tc>
          <w:tcPr>
            <w:tcW w:w="7205" w:type="dxa"/>
            <w:noWrap w:val="0"/>
            <w:vAlign w:val="center"/>
          </w:tcPr>
          <w:p w14:paraId="416D8EB8">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发包人是否提供材料或施工设备：否</w:t>
            </w:r>
          </w:p>
        </w:tc>
      </w:tr>
      <w:tr w14:paraId="27B7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8" w:type="dxa"/>
            <w:noWrap w:val="0"/>
            <w:vAlign w:val="center"/>
          </w:tcPr>
          <w:p w14:paraId="5E151556">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7</w:t>
            </w:r>
          </w:p>
        </w:tc>
        <w:tc>
          <w:tcPr>
            <w:tcW w:w="1272" w:type="dxa"/>
            <w:noWrap w:val="0"/>
            <w:vAlign w:val="center"/>
          </w:tcPr>
          <w:p w14:paraId="0C223B20">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6.2</w:t>
            </w:r>
          </w:p>
        </w:tc>
        <w:tc>
          <w:tcPr>
            <w:tcW w:w="7205" w:type="dxa"/>
            <w:noWrap w:val="0"/>
            <w:vAlign w:val="center"/>
          </w:tcPr>
          <w:p w14:paraId="1BF1C651">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发包人是否提供施工设备和临时设施：否</w:t>
            </w:r>
          </w:p>
        </w:tc>
      </w:tr>
      <w:tr w14:paraId="1B5D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18" w:type="dxa"/>
            <w:noWrap w:val="0"/>
            <w:vAlign w:val="center"/>
          </w:tcPr>
          <w:p w14:paraId="0D456D59">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8</w:t>
            </w:r>
          </w:p>
        </w:tc>
        <w:tc>
          <w:tcPr>
            <w:tcW w:w="1272" w:type="dxa"/>
            <w:noWrap w:val="0"/>
            <w:vAlign w:val="center"/>
          </w:tcPr>
          <w:p w14:paraId="7F357F55">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8.1.1</w:t>
            </w:r>
          </w:p>
        </w:tc>
        <w:tc>
          <w:tcPr>
            <w:tcW w:w="7205" w:type="dxa"/>
            <w:noWrap w:val="0"/>
            <w:vAlign w:val="top"/>
          </w:tcPr>
          <w:p w14:paraId="77E13CE6">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发包人提供测量基准点、基准线和水准点及其书面资料的期限：</w:t>
            </w:r>
            <w:r>
              <w:rPr>
                <w:rFonts w:hint="eastAsia" w:ascii="方正仿宋_GB2312" w:hAnsi="方正仿宋_GB2312" w:eastAsia="方正仿宋_GB2312" w:cs="方正仿宋_GB2312"/>
                <w:b/>
                <w:color w:val="auto"/>
                <w:sz w:val="21"/>
                <w:szCs w:val="21"/>
                <w:highlight w:val="none"/>
                <w:u w:val="single"/>
              </w:rPr>
              <w:t>承包人接到开工通知书后14天内</w:t>
            </w:r>
            <w:r>
              <w:rPr>
                <w:rFonts w:hint="eastAsia" w:ascii="方正仿宋_GB2312" w:hAnsi="方正仿宋_GB2312" w:eastAsia="方正仿宋_GB2312" w:cs="方正仿宋_GB2312"/>
                <w:b/>
                <w:color w:val="auto"/>
                <w:sz w:val="21"/>
                <w:szCs w:val="21"/>
                <w:highlight w:val="none"/>
                <w:u w:val="single"/>
                <w:lang w:eastAsia="zh-CN"/>
              </w:rPr>
              <w:t>。</w:t>
            </w:r>
          </w:p>
          <w:p w14:paraId="7F9B807B">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 xml:space="preserve"> 承包人将施工控制网资料报送监理人审批的期限：</w:t>
            </w:r>
            <w:r>
              <w:rPr>
                <w:rFonts w:hint="eastAsia" w:ascii="方正仿宋_GB2312" w:hAnsi="方正仿宋_GB2312" w:eastAsia="方正仿宋_GB2312" w:cs="方正仿宋_GB2312"/>
                <w:b/>
                <w:color w:val="auto"/>
                <w:sz w:val="21"/>
                <w:szCs w:val="21"/>
                <w:highlight w:val="none"/>
                <w:u w:val="single"/>
              </w:rPr>
              <w:t>工程（单项工程）开工7天前</w:t>
            </w:r>
            <w:r>
              <w:rPr>
                <w:rFonts w:hint="eastAsia" w:ascii="方正仿宋_GB2312" w:hAnsi="方正仿宋_GB2312" w:eastAsia="方正仿宋_GB2312" w:cs="方正仿宋_GB2312"/>
                <w:b/>
                <w:color w:val="auto"/>
                <w:sz w:val="21"/>
                <w:szCs w:val="21"/>
                <w:highlight w:val="none"/>
                <w:u w:val="single"/>
                <w:lang w:eastAsia="zh-CN"/>
              </w:rPr>
              <w:t>。</w:t>
            </w:r>
          </w:p>
        </w:tc>
      </w:tr>
      <w:tr w14:paraId="7C33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8" w:type="dxa"/>
            <w:noWrap w:val="0"/>
            <w:vAlign w:val="center"/>
          </w:tcPr>
          <w:p w14:paraId="7B0804DC">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9</w:t>
            </w:r>
          </w:p>
        </w:tc>
        <w:tc>
          <w:tcPr>
            <w:tcW w:w="1272" w:type="dxa"/>
            <w:noWrap w:val="0"/>
            <w:vAlign w:val="center"/>
          </w:tcPr>
          <w:p w14:paraId="21F91E83">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11.5</w:t>
            </w:r>
          </w:p>
        </w:tc>
        <w:tc>
          <w:tcPr>
            <w:tcW w:w="7205" w:type="dxa"/>
            <w:noWrap w:val="0"/>
            <w:vAlign w:val="top"/>
          </w:tcPr>
          <w:p w14:paraId="618EEEF0">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逾期交工违约金：</w:t>
            </w:r>
            <w:r>
              <w:rPr>
                <w:rFonts w:hint="eastAsia" w:ascii="方正仿宋_GB2312" w:hAnsi="方正仿宋_GB2312" w:eastAsia="方正仿宋_GB2312" w:cs="方正仿宋_GB2312"/>
                <w:color w:val="auto"/>
                <w:sz w:val="21"/>
                <w:szCs w:val="21"/>
                <w:highlight w:val="none"/>
                <w:lang w:val="en-US" w:eastAsia="zh-CN"/>
              </w:rPr>
              <w:t>1000</w:t>
            </w:r>
            <w:r>
              <w:rPr>
                <w:rFonts w:hint="eastAsia" w:ascii="方正仿宋_GB2312" w:hAnsi="方正仿宋_GB2312" w:eastAsia="方正仿宋_GB2312" w:cs="方正仿宋_GB2312"/>
                <w:color w:val="auto"/>
                <w:sz w:val="21"/>
                <w:szCs w:val="21"/>
                <w:highlight w:val="none"/>
              </w:rPr>
              <w:t>元/天</w:t>
            </w:r>
          </w:p>
        </w:tc>
      </w:tr>
      <w:tr w14:paraId="7C4D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18" w:type="dxa"/>
            <w:noWrap w:val="0"/>
            <w:vAlign w:val="center"/>
          </w:tcPr>
          <w:p w14:paraId="601B6056">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10</w:t>
            </w:r>
          </w:p>
        </w:tc>
        <w:tc>
          <w:tcPr>
            <w:tcW w:w="1272" w:type="dxa"/>
            <w:noWrap w:val="0"/>
            <w:vAlign w:val="center"/>
          </w:tcPr>
          <w:p w14:paraId="7C3C109F">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11.5</w:t>
            </w:r>
          </w:p>
        </w:tc>
        <w:tc>
          <w:tcPr>
            <w:tcW w:w="7205" w:type="dxa"/>
            <w:noWrap w:val="0"/>
            <w:vAlign w:val="top"/>
          </w:tcPr>
          <w:p w14:paraId="26C0C8D5">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逾期交工违约金限额：</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%签约合同价</w:t>
            </w:r>
          </w:p>
        </w:tc>
      </w:tr>
      <w:tr w14:paraId="3875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18" w:type="dxa"/>
            <w:noWrap w:val="0"/>
            <w:vAlign w:val="center"/>
          </w:tcPr>
          <w:p w14:paraId="48F3386C">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w:t>
            </w:r>
          </w:p>
        </w:tc>
        <w:tc>
          <w:tcPr>
            <w:tcW w:w="1272" w:type="dxa"/>
            <w:noWrap w:val="0"/>
            <w:vAlign w:val="center"/>
          </w:tcPr>
          <w:p w14:paraId="0F473E7D">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11.6</w:t>
            </w:r>
          </w:p>
        </w:tc>
        <w:tc>
          <w:tcPr>
            <w:tcW w:w="7205" w:type="dxa"/>
            <w:noWrap w:val="0"/>
            <w:vAlign w:val="top"/>
          </w:tcPr>
          <w:p w14:paraId="32856258">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提前交工的奖金：/</w:t>
            </w:r>
          </w:p>
        </w:tc>
      </w:tr>
      <w:tr w14:paraId="0199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8" w:type="dxa"/>
            <w:noWrap w:val="0"/>
            <w:vAlign w:val="center"/>
          </w:tcPr>
          <w:p w14:paraId="1D3C5B7D">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12</w:t>
            </w:r>
          </w:p>
        </w:tc>
        <w:tc>
          <w:tcPr>
            <w:tcW w:w="1272" w:type="dxa"/>
            <w:noWrap w:val="0"/>
            <w:vAlign w:val="center"/>
          </w:tcPr>
          <w:p w14:paraId="1D7073D7">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11.6</w:t>
            </w:r>
          </w:p>
        </w:tc>
        <w:tc>
          <w:tcPr>
            <w:tcW w:w="7205" w:type="dxa"/>
            <w:noWrap w:val="0"/>
            <w:vAlign w:val="top"/>
          </w:tcPr>
          <w:p w14:paraId="4CDE77A7">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提前交工的奖金限额：/</w:t>
            </w:r>
          </w:p>
        </w:tc>
      </w:tr>
      <w:tr w14:paraId="53BA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818" w:type="dxa"/>
            <w:noWrap w:val="0"/>
            <w:vAlign w:val="center"/>
          </w:tcPr>
          <w:p w14:paraId="2C5DEE1D">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13</w:t>
            </w:r>
          </w:p>
        </w:tc>
        <w:tc>
          <w:tcPr>
            <w:tcW w:w="1272" w:type="dxa"/>
            <w:noWrap w:val="0"/>
            <w:vAlign w:val="center"/>
          </w:tcPr>
          <w:p w14:paraId="3C5BEC34">
            <w:pPr>
              <w:shd w:val="clear"/>
              <w:tabs>
                <w:tab w:val="left" w:pos="1080"/>
              </w:tabs>
              <w:spacing w:line="36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15.5.2</w:t>
            </w:r>
          </w:p>
        </w:tc>
        <w:tc>
          <w:tcPr>
            <w:tcW w:w="7205" w:type="dxa"/>
            <w:noWrap w:val="0"/>
            <w:vAlign w:val="top"/>
          </w:tcPr>
          <w:p w14:paraId="75AA737A">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lang w:val="en-US" w:eastAsia="zh-CN"/>
              </w:rPr>
              <w:t>/</w:t>
            </w:r>
          </w:p>
        </w:tc>
      </w:tr>
    </w:tbl>
    <w:p w14:paraId="26795742">
      <w:pPr>
        <w:shd w:val="clear"/>
        <w:tabs>
          <w:tab w:val="left" w:pos="1080"/>
        </w:tabs>
        <w:spacing w:line="100" w:lineRule="exact"/>
        <w:rPr>
          <w:rFonts w:hint="eastAsia" w:ascii="方正仿宋_GB2312" w:hAnsi="方正仿宋_GB2312" w:eastAsia="方正仿宋_GB2312" w:cs="方正仿宋_GB2312"/>
          <w:color w:val="auto"/>
          <w:sz w:val="18"/>
          <w:szCs w:val="18"/>
          <w:highlight w:val="none"/>
        </w:rPr>
        <w:sectPr>
          <w:headerReference r:id="rId16" w:type="first"/>
          <w:headerReference r:id="rId15" w:type="default"/>
          <w:pgSz w:w="11906" w:h="16838"/>
          <w:pgMar w:top="1440" w:right="1474" w:bottom="1440" w:left="1588" w:header="851" w:footer="992" w:gutter="0"/>
          <w:pgNumType w:fmt="decimal"/>
          <w:cols w:space="720" w:num="1"/>
          <w:titlePg/>
          <w:docGrid w:linePitch="312" w:charSpace="0"/>
        </w:sectPr>
      </w:pPr>
    </w:p>
    <w:p w14:paraId="0E41140F">
      <w:pPr>
        <w:shd w:val="clear"/>
        <w:tabs>
          <w:tab w:val="left" w:pos="1080"/>
        </w:tabs>
        <w:spacing w:line="100" w:lineRule="exact"/>
        <w:rPr>
          <w:rFonts w:hint="eastAsia" w:ascii="方正仿宋_GB2312" w:hAnsi="方正仿宋_GB2312" w:eastAsia="方正仿宋_GB2312" w:cs="方正仿宋_GB2312"/>
          <w:color w:val="auto"/>
          <w:sz w:val="18"/>
          <w:szCs w:val="18"/>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261"/>
        <w:gridCol w:w="7205"/>
        <w:gridCol w:w="8"/>
      </w:tblGrid>
      <w:tr w14:paraId="5F77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29" w:type="dxa"/>
            <w:noWrap w:val="0"/>
            <w:vAlign w:val="center"/>
          </w:tcPr>
          <w:p w14:paraId="28925428">
            <w:pPr>
              <w:shd w:val="clear"/>
              <w:tabs>
                <w:tab w:val="left" w:pos="1080"/>
              </w:tabs>
              <w:spacing w:line="28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序号</w:t>
            </w:r>
          </w:p>
        </w:tc>
        <w:tc>
          <w:tcPr>
            <w:tcW w:w="1261" w:type="dxa"/>
            <w:noWrap w:val="0"/>
            <w:vAlign w:val="center"/>
          </w:tcPr>
          <w:p w14:paraId="0EFBABA4">
            <w:pPr>
              <w:shd w:val="clear"/>
              <w:tabs>
                <w:tab w:val="left" w:pos="1080"/>
              </w:tabs>
              <w:spacing w:line="28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条目号</w:t>
            </w:r>
          </w:p>
        </w:tc>
        <w:tc>
          <w:tcPr>
            <w:tcW w:w="7213" w:type="dxa"/>
            <w:gridSpan w:val="2"/>
            <w:noWrap w:val="0"/>
            <w:vAlign w:val="center"/>
          </w:tcPr>
          <w:p w14:paraId="2DDAF0AC">
            <w:pPr>
              <w:shd w:val="clear"/>
              <w:tabs>
                <w:tab w:val="left" w:pos="1080"/>
              </w:tabs>
              <w:spacing w:line="280" w:lineRule="exact"/>
              <w:jc w:val="center"/>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信 息 或 数 据</w:t>
            </w:r>
          </w:p>
        </w:tc>
      </w:tr>
      <w:tr w14:paraId="28F5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829" w:type="dxa"/>
            <w:noWrap w:val="0"/>
            <w:vAlign w:val="center"/>
          </w:tcPr>
          <w:p w14:paraId="007E9BC5">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14</w:t>
            </w:r>
          </w:p>
        </w:tc>
        <w:tc>
          <w:tcPr>
            <w:tcW w:w="1261" w:type="dxa"/>
            <w:noWrap w:val="0"/>
            <w:vAlign w:val="center"/>
          </w:tcPr>
          <w:p w14:paraId="3079D51D">
            <w:pPr>
              <w:shd w:val="clear"/>
              <w:tabs>
                <w:tab w:val="left" w:pos="1080"/>
              </w:tabs>
              <w:spacing w:line="280" w:lineRule="exact"/>
              <w:jc w:val="center"/>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16</w:t>
            </w:r>
            <w:r>
              <w:rPr>
                <w:rFonts w:hint="eastAsia" w:ascii="方正仿宋_GB2312" w:hAnsi="方正仿宋_GB2312" w:eastAsia="方正仿宋_GB2312" w:cs="方正仿宋_GB2312"/>
                <w:color w:val="auto"/>
                <w:sz w:val="21"/>
                <w:szCs w:val="21"/>
                <w:highlight w:val="none"/>
                <w:lang w:val="en-US" w:eastAsia="zh-CN"/>
              </w:rPr>
              <w:t>.1</w:t>
            </w:r>
          </w:p>
        </w:tc>
        <w:tc>
          <w:tcPr>
            <w:tcW w:w="7213" w:type="dxa"/>
            <w:gridSpan w:val="2"/>
            <w:noWrap w:val="0"/>
            <w:vAlign w:val="center"/>
          </w:tcPr>
          <w:p w14:paraId="0FD7952B">
            <w:pPr>
              <w:shd w:val="clear"/>
              <w:tabs>
                <w:tab w:val="left" w:pos="1080"/>
              </w:tabs>
              <w:spacing w:line="44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物价（市场）价格波动是否调整合同价的约定：材料调差包括钢材、水泥、商品砼、砂、碎石等所有材料市场价格浮动在±5%（含）以外的价格风险及工程量清单漏项、变更、签证和政策性调整、不可抗力、《承包人提供主要材料和设备一览表》约定的材料、设备价格变动风险以外的其他风险。</w:t>
            </w:r>
          </w:p>
          <w:p w14:paraId="546FD040">
            <w:pPr>
              <w:shd w:val="clear"/>
              <w:tabs>
                <w:tab w:val="left" w:pos="1080"/>
              </w:tabs>
              <w:spacing w:line="44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因市场价格波动调整合同价格，</w:t>
            </w:r>
            <w:r>
              <w:rPr>
                <w:rFonts w:hint="eastAsia" w:ascii="方正仿宋_GB2312" w:hAnsi="方正仿宋_GB2312" w:eastAsia="方正仿宋_GB2312" w:cs="方正仿宋_GB2312"/>
                <w:color w:val="auto"/>
                <w:sz w:val="21"/>
                <w:szCs w:val="21"/>
                <w:highlight w:val="none"/>
                <w:lang w:eastAsia="zh-CN"/>
              </w:rPr>
              <w:t>按施工期间《南宁市建设工程造价信息》</w:t>
            </w:r>
            <w:r>
              <w:rPr>
                <w:rFonts w:hint="eastAsia" w:ascii="方正仿宋_GB2312" w:hAnsi="方正仿宋_GB2312" w:eastAsia="方正仿宋_GB2312" w:cs="方正仿宋_GB2312"/>
                <w:color w:val="auto"/>
                <w:sz w:val="21"/>
                <w:szCs w:val="21"/>
                <w:highlight w:val="none"/>
              </w:rPr>
              <w:t>马山县对应乡镇</w:t>
            </w:r>
            <w:r>
              <w:rPr>
                <w:rFonts w:hint="eastAsia" w:ascii="方正仿宋_GB2312" w:hAnsi="方正仿宋_GB2312" w:eastAsia="方正仿宋_GB2312" w:cs="方正仿宋_GB2312"/>
                <w:color w:val="auto"/>
                <w:sz w:val="21"/>
                <w:szCs w:val="21"/>
                <w:highlight w:val="none"/>
                <w:lang w:eastAsia="zh-CN"/>
              </w:rPr>
              <w:t>材料信息价的加权平均价计算，信息价没有的按专用条款规定确定。</w:t>
            </w:r>
            <w:r>
              <w:rPr>
                <w:rFonts w:hint="eastAsia" w:ascii="方正仿宋_GB2312" w:hAnsi="方正仿宋_GB2312" w:eastAsia="方正仿宋_GB2312" w:cs="方正仿宋_GB2312"/>
                <w:color w:val="auto"/>
                <w:sz w:val="21"/>
                <w:szCs w:val="21"/>
                <w:highlight w:val="none"/>
              </w:rPr>
              <w:t>《南宁建设工程造价信息》没有相应价格信息的按市场价由发包人询价确定；无定额可套的，根据市场价格由发包人询价后按相关造价法规、编制办法编制确定综合价格；新增项目的单价必须经发包人审定进行价格调整：</w:t>
            </w:r>
          </w:p>
          <w:p w14:paraId="43955C33">
            <w:pPr>
              <w:shd w:val="clear"/>
              <w:tabs>
                <w:tab w:val="left" w:pos="1080"/>
              </w:tabs>
              <w:spacing w:line="440" w:lineRule="exac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（1）允许调整的主要材料和设备、基期价格、风险系数、投标报价；</w:t>
            </w:r>
          </w:p>
          <w:p w14:paraId="17CAEBD7">
            <w:pPr>
              <w:shd w:val="clear"/>
              <w:tabs>
                <w:tab w:val="left" w:pos="1080"/>
              </w:tabs>
              <w:spacing w:line="440" w:lineRule="exact"/>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（2）主要材料和设备确认价</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lang w:eastAsia="zh-CN"/>
              </w:rPr>
              <w:t>按《南宁建设工程造价信息》2026年第</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lang w:eastAsia="zh-CN"/>
              </w:rPr>
              <w:t>期</w:t>
            </w:r>
            <w:r>
              <w:rPr>
                <w:rFonts w:hint="eastAsia" w:ascii="方正仿宋_GB2312" w:hAnsi="方正仿宋_GB2312" w:eastAsia="方正仿宋_GB2312" w:cs="方正仿宋_GB2312"/>
                <w:color w:val="auto"/>
                <w:sz w:val="21"/>
                <w:szCs w:val="21"/>
                <w:highlight w:val="none"/>
                <w:lang w:val="en-US" w:eastAsia="zh-CN"/>
              </w:rPr>
              <w:t>上</w:t>
            </w:r>
            <w:r>
              <w:rPr>
                <w:rFonts w:hint="eastAsia" w:ascii="方正仿宋_GB2312" w:hAnsi="方正仿宋_GB2312" w:eastAsia="方正仿宋_GB2312" w:cs="方正仿宋_GB2312"/>
                <w:color w:val="auto"/>
                <w:sz w:val="21"/>
                <w:szCs w:val="21"/>
                <w:highlight w:val="none"/>
                <w:lang w:eastAsia="zh-CN"/>
              </w:rPr>
              <w:t>半月信息价计取，信息价中没有的材料价格参考市场价除税价。</w:t>
            </w:r>
          </w:p>
          <w:p w14:paraId="3B410569">
            <w:pPr>
              <w:shd w:val="clear"/>
              <w:tabs>
                <w:tab w:val="left" w:pos="1080"/>
              </w:tabs>
              <w:spacing w:line="440" w:lineRule="exact"/>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rPr>
              <w:t>（3）价差计算法。承包人提供的主要材料和设备一览表中，材料和设备投标价低于（或高于）基准价格的：合同履行期间，材料和设备价格单价涨幅（或跌幅）以基准价格为基础超过约定的风险范围时，其超过部分据实调整。</w:t>
            </w:r>
          </w:p>
        </w:tc>
      </w:tr>
      <w:tr w14:paraId="2264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29" w:type="dxa"/>
            <w:noWrap w:val="0"/>
            <w:vAlign w:val="center"/>
          </w:tcPr>
          <w:p w14:paraId="28A05882">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15</w:t>
            </w:r>
          </w:p>
        </w:tc>
        <w:tc>
          <w:tcPr>
            <w:tcW w:w="1261" w:type="dxa"/>
            <w:noWrap w:val="0"/>
            <w:vAlign w:val="center"/>
          </w:tcPr>
          <w:p w14:paraId="1C21317A">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17.2.1</w:t>
            </w:r>
          </w:p>
        </w:tc>
        <w:tc>
          <w:tcPr>
            <w:tcW w:w="7213" w:type="dxa"/>
            <w:gridSpan w:val="2"/>
            <w:noWrap w:val="0"/>
            <w:vAlign w:val="center"/>
          </w:tcPr>
          <w:p w14:paraId="0489020A">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开工预付款金额：签约合同价的30%。</w:t>
            </w:r>
          </w:p>
        </w:tc>
      </w:tr>
      <w:tr w14:paraId="5331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29" w:type="dxa"/>
            <w:noWrap w:val="0"/>
            <w:vAlign w:val="center"/>
          </w:tcPr>
          <w:p w14:paraId="67E5F371">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16</w:t>
            </w:r>
          </w:p>
        </w:tc>
        <w:tc>
          <w:tcPr>
            <w:tcW w:w="1261" w:type="dxa"/>
            <w:noWrap w:val="0"/>
            <w:vAlign w:val="center"/>
          </w:tcPr>
          <w:p w14:paraId="61017EE2">
            <w:pPr>
              <w:shd w:val="clear"/>
              <w:tabs>
                <w:tab w:val="left" w:pos="1080"/>
              </w:tabs>
              <w:spacing w:line="280" w:lineRule="exact"/>
              <w:jc w:val="center"/>
              <w:rPr>
                <w:rFonts w:hint="default"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17.3</w:t>
            </w:r>
          </w:p>
        </w:tc>
        <w:tc>
          <w:tcPr>
            <w:tcW w:w="7213" w:type="dxa"/>
            <w:gridSpan w:val="2"/>
            <w:noWrap w:val="0"/>
            <w:vAlign w:val="center"/>
          </w:tcPr>
          <w:p w14:paraId="6008A7EF">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按工程进度支付并抵扣预付款。工程</w:t>
            </w:r>
            <w:r>
              <w:rPr>
                <w:rFonts w:hint="eastAsia" w:ascii="方正仿宋_GB2312" w:hAnsi="方正仿宋_GB2312" w:eastAsia="方正仿宋_GB2312" w:cs="方正仿宋_GB2312"/>
                <w:bCs/>
                <w:color w:val="auto"/>
                <w:szCs w:val="21"/>
                <w:highlight w:val="none"/>
                <w:lang w:eastAsia="zh-CN"/>
              </w:rPr>
              <w:t>交工</w:t>
            </w:r>
            <w:r>
              <w:rPr>
                <w:rFonts w:hint="eastAsia" w:ascii="方正仿宋_GB2312" w:hAnsi="方正仿宋_GB2312" w:eastAsia="方正仿宋_GB2312" w:cs="方正仿宋_GB2312"/>
                <w:color w:val="auto"/>
                <w:sz w:val="21"/>
                <w:szCs w:val="21"/>
                <w:highlight w:val="none"/>
              </w:rPr>
              <w:t>验收合格后可拨付至合同价总额的90%（预付及按进度拨付的资金总额不超过合同价总额的90%）。</w:t>
            </w:r>
          </w:p>
        </w:tc>
      </w:tr>
      <w:tr w14:paraId="2DFF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829" w:type="dxa"/>
            <w:noWrap w:val="0"/>
            <w:vAlign w:val="center"/>
          </w:tcPr>
          <w:p w14:paraId="7C79B462">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w:t>
            </w:r>
          </w:p>
        </w:tc>
        <w:tc>
          <w:tcPr>
            <w:tcW w:w="1261" w:type="dxa"/>
            <w:noWrap w:val="0"/>
            <w:vAlign w:val="center"/>
          </w:tcPr>
          <w:p w14:paraId="300082D7">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17.3.2</w:t>
            </w:r>
          </w:p>
        </w:tc>
        <w:tc>
          <w:tcPr>
            <w:tcW w:w="7213" w:type="dxa"/>
            <w:gridSpan w:val="2"/>
            <w:noWrap w:val="0"/>
            <w:vAlign w:val="center"/>
          </w:tcPr>
          <w:p w14:paraId="4C4303D6">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承包人在每个付款周期末向监理人提交进度付款申请单的份数：4份。</w:t>
            </w:r>
          </w:p>
        </w:tc>
      </w:tr>
      <w:tr w14:paraId="56B2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29" w:type="dxa"/>
            <w:noWrap w:val="0"/>
            <w:vAlign w:val="center"/>
          </w:tcPr>
          <w:p w14:paraId="74BE99FA">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18</w:t>
            </w:r>
          </w:p>
        </w:tc>
        <w:tc>
          <w:tcPr>
            <w:tcW w:w="1261" w:type="dxa"/>
            <w:noWrap w:val="0"/>
            <w:vAlign w:val="center"/>
          </w:tcPr>
          <w:p w14:paraId="48B3C43B">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17.3.3(1)</w:t>
            </w:r>
          </w:p>
        </w:tc>
        <w:tc>
          <w:tcPr>
            <w:tcW w:w="7213" w:type="dxa"/>
            <w:gridSpan w:val="2"/>
            <w:noWrap w:val="0"/>
            <w:vAlign w:val="center"/>
          </w:tcPr>
          <w:p w14:paraId="2086439F">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进度付款证书最低限额：0.3%签约合同价。</w:t>
            </w:r>
          </w:p>
        </w:tc>
      </w:tr>
      <w:tr w14:paraId="03C8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29" w:type="dxa"/>
            <w:noWrap w:val="0"/>
            <w:vAlign w:val="center"/>
          </w:tcPr>
          <w:p w14:paraId="7EB3C839">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19</w:t>
            </w:r>
          </w:p>
        </w:tc>
        <w:tc>
          <w:tcPr>
            <w:tcW w:w="1261" w:type="dxa"/>
            <w:noWrap w:val="0"/>
            <w:vAlign w:val="center"/>
          </w:tcPr>
          <w:p w14:paraId="600EFA14">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17.3.3(2)</w:t>
            </w:r>
          </w:p>
        </w:tc>
        <w:tc>
          <w:tcPr>
            <w:tcW w:w="7213" w:type="dxa"/>
            <w:gridSpan w:val="2"/>
            <w:noWrap w:val="0"/>
            <w:vAlign w:val="center"/>
          </w:tcPr>
          <w:p w14:paraId="202C553B">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逾期付款违约金的的利率：0.15‰/天。</w:t>
            </w:r>
          </w:p>
        </w:tc>
      </w:tr>
      <w:tr w14:paraId="029A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29" w:type="dxa"/>
            <w:noWrap w:val="0"/>
            <w:vAlign w:val="center"/>
          </w:tcPr>
          <w:p w14:paraId="50C5F1A7">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20</w:t>
            </w:r>
          </w:p>
        </w:tc>
        <w:tc>
          <w:tcPr>
            <w:tcW w:w="1261" w:type="dxa"/>
            <w:noWrap w:val="0"/>
            <w:vAlign w:val="center"/>
          </w:tcPr>
          <w:p w14:paraId="1E76B41C">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17.4.1</w:t>
            </w:r>
          </w:p>
        </w:tc>
        <w:tc>
          <w:tcPr>
            <w:tcW w:w="7213" w:type="dxa"/>
            <w:gridSpan w:val="2"/>
            <w:noWrap w:val="0"/>
            <w:vAlign w:val="center"/>
          </w:tcPr>
          <w:p w14:paraId="35CEE51B">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质量保证金百分比：</w:t>
            </w:r>
            <w:r>
              <w:rPr>
                <w:rFonts w:hint="eastAsia" w:ascii="方正仿宋_GB2312" w:hAnsi="方正仿宋_GB2312" w:eastAsia="方正仿宋_GB2312" w:cs="方正仿宋_GB2312"/>
                <w:color w:val="auto"/>
                <w:sz w:val="21"/>
                <w:szCs w:val="21"/>
                <w:highlight w:val="none"/>
                <w:lang w:val="en-US" w:eastAsia="zh-CN"/>
              </w:rPr>
              <w:t>结算审定总价的3%</w:t>
            </w:r>
          </w:p>
        </w:tc>
      </w:tr>
      <w:tr w14:paraId="2568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829" w:type="dxa"/>
            <w:noWrap w:val="0"/>
            <w:vAlign w:val="center"/>
          </w:tcPr>
          <w:p w14:paraId="63303F60">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21</w:t>
            </w:r>
          </w:p>
        </w:tc>
        <w:tc>
          <w:tcPr>
            <w:tcW w:w="1261" w:type="dxa"/>
            <w:noWrap w:val="0"/>
            <w:vAlign w:val="center"/>
          </w:tcPr>
          <w:p w14:paraId="3DFC2CC8">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17.4.1</w:t>
            </w:r>
          </w:p>
        </w:tc>
        <w:tc>
          <w:tcPr>
            <w:tcW w:w="7213" w:type="dxa"/>
            <w:gridSpan w:val="2"/>
            <w:noWrap w:val="0"/>
            <w:vAlign w:val="center"/>
          </w:tcPr>
          <w:p w14:paraId="21A733A5">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质量保证金限额：</w:t>
            </w:r>
            <w:r>
              <w:rPr>
                <w:rFonts w:hint="eastAsia" w:ascii="方正仿宋_GB2312" w:hAnsi="方正仿宋_GB2312" w:eastAsia="方正仿宋_GB2312" w:cs="方正仿宋_GB2312"/>
                <w:color w:val="auto"/>
                <w:sz w:val="21"/>
                <w:szCs w:val="21"/>
                <w:highlight w:val="none"/>
                <w:lang w:val="en-US" w:eastAsia="zh-CN"/>
              </w:rPr>
              <w:t>结算审定总价的3%</w:t>
            </w:r>
          </w:p>
        </w:tc>
      </w:tr>
      <w:tr w14:paraId="3000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29" w:type="dxa"/>
            <w:noWrap w:val="0"/>
            <w:vAlign w:val="center"/>
          </w:tcPr>
          <w:p w14:paraId="6A515E10">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22</w:t>
            </w:r>
          </w:p>
        </w:tc>
        <w:tc>
          <w:tcPr>
            <w:tcW w:w="1261" w:type="dxa"/>
            <w:noWrap w:val="0"/>
            <w:vAlign w:val="center"/>
          </w:tcPr>
          <w:p w14:paraId="496E889F">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17.5.1</w:t>
            </w:r>
          </w:p>
        </w:tc>
        <w:tc>
          <w:tcPr>
            <w:tcW w:w="7213" w:type="dxa"/>
            <w:gridSpan w:val="2"/>
            <w:noWrap w:val="0"/>
            <w:vAlign w:val="center"/>
          </w:tcPr>
          <w:p w14:paraId="4DF46EC2">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承包人向监理人提交交工付款申请单（包括相关证明材料）的份数：2份。</w:t>
            </w:r>
          </w:p>
        </w:tc>
      </w:tr>
      <w:tr w14:paraId="25F6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29" w:type="dxa"/>
            <w:noWrap w:val="0"/>
            <w:vAlign w:val="center"/>
          </w:tcPr>
          <w:p w14:paraId="501FBB21">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23</w:t>
            </w:r>
          </w:p>
        </w:tc>
        <w:tc>
          <w:tcPr>
            <w:tcW w:w="1261" w:type="dxa"/>
            <w:noWrap w:val="0"/>
            <w:vAlign w:val="center"/>
          </w:tcPr>
          <w:p w14:paraId="3A479803">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17.6.1</w:t>
            </w:r>
          </w:p>
        </w:tc>
        <w:tc>
          <w:tcPr>
            <w:tcW w:w="7213" w:type="dxa"/>
            <w:gridSpan w:val="2"/>
            <w:noWrap w:val="0"/>
            <w:vAlign w:val="center"/>
          </w:tcPr>
          <w:p w14:paraId="696BC8A7">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承包人向监理人提交最终结清申请单（包括相关证明材料）的份数：2份。</w:t>
            </w:r>
          </w:p>
        </w:tc>
      </w:tr>
      <w:tr w14:paraId="5119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9" w:type="dxa"/>
            <w:noWrap w:val="0"/>
            <w:vAlign w:val="center"/>
          </w:tcPr>
          <w:p w14:paraId="362B1A16">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24</w:t>
            </w:r>
          </w:p>
        </w:tc>
        <w:tc>
          <w:tcPr>
            <w:tcW w:w="1261" w:type="dxa"/>
            <w:noWrap w:val="0"/>
            <w:vAlign w:val="center"/>
          </w:tcPr>
          <w:p w14:paraId="60FA8DE3">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18.2</w:t>
            </w:r>
          </w:p>
        </w:tc>
        <w:tc>
          <w:tcPr>
            <w:tcW w:w="7213" w:type="dxa"/>
            <w:gridSpan w:val="2"/>
            <w:noWrap w:val="0"/>
            <w:vAlign w:val="center"/>
          </w:tcPr>
          <w:p w14:paraId="7AD934A5">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竣工资料的份数：2份。</w:t>
            </w:r>
          </w:p>
        </w:tc>
      </w:tr>
      <w:tr w14:paraId="1EC5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29" w:type="dxa"/>
            <w:noWrap w:val="0"/>
            <w:vAlign w:val="center"/>
          </w:tcPr>
          <w:p w14:paraId="45B61435">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25</w:t>
            </w:r>
          </w:p>
        </w:tc>
        <w:tc>
          <w:tcPr>
            <w:tcW w:w="1261" w:type="dxa"/>
            <w:noWrap w:val="0"/>
            <w:vAlign w:val="center"/>
          </w:tcPr>
          <w:p w14:paraId="2B38E757">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18.5.1</w:t>
            </w:r>
          </w:p>
        </w:tc>
        <w:tc>
          <w:tcPr>
            <w:tcW w:w="7213" w:type="dxa"/>
            <w:gridSpan w:val="2"/>
            <w:noWrap w:val="0"/>
            <w:vAlign w:val="center"/>
          </w:tcPr>
          <w:p w14:paraId="44D2F990">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单位工程或工程设备是否需投入施工期运行：是。</w:t>
            </w:r>
          </w:p>
        </w:tc>
      </w:tr>
      <w:tr w14:paraId="6D68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29" w:type="dxa"/>
            <w:noWrap w:val="0"/>
            <w:vAlign w:val="center"/>
          </w:tcPr>
          <w:p w14:paraId="625BD1DD">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26</w:t>
            </w:r>
          </w:p>
        </w:tc>
        <w:tc>
          <w:tcPr>
            <w:tcW w:w="1261" w:type="dxa"/>
            <w:noWrap w:val="0"/>
            <w:vAlign w:val="center"/>
          </w:tcPr>
          <w:p w14:paraId="4E9ECF9A">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18.6.1</w:t>
            </w:r>
          </w:p>
        </w:tc>
        <w:tc>
          <w:tcPr>
            <w:tcW w:w="7213" w:type="dxa"/>
            <w:gridSpan w:val="2"/>
            <w:noWrap w:val="0"/>
            <w:vAlign w:val="center"/>
          </w:tcPr>
          <w:p w14:paraId="127B94FF">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本工程及工程设备是否进行试运行：否。</w:t>
            </w:r>
          </w:p>
        </w:tc>
      </w:tr>
      <w:tr w14:paraId="0A00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82" w:hRule="atLeast"/>
        </w:trPr>
        <w:tc>
          <w:tcPr>
            <w:tcW w:w="829" w:type="dxa"/>
            <w:noWrap w:val="0"/>
            <w:vAlign w:val="center"/>
          </w:tcPr>
          <w:p w14:paraId="2B1E3D39">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27</w:t>
            </w:r>
          </w:p>
        </w:tc>
        <w:tc>
          <w:tcPr>
            <w:tcW w:w="1261" w:type="dxa"/>
            <w:noWrap w:val="0"/>
            <w:vAlign w:val="center"/>
          </w:tcPr>
          <w:p w14:paraId="35296710">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19.7</w:t>
            </w:r>
          </w:p>
        </w:tc>
        <w:tc>
          <w:tcPr>
            <w:tcW w:w="7205" w:type="dxa"/>
            <w:noWrap w:val="0"/>
            <w:vAlign w:val="center"/>
          </w:tcPr>
          <w:p w14:paraId="3C96D290">
            <w:pPr>
              <w:shd w:val="clear"/>
              <w:tabs>
                <w:tab w:val="left" w:pos="1080"/>
              </w:tabs>
              <w:spacing w:line="440" w:lineRule="exact"/>
              <w:ind w:firstLine="210" w:firstLineChars="1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保修期：自工程</w:t>
            </w:r>
            <w:r>
              <w:rPr>
                <w:rFonts w:hint="eastAsia" w:ascii="方正仿宋_GB2312" w:hAnsi="方正仿宋_GB2312" w:eastAsia="方正仿宋_GB2312" w:cs="方正仿宋_GB2312"/>
                <w:color w:val="auto"/>
                <w:sz w:val="21"/>
                <w:szCs w:val="21"/>
                <w:highlight w:val="none"/>
                <w:lang w:eastAsia="zh-CN"/>
              </w:rPr>
              <w:t>交工</w:t>
            </w:r>
            <w:r>
              <w:rPr>
                <w:rFonts w:hint="eastAsia" w:ascii="方正仿宋_GB2312" w:hAnsi="方正仿宋_GB2312" w:eastAsia="方正仿宋_GB2312" w:cs="方正仿宋_GB2312"/>
                <w:color w:val="auto"/>
                <w:sz w:val="21"/>
                <w:szCs w:val="21"/>
                <w:highlight w:val="none"/>
              </w:rPr>
              <w:t>验收认定为合格工程之日起计时</w:t>
            </w:r>
            <w:r>
              <w:rPr>
                <w:rFonts w:hint="eastAsia" w:ascii="方正仿宋_GB2312" w:hAnsi="方正仿宋_GB2312" w:eastAsia="方正仿宋_GB2312" w:cs="方正仿宋_GB2312"/>
                <w:color w:val="auto"/>
                <w:sz w:val="21"/>
                <w:szCs w:val="21"/>
                <w:highlight w:val="none"/>
                <w:u w:val="single"/>
                <w:lang w:val="en-US" w:eastAsia="zh-CN"/>
              </w:rPr>
              <w:t>1</w:t>
            </w:r>
            <w:r>
              <w:rPr>
                <w:rFonts w:hint="eastAsia" w:ascii="方正仿宋_GB2312" w:hAnsi="方正仿宋_GB2312" w:eastAsia="方正仿宋_GB2312" w:cs="方正仿宋_GB2312"/>
                <w:color w:val="auto"/>
                <w:sz w:val="21"/>
                <w:szCs w:val="21"/>
                <w:highlight w:val="none"/>
                <w:lang w:eastAsia="zh-CN"/>
              </w:rPr>
              <w:t>年</w:t>
            </w:r>
          </w:p>
        </w:tc>
      </w:tr>
      <w:tr w14:paraId="6FE3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09" w:hRule="atLeast"/>
        </w:trPr>
        <w:tc>
          <w:tcPr>
            <w:tcW w:w="829" w:type="dxa"/>
            <w:noWrap w:val="0"/>
            <w:vAlign w:val="center"/>
          </w:tcPr>
          <w:p w14:paraId="0BF3C3DF">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28</w:t>
            </w:r>
          </w:p>
        </w:tc>
        <w:tc>
          <w:tcPr>
            <w:tcW w:w="1261" w:type="dxa"/>
            <w:noWrap w:val="0"/>
            <w:vAlign w:val="center"/>
          </w:tcPr>
          <w:p w14:paraId="2747D078">
            <w:pPr>
              <w:shd w:val="clea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20.1</w:t>
            </w:r>
          </w:p>
        </w:tc>
        <w:tc>
          <w:tcPr>
            <w:tcW w:w="7205" w:type="dxa"/>
            <w:noWrap w:val="0"/>
            <w:vAlign w:val="center"/>
          </w:tcPr>
          <w:p w14:paraId="036FB377">
            <w:pPr>
              <w:shd w:val="clea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建筑工程一切险的保险费率：</w:t>
            </w:r>
            <w:r>
              <w:rPr>
                <w:rFonts w:hint="eastAsia" w:ascii="方正仿宋_GB2312" w:hAnsi="方正仿宋_GB2312" w:eastAsia="方正仿宋_GB2312" w:cs="方正仿宋_GB2312"/>
                <w:color w:val="auto"/>
                <w:sz w:val="21"/>
                <w:szCs w:val="21"/>
                <w:highlight w:val="none"/>
                <w:u w:val="single"/>
                <w:lang w:val="en-US" w:eastAsia="zh-CN"/>
              </w:rPr>
              <w:t>/</w:t>
            </w:r>
          </w:p>
        </w:tc>
      </w:tr>
      <w:tr w14:paraId="2E34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51" w:hRule="atLeast"/>
        </w:trPr>
        <w:tc>
          <w:tcPr>
            <w:tcW w:w="829" w:type="dxa"/>
            <w:noWrap w:val="0"/>
            <w:vAlign w:val="center"/>
          </w:tcPr>
          <w:p w14:paraId="6865DDB4">
            <w:pP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29</w:t>
            </w:r>
          </w:p>
        </w:tc>
        <w:tc>
          <w:tcPr>
            <w:tcW w:w="1261" w:type="dxa"/>
            <w:noWrap w:val="0"/>
            <w:vAlign w:val="center"/>
          </w:tcPr>
          <w:p w14:paraId="36A7C2A4">
            <w:pP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20.4.2</w:t>
            </w:r>
          </w:p>
        </w:tc>
        <w:tc>
          <w:tcPr>
            <w:tcW w:w="7205" w:type="dxa"/>
            <w:noWrap w:val="0"/>
            <w:vAlign w:val="center"/>
          </w:tcPr>
          <w:p w14:paraId="56A26EA8">
            <w:pP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第三者责任险的最低投保金额：</w:t>
            </w:r>
            <w:r>
              <w:rPr>
                <w:rFonts w:hint="eastAsia" w:ascii="方正仿宋_GB2312" w:hAnsi="方正仿宋_GB2312" w:eastAsia="方正仿宋_GB2312" w:cs="方正仿宋_GB2312"/>
                <w:color w:val="auto"/>
                <w:sz w:val="21"/>
                <w:szCs w:val="21"/>
                <w:highlight w:val="none"/>
                <w:u w:val="single"/>
                <w:lang w:val="en-US" w:eastAsia="zh-CN"/>
              </w:rPr>
              <w:t>/</w:t>
            </w:r>
          </w:p>
          <w:p w14:paraId="6B6033F6">
            <w:pP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保险费率：</w:t>
            </w:r>
            <w:r>
              <w:rPr>
                <w:rFonts w:hint="eastAsia" w:ascii="方正仿宋_GB2312" w:hAnsi="方正仿宋_GB2312" w:eastAsia="方正仿宋_GB2312" w:cs="方正仿宋_GB2312"/>
                <w:color w:val="auto"/>
                <w:sz w:val="21"/>
                <w:szCs w:val="21"/>
                <w:highlight w:val="none"/>
                <w:u w:val="single"/>
                <w:lang w:val="en-US" w:eastAsia="zh-CN"/>
              </w:rPr>
              <w:t>/</w:t>
            </w:r>
          </w:p>
        </w:tc>
      </w:tr>
      <w:tr w14:paraId="3662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70" w:hRule="atLeast"/>
        </w:trPr>
        <w:tc>
          <w:tcPr>
            <w:tcW w:w="829" w:type="dxa"/>
            <w:noWrap w:val="0"/>
            <w:vAlign w:val="center"/>
          </w:tcPr>
          <w:p w14:paraId="4D52F3C6">
            <w:pP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30</w:t>
            </w:r>
          </w:p>
        </w:tc>
        <w:tc>
          <w:tcPr>
            <w:tcW w:w="1261" w:type="dxa"/>
            <w:noWrap w:val="0"/>
            <w:vAlign w:val="center"/>
          </w:tcPr>
          <w:p w14:paraId="1C358C7B">
            <w:pPr>
              <w:tabs>
                <w:tab w:val="left" w:pos="1080"/>
              </w:tabs>
              <w:spacing w:line="280" w:lineRule="exact"/>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24.1</w:t>
            </w:r>
          </w:p>
        </w:tc>
        <w:tc>
          <w:tcPr>
            <w:tcW w:w="7205" w:type="dxa"/>
            <w:noWrap w:val="0"/>
            <w:vAlign w:val="center"/>
          </w:tcPr>
          <w:p w14:paraId="46F7BD37">
            <w:pPr>
              <w:tabs>
                <w:tab w:val="left" w:pos="1080"/>
              </w:tabs>
              <w:spacing w:line="440" w:lineRule="exact"/>
              <w:ind w:firstLine="210" w:firstLineChars="100"/>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争议的最终解决方式：</w:t>
            </w:r>
            <w:r>
              <w:rPr>
                <w:rFonts w:hint="eastAsia" w:ascii="方正仿宋_GB2312" w:hAnsi="方正仿宋_GB2312" w:eastAsia="方正仿宋_GB2312" w:cs="方正仿宋_GB2312"/>
                <w:color w:val="auto"/>
                <w:sz w:val="21"/>
                <w:szCs w:val="21"/>
                <w:highlight w:val="none"/>
                <w:u w:val="single"/>
              </w:rPr>
              <w:t>仲裁或诉讼。</w:t>
            </w:r>
          </w:p>
          <w:p w14:paraId="59FE6D81">
            <w:pPr>
              <w:tabs>
                <w:tab w:val="left" w:pos="1080"/>
              </w:tabs>
              <w:spacing w:line="440" w:lineRule="exact"/>
              <w:ind w:firstLine="210" w:firstLineChars="1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color w:val="auto"/>
                <w:sz w:val="21"/>
                <w:szCs w:val="21"/>
                <w:highlight w:val="none"/>
              </w:rPr>
              <w:t>如采用仲裁</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rPr>
              <w:t>仲裁委员会名称：</w:t>
            </w:r>
            <w:r>
              <w:rPr>
                <w:rFonts w:hint="eastAsia" w:ascii="方正仿宋_GB2312" w:hAnsi="方正仿宋_GB2312" w:eastAsia="方正仿宋_GB2312" w:cs="方正仿宋_GB2312"/>
                <w:color w:val="auto"/>
                <w:sz w:val="21"/>
                <w:szCs w:val="21"/>
                <w:highlight w:val="none"/>
                <w:lang w:eastAsia="zh-CN"/>
              </w:rPr>
              <w:t>南宁</w:t>
            </w:r>
            <w:r>
              <w:rPr>
                <w:rFonts w:hint="eastAsia" w:ascii="方正仿宋_GB2312" w:hAnsi="方正仿宋_GB2312" w:eastAsia="方正仿宋_GB2312" w:cs="方正仿宋_GB2312"/>
                <w:color w:val="auto"/>
                <w:sz w:val="21"/>
                <w:szCs w:val="21"/>
                <w:highlight w:val="none"/>
              </w:rPr>
              <w:t>仲裁委员会。</w:t>
            </w:r>
          </w:p>
        </w:tc>
      </w:tr>
    </w:tbl>
    <w:p w14:paraId="5863B07A">
      <w:pPr>
        <w:tabs>
          <w:tab w:val="left" w:pos="1080"/>
        </w:tabs>
        <w:spacing w:line="280" w:lineRule="exact"/>
        <w:rPr>
          <w:rFonts w:hint="eastAsia" w:ascii="方正仿宋_GB2312" w:hAnsi="方正仿宋_GB2312" w:eastAsia="方正仿宋_GB2312" w:cs="方正仿宋_GB2312"/>
          <w:color w:val="auto"/>
          <w:szCs w:val="21"/>
          <w:highlight w:val="none"/>
        </w:rPr>
      </w:pPr>
    </w:p>
    <w:p w14:paraId="15ACE6EE">
      <w:pPr>
        <w:tabs>
          <w:tab w:val="left" w:pos="1080"/>
        </w:tabs>
        <w:spacing w:line="280" w:lineRule="exact"/>
        <w:rPr>
          <w:rFonts w:hint="eastAsia" w:ascii="方正仿宋_GB2312" w:hAnsi="方正仿宋_GB2312" w:eastAsia="方正仿宋_GB2312" w:cs="方正仿宋_GB2312"/>
          <w:color w:val="auto"/>
          <w:szCs w:val="21"/>
          <w:highlight w:val="none"/>
        </w:rPr>
      </w:pPr>
    </w:p>
    <w:p w14:paraId="175FE169">
      <w:pPr>
        <w:tabs>
          <w:tab w:val="left" w:pos="1080"/>
        </w:tabs>
        <w:spacing w:line="280" w:lineRule="exact"/>
        <w:jc w:val="center"/>
        <w:rPr>
          <w:rFonts w:hint="eastAsia" w:ascii="方正仿宋_GB2312" w:hAnsi="方正仿宋_GB2312" w:eastAsia="方正仿宋_GB2312" w:cs="方正仿宋_GB2312"/>
          <w:b/>
          <w:color w:val="auto"/>
          <w:sz w:val="30"/>
          <w:szCs w:val="30"/>
          <w:highlight w:val="none"/>
        </w:rPr>
        <w:sectPr>
          <w:pgSz w:w="11906" w:h="16838"/>
          <w:pgMar w:top="1440" w:right="1474" w:bottom="1440" w:left="1588" w:header="851" w:footer="992" w:gutter="0"/>
          <w:pgNumType w:fmt="decimal"/>
          <w:cols w:space="720" w:num="1"/>
          <w:titlePg/>
          <w:docGrid w:linePitch="312" w:charSpace="0"/>
        </w:sectPr>
      </w:pPr>
    </w:p>
    <w:p w14:paraId="52055F8B">
      <w:pPr>
        <w:tabs>
          <w:tab w:val="left" w:pos="1080"/>
        </w:tabs>
        <w:spacing w:line="320" w:lineRule="exact"/>
        <w:jc w:val="center"/>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项目专用合同条款</w:t>
      </w:r>
    </w:p>
    <w:p w14:paraId="4289453C">
      <w:pPr>
        <w:tabs>
          <w:tab w:val="left" w:pos="1080"/>
        </w:tabs>
        <w:spacing w:line="320" w:lineRule="exact"/>
        <w:jc w:val="center"/>
        <w:rPr>
          <w:rFonts w:hint="eastAsia" w:ascii="方正仿宋_GB2312" w:hAnsi="方正仿宋_GB2312" w:eastAsia="方正仿宋_GB2312" w:cs="方正仿宋_GB2312"/>
          <w:b/>
          <w:color w:val="auto"/>
          <w:sz w:val="28"/>
          <w:szCs w:val="28"/>
          <w:highlight w:val="none"/>
        </w:rPr>
      </w:pPr>
    </w:p>
    <w:p w14:paraId="6A15DC28">
      <w:pPr>
        <w:tabs>
          <w:tab w:val="left" w:pos="1080"/>
        </w:tabs>
        <w:spacing w:line="320" w:lineRule="exact"/>
        <w:rPr>
          <w:rFonts w:hint="eastAsia" w:ascii="方正仿宋_GB2312" w:hAnsi="方正仿宋_GB2312" w:eastAsia="方正仿宋_GB2312" w:cs="方正仿宋_GB2312"/>
          <w:bCs/>
          <w:color w:val="auto"/>
          <w:sz w:val="21"/>
          <w:szCs w:val="21"/>
          <w:highlight w:val="none"/>
        </w:rPr>
      </w:pPr>
      <w:r>
        <w:rPr>
          <w:rFonts w:hint="eastAsia" w:ascii="方正仿宋_GB2312" w:hAnsi="方正仿宋_GB2312" w:eastAsia="方正仿宋_GB2312" w:cs="方正仿宋_GB2312"/>
          <w:bCs/>
          <w:color w:val="auto"/>
          <w:sz w:val="21"/>
          <w:szCs w:val="21"/>
          <w:highlight w:val="none"/>
        </w:rPr>
        <w:t>说明：本部分所列的项目专用合同条款是对“公路工程专用合同条款”中规定必须在项目专用合同条款中明确的内容的集中，招标人编制的“项目专用合同条款”不限于本部分所列内容。</w:t>
      </w:r>
    </w:p>
    <w:p w14:paraId="31848D58">
      <w:pPr>
        <w:tabs>
          <w:tab w:val="left" w:pos="1080"/>
        </w:tabs>
        <w:spacing w:line="320" w:lineRule="exact"/>
        <w:rPr>
          <w:rFonts w:hint="eastAsia" w:ascii="方正仿宋_GB2312" w:hAnsi="方正仿宋_GB2312" w:eastAsia="方正仿宋_GB2312" w:cs="方正仿宋_GB2312"/>
          <w:bCs/>
          <w:color w:val="auto"/>
          <w:sz w:val="21"/>
          <w:szCs w:val="21"/>
          <w:highlight w:val="none"/>
        </w:rPr>
      </w:pPr>
    </w:p>
    <w:p w14:paraId="5D92C705">
      <w:pPr>
        <w:tabs>
          <w:tab w:val="left" w:pos="1080"/>
        </w:tabs>
        <w:spacing w:line="320" w:lineRule="exact"/>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4.1  承包人的一般义务</w:t>
      </w:r>
    </w:p>
    <w:p w14:paraId="26E1A8EB">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4.1.10  其他义务</w:t>
      </w:r>
    </w:p>
    <w:p w14:paraId="3CD6A5F4">
      <w:pPr>
        <w:tabs>
          <w:tab w:val="left" w:pos="1080"/>
        </w:tabs>
        <w:spacing w:line="360" w:lineRule="auto"/>
        <w:ind w:firstLine="210" w:firstLineChars="1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增加内容：承包人必须按国家法规、合同约定做好对农民工的管理工作，并执行广西壮族自治区公路管理局《关于印发广西壮族自治区公路管理局公路工程建设农民工管理实施细则（修订）的通知》(桂路工程发[2014]300号)要求（注：文件内容附后）、《</w:t>
      </w:r>
      <w:r>
        <w:rPr>
          <w:rFonts w:hint="eastAsia" w:ascii="方正仿宋_GB2312" w:hAnsi="方正仿宋_GB2312" w:eastAsia="方正仿宋_GB2312" w:cs="方正仿宋_GB2312"/>
          <w:bCs/>
          <w:color w:val="auto"/>
          <w:sz w:val="21"/>
          <w:szCs w:val="21"/>
          <w:highlight w:val="none"/>
        </w:rPr>
        <w:t>关于建立交通行业农民工工资保证金制度的通知》</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桂劳社发</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2007</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147号</w:t>
      </w:r>
      <w:r>
        <w:rPr>
          <w:rFonts w:hint="eastAsia" w:ascii="方正仿宋_GB2312" w:hAnsi="方正仿宋_GB2312" w:eastAsia="方正仿宋_GB2312" w:cs="方正仿宋_GB2312"/>
          <w:color w:val="auto"/>
          <w:sz w:val="21"/>
          <w:szCs w:val="21"/>
          <w:highlight w:val="none"/>
        </w:rPr>
        <w:t>）、《关于印发广西壮族自治区工程建设领域工人工资支付专用账户管理办法的通知》（桂薪联发﹝</w:t>
      </w:r>
      <w:r>
        <w:rPr>
          <w:rFonts w:hint="eastAsia" w:ascii="方正仿宋_GB2312" w:hAnsi="方正仿宋_GB2312" w:eastAsia="方正仿宋_GB2312" w:cs="方正仿宋_GB2312"/>
          <w:bCs/>
          <w:color w:val="auto"/>
          <w:sz w:val="21"/>
          <w:szCs w:val="21"/>
          <w:highlight w:val="none"/>
        </w:rPr>
        <w:t>2016</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1号</w:t>
      </w:r>
      <w:r>
        <w:rPr>
          <w:rFonts w:hint="eastAsia" w:ascii="方正仿宋_GB2312" w:hAnsi="方正仿宋_GB2312" w:eastAsia="方正仿宋_GB2312" w:cs="方正仿宋_GB2312"/>
          <w:color w:val="auto"/>
          <w:sz w:val="21"/>
          <w:szCs w:val="21"/>
          <w:highlight w:val="none"/>
        </w:rPr>
        <w:t>）、《关于明确农民工工资保证金制度有关问题的通知》（桂薪联发﹝</w:t>
      </w:r>
      <w:r>
        <w:rPr>
          <w:rFonts w:hint="eastAsia" w:ascii="方正仿宋_GB2312" w:hAnsi="方正仿宋_GB2312" w:eastAsia="方正仿宋_GB2312" w:cs="方正仿宋_GB2312"/>
          <w:bCs/>
          <w:color w:val="auto"/>
          <w:sz w:val="21"/>
          <w:szCs w:val="21"/>
          <w:highlight w:val="none"/>
        </w:rPr>
        <w:t>2016</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2号</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lang w:val="en-US" w:eastAsia="zh-CN"/>
        </w:rPr>
        <w:t>《</w:t>
      </w:r>
      <w:r>
        <w:rPr>
          <w:rFonts w:hint="eastAsia" w:ascii="方正仿宋_GB2312" w:hAnsi="方正仿宋_GB2312" w:eastAsia="方正仿宋_GB2312" w:cs="方正仿宋_GB2312"/>
          <w:color w:val="auto"/>
          <w:sz w:val="21"/>
          <w:szCs w:val="21"/>
          <w:highlight w:val="none"/>
          <w:lang w:eastAsia="zh-CN"/>
        </w:rPr>
        <w:t>关于印发广西壮族自治区工程建设领域农民工工资保证金规定实施办法的通知</w:t>
      </w:r>
      <w:r>
        <w:rPr>
          <w:rFonts w:hint="eastAsia" w:ascii="方正仿宋_GB2312" w:hAnsi="方正仿宋_GB2312" w:eastAsia="方正仿宋_GB2312" w:cs="方正仿宋_GB2312"/>
          <w:color w:val="auto"/>
          <w:sz w:val="21"/>
          <w:szCs w:val="21"/>
          <w:highlight w:val="none"/>
          <w:lang w:val="en-US" w:eastAsia="zh-CN"/>
        </w:rPr>
        <w:t>》（桂人社规[2021]16号）</w:t>
      </w:r>
      <w:r>
        <w:rPr>
          <w:rFonts w:hint="eastAsia" w:ascii="方正仿宋_GB2312" w:hAnsi="方正仿宋_GB2312" w:eastAsia="方正仿宋_GB2312" w:cs="方正仿宋_GB2312"/>
          <w:color w:val="auto"/>
          <w:sz w:val="21"/>
          <w:szCs w:val="21"/>
          <w:highlight w:val="none"/>
        </w:rPr>
        <w:t>要求。</w:t>
      </w:r>
    </w:p>
    <w:p w14:paraId="76EFA11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（4）承包人应履行的其他义务：</w:t>
      </w:r>
      <w:r>
        <w:rPr>
          <w:rFonts w:hint="eastAsia" w:ascii="方正仿宋_GB2312" w:hAnsi="方正仿宋_GB2312" w:eastAsia="方正仿宋_GB2312" w:cs="方正仿宋_GB2312"/>
          <w:color w:val="auto"/>
          <w:sz w:val="21"/>
          <w:szCs w:val="21"/>
          <w:highlight w:val="none"/>
          <w:u w:val="single"/>
        </w:rPr>
        <w:t>承包人应加强质量、进度、安全生产、文明施工、环境保护、交通通畅、合同履行等管理。</w:t>
      </w:r>
    </w:p>
    <w:p w14:paraId="28F86AF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（5）（增加）承包人应履行的其他义务：</w:t>
      </w:r>
    </w:p>
    <w:p w14:paraId="0F4F30F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a.与本工程项目相关的审计和稽查、检查、视察等活动，承包人应高度重视并有义务委派专人积极予以配合。</w:t>
      </w:r>
    </w:p>
    <w:p w14:paraId="4B2656FB">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b.发包人和监理有权监督检查承包人的供货合同。</w:t>
      </w:r>
    </w:p>
    <w:p w14:paraId="2FEB1F7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c.对项目使用的原有道路的维护和管理，以确保正常通行。</w:t>
      </w:r>
    </w:p>
    <w:p w14:paraId="15750EB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d.维护社会稳定，避免发生因承包人原因引起施工队伍或施工引起周边群众等群体性上访事件</w:t>
      </w:r>
    </w:p>
    <w:p w14:paraId="59E23C0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e.承包人应自觉接受交通主管部门、质量监督单位、公路管理机构的监督，对指出的问题进行认真的整改，及时报告处理结果。</w:t>
      </w:r>
    </w:p>
    <w:p w14:paraId="290B2461">
      <w:pPr>
        <w:adjustRightInd w:val="0"/>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4.1.11(增加) 承包人响应“美丽广西·清洁乡村”行动</w:t>
      </w:r>
    </w:p>
    <w:p w14:paraId="615B720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承包人应根据《中共广西壮族自治区交通厅党组关于印发自治区交通运输系统“美丽广西·清洁乡村”交通行动实施方案的通知》（桂交党宣[2013]15号）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p>
    <w:p w14:paraId="3100668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具体要求：在建公路项目要文明施工，严格实行驻地建设标准化，强化施工路段的环境整治，施工车辆要避免扬尘洒漏，避免对原有公路的破坏，做好水土保持、环境保护工作；旧路改建项目要保证施工期间维持良好通车秩序；承包人应高度重视，有义务积极配合并委派专人参加“美丽广西·清洁乡村”的相关活动。</w:t>
      </w:r>
    </w:p>
    <w:p w14:paraId="04992B2F">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4.6 承包人人员的管理</w:t>
      </w:r>
    </w:p>
    <w:p w14:paraId="3ED7102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（增加）4.6.6</w:t>
      </w:r>
      <w:r>
        <w:rPr>
          <w:rFonts w:hint="eastAsia" w:ascii="方正仿宋_GB2312" w:hAnsi="方正仿宋_GB2312" w:eastAsia="方正仿宋_GB2312" w:cs="方正仿宋_GB2312"/>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项目经理、总工每年驻现场的时间应不少于300天，因故需离开工地应得到业主、监理工程师的许可，否则将按第22.1款视为承包人违约。</w:t>
      </w:r>
    </w:p>
    <w:p w14:paraId="50A839A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承包人安排在施工场地的主要管理人员和技术骨干人员每年驻现场的时间应不少于300天，除非经业主、监理工程师同意，否则将按第22.1款视为承包人违约。</w:t>
      </w:r>
    </w:p>
    <w:p w14:paraId="79BA0D84">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4.9工程价款应专款专用</w:t>
      </w:r>
    </w:p>
    <w:p w14:paraId="7F7D410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（1）凡不在业主指定银行开户的承包人，业主将不对其支付任何款项。</w:t>
      </w:r>
    </w:p>
    <w:p w14:paraId="31B672D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根据中国人民银行有关规定，每个承包人只能在一个银行开立一个结算帐户，不允许多头开户。业主按合同条款规定对承包人支付的款项，只对合同规定的法人或者法人代表的授权代理人支付，不对其内部独立核算单位或经批准的分包人直接支付（合同有专项规定者除外）。</w:t>
      </w:r>
    </w:p>
    <w:p w14:paraId="4C93741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在合同执行期间，业主或业主委托的公路审计部门有权不定期检查或审计承包人项目经理部的财务收支情况，承包人必须严格财经纪律，确保项目经理部的财务收支能客观、真实的反映工程实际成本，承包人及项目经理部必须接受业主或业主委托部门的监督和检查。</w:t>
      </w:r>
    </w:p>
    <w:p w14:paraId="01971BA3">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（4）在合同执行期间，承包人购买用于本工程的各种材料、施工机械设备、配件及支付人工工资等，在使用和购买前须签订好合同，并于使用和购买前报业主一份原件备案。</w:t>
      </w:r>
    </w:p>
    <w:p w14:paraId="1ECC79F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在合同执行期间，为确保工程建设资金专款专用，承包人在收到业主支付的款项后，须向业主提供资金使用计划，详细说明资金使用流向，经业主批准并在业主的监督下使用，必须优先支付工人特别是农民工的工资，其次是材料价款以及工程建设直接的成本。</w:t>
      </w:r>
    </w:p>
    <w:p w14:paraId="2EFCB53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（6）根据《关于明确农民工工资保证金制度有关问题的通知》（桂薪联发﹝</w:t>
      </w:r>
      <w:r>
        <w:rPr>
          <w:rFonts w:hint="eastAsia" w:ascii="方正仿宋_GB2312" w:hAnsi="方正仿宋_GB2312" w:eastAsia="方正仿宋_GB2312" w:cs="方正仿宋_GB2312"/>
          <w:bCs/>
          <w:color w:val="auto"/>
          <w:sz w:val="21"/>
          <w:szCs w:val="21"/>
          <w:highlight w:val="none"/>
        </w:rPr>
        <w:t>2016</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2号</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color w:val="auto"/>
          <w:sz w:val="21"/>
          <w:szCs w:val="21"/>
          <w:highlight w:val="none"/>
          <w:lang w:eastAsia="zh-CN"/>
        </w:rPr>
        <w:t>、《关于印发广西壮族自治区工程建设领域农民工工资保证金规定实施办法的通知》（桂人社规[2021]16号）</w:t>
      </w:r>
      <w:r>
        <w:rPr>
          <w:rFonts w:hint="eastAsia" w:ascii="方正仿宋_GB2312" w:hAnsi="方正仿宋_GB2312" w:eastAsia="方正仿宋_GB2312" w:cs="方正仿宋_GB2312"/>
          <w:color w:val="auto"/>
          <w:sz w:val="21"/>
          <w:szCs w:val="21"/>
          <w:highlight w:val="none"/>
        </w:rPr>
        <w:t>，业主有权监督承包人对其雇员的工资发放，承包人应按投标承诺足额缴纳农民工工资保证金至承包人在工程项目所在地商业银行开设的农民工工资保证金专用账户或向发包人提供由工程项目所在地（工程项目所在省区范围内）商业银行出具同等金额农民工工资保证金银行保函，作为支付承包人拖欠的农民工工资的保证。有关要求如下：</w:t>
      </w:r>
    </w:p>
    <w:p w14:paraId="48C31443">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a.承包人应缴纳的农民工工资保证金额度为</w:t>
      </w:r>
      <w:r>
        <w:rPr>
          <w:rFonts w:hint="eastAsia" w:ascii="方正仿宋_GB2312" w:hAnsi="方正仿宋_GB2312" w:eastAsia="方正仿宋_GB2312" w:cs="方正仿宋_GB2312"/>
          <w:color w:val="auto"/>
          <w:sz w:val="21"/>
          <w:szCs w:val="21"/>
          <w:highlight w:val="none"/>
          <w:lang w:eastAsia="zh-CN"/>
        </w:rPr>
        <w:t>：签约合同价的</w:t>
      </w: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w:t>
      </w:r>
    </w:p>
    <w:p w14:paraId="14B12E9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人力资源社会保障部门调查认定施工单位拖欠或克扣农民工工资的，责令施工单位支付被拖欠的农民工工资。逾期仍不支付或无力支付的，经有管辖权限的人力资源社会保障部门同意，从该施工单位缴存的农民工工资保证中支付。</w:t>
      </w:r>
    </w:p>
    <w:p w14:paraId="3FB4DF2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工程建设项目实行分包、转包的，发生拖欠农民工工资时，实施分包、转包的施工单位按照上述办法承担工资支付责任。</w:t>
      </w:r>
    </w:p>
    <w:p w14:paraId="6327709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c.已使用农民工工资保证金的施工单位，必须在使用农民工工资保证金之日起一个月内，向农民工工资保证金专用账户补缴存已使用的农民工工资保证金数额的2倍工资保证金。</w:t>
      </w:r>
    </w:p>
    <w:p w14:paraId="2F334E3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7）根据《关于印发广西壮族自治区工程建设领域工人工资支付专用账户管理办法的通知》（桂薪联发﹝2016﹞1号）要求，承包人应在项目开工前在项目所在地商业银行设立工人工资支付账户，并在用工之日起15个工作日内为每个工人确定有效工资个人账户。</w:t>
      </w:r>
    </w:p>
    <w:p w14:paraId="5C77FE0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（8）业主将在每次对承包人进行计量支付时，将计量应付款的</w:t>
      </w:r>
      <w:r>
        <w:rPr>
          <w:rFonts w:hint="eastAsia" w:ascii="方正仿宋_GB2312" w:hAnsi="方正仿宋_GB2312" w:eastAsia="方正仿宋_GB2312" w:cs="方正仿宋_GB2312"/>
          <w:b/>
          <w:color w:val="auto"/>
          <w:sz w:val="21"/>
          <w:szCs w:val="21"/>
          <w:highlight w:val="none"/>
          <w:lang w:val="en-US" w:eastAsia="zh-CN"/>
        </w:rPr>
        <w:t>20</w:t>
      </w:r>
      <w:r>
        <w:rPr>
          <w:rFonts w:hint="eastAsia" w:ascii="方正仿宋_GB2312" w:hAnsi="方正仿宋_GB2312" w:eastAsia="方正仿宋_GB2312" w:cs="方正仿宋_GB2312"/>
          <w:b/>
          <w:color w:val="auto"/>
          <w:sz w:val="21"/>
          <w:szCs w:val="21"/>
          <w:highlight w:val="none"/>
        </w:rPr>
        <w:t>%</w:t>
      </w:r>
      <w:r>
        <w:rPr>
          <w:rFonts w:hint="eastAsia" w:ascii="方正仿宋_GB2312" w:hAnsi="方正仿宋_GB2312" w:eastAsia="方正仿宋_GB2312" w:cs="方正仿宋_GB2312"/>
          <w:color w:val="auto"/>
          <w:sz w:val="21"/>
          <w:szCs w:val="21"/>
          <w:highlight w:val="none"/>
        </w:rPr>
        <w:t>作为工人工资划入工人工资专用账户，由承包人专门用于支付工人工资。</w:t>
      </w:r>
    </w:p>
    <w:p w14:paraId="0D2BFC9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（9）承包人应当通过工人工资支付专用账户，依法按时足额将工人工资直接支付至工人的工资个人账户，并按月及时将工人工资支付明细表报建设单位和当地劳动保障监察部门备案。</w:t>
      </w:r>
    </w:p>
    <w:p w14:paraId="5A45400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（10）承包人应当建立劳动用工管理台账，真实、准确记录工人名册、劳动合同（集体合同）、劳务合同、工程进度、工时、劳务承包款和工人工资支付情况等信息，并保存两年以上备查。</w:t>
      </w:r>
    </w:p>
    <w:p w14:paraId="1BEE4C1B">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工程通过交工验收后，由业主对承包人支付农民工工资等内容进行公示，公示期不少于15天。业主支付的计量支付款，承包人首先应支付民工工资，并做好记录备案。</w:t>
      </w:r>
    </w:p>
    <w:p w14:paraId="61BE1949">
      <w:pPr>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（11）其它未尽事宜按《</w:t>
      </w:r>
      <w:r>
        <w:rPr>
          <w:rFonts w:hint="eastAsia" w:ascii="方正仿宋_GB2312" w:hAnsi="方正仿宋_GB2312" w:eastAsia="方正仿宋_GB2312" w:cs="方正仿宋_GB2312"/>
          <w:bCs/>
          <w:color w:val="auto"/>
          <w:sz w:val="21"/>
          <w:szCs w:val="21"/>
          <w:highlight w:val="none"/>
        </w:rPr>
        <w:t>关于建立交通行业农民工工资保证金制度的通知》</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桂劳社发</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2007</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147号</w:t>
      </w:r>
      <w:r>
        <w:rPr>
          <w:rFonts w:hint="eastAsia" w:ascii="方正仿宋_GB2312" w:hAnsi="方正仿宋_GB2312" w:eastAsia="方正仿宋_GB2312" w:cs="方正仿宋_GB2312"/>
          <w:color w:val="auto"/>
          <w:sz w:val="21"/>
          <w:szCs w:val="21"/>
          <w:highlight w:val="none"/>
        </w:rPr>
        <w:t>）、《关于印发广西壮族自治区工程建设领域工人工资支付专用账户管理办法的通知》（桂薪联发﹝</w:t>
      </w:r>
      <w:r>
        <w:rPr>
          <w:rFonts w:hint="eastAsia" w:ascii="方正仿宋_GB2312" w:hAnsi="方正仿宋_GB2312" w:eastAsia="方正仿宋_GB2312" w:cs="方正仿宋_GB2312"/>
          <w:bCs/>
          <w:color w:val="auto"/>
          <w:sz w:val="21"/>
          <w:szCs w:val="21"/>
          <w:highlight w:val="none"/>
        </w:rPr>
        <w:t>2016</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1号</w:t>
      </w:r>
      <w:r>
        <w:rPr>
          <w:rFonts w:hint="eastAsia" w:ascii="方正仿宋_GB2312" w:hAnsi="方正仿宋_GB2312" w:eastAsia="方正仿宋_GB2312" w:cs="方正仿宋_GB2312"/>
          <w:color w:val="auto"/>
          <w:sz w:val="21"/>
          <w:szCs w:val="21"/>
          <w:highlight w:val="none"/>
        </w:rPr>
        <w:t>）、《关于明确农民工工资保证金制度有关问题的通知》（桂薪联发﹝</w:t>
      </w:r>
      <w:r>
        <w:rPr>
          <w:rFonts w:hint="eastAsia" w:ascii="方正仿宋_GB2312" w:hAnsi="方正仿宋_GB2312" w:eastAsia="方正仿宋_GB2312" w:cs="方正仿宋_GB2312"/>
          <w:bCs/>
          <w:color w:val="auto"/>
          <w:sz w:val="21"/>
          <w:szCs w:val="21"/>
          <w:highlight w:val="none"/>
        </w:rPr>
        <w:t>2016</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bCs/>
          <w:color w:val="auto"/>
          <w:sz w:val="21"/>
          <w:szCs w:val="21"/>
          <w:highlight w:val="none"/>
        </w:rPr>
        <w:t>2号</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color w:val="auto"/>
          <w:sz w:val="21"/>
          <w:szCs w:val="21"/>
          <w:highlight w:val="none"/>
          <w:lang w:eastAsia="zh-CN"/>
        </w:rPr>
        <w:t>、《关于印发广西壮族自治区工程建设领域农民工工资保证金规定实施办法的通知》（桂人社规[2021]16号）</w:t>
      </w:r>
      <w:r>
        <w:rPr>
          <w:rFonts w:hint="eastAsia" w:ascii="方正仿宋_GB2312" w:hAnsi="方正仿宋_GB2312" w:eastAsia="方正仿宋_GB2312" w:cs="方正仿宋_GB2312"/>
          <w:color w:val="auto"/>
          <w:sz w:val="21"/>
          <w:szCs w:val="21"/>
          <w:highlight w:val="none"/>
        </w:rPr>
        <w:t>的有关规定执行。</w:t>
      </w:r>
    </w:p>
    <w:p w14:paraId="429F7394">
      <w:pPr>
        <w:tabs>
          <w:tab w:val="left" w:pos="1080"/>
        </w:tabs>
        <w:spacing w:line="360" w:lineRule="auto"/>
        <w:ind w:firstLine="422" w:firstLineChars="200"/>
        <w:rPr>
          <w:rFonts w:hint="eastAsia" w:ascii="方正仿宋_GB2312" w:hAnsi="方正仿宋_GB2312" w:eastAsia="方正仿宋_GB2312" w:cs="方正仿宋_GB2312"/>
          <w:b/>
          <w:color w:val="auto"/>
          <w:kern w:val="0"/>
          <w:sz w:val="21"/>
          <w:szCs w:val="21"/>
          <w:highlight w:val="none"/>
        </w:rPr>
      </w:pPr>
      <w:bookmarkStart w:id="157" w:name="_Toc367602701"/>
      <w:r>
        <w:rPr>
          <w:rFonts w:hint="eastAsia" w:ascii="方正仿宋_GB2312" w:hAnsi="方正仿宋_GB2312" w:eastAsia="方正仿宋_GB2312" w:cs="方正仿宋_GB2312"/>
          <w:b/>
          <w:color w:val="auto"/>
          <w:sz w:val="21"/>
          <w:szCs w:val="21"/>
          <w:highlight w:val="none"/>
        </w:rPr>
        <w:t>7.3 场外交通</w:t>
      </w:r>
      <w:bookmarkEnd w:id="157"/>
    </w:p>
    <w:p w14:paraId="1D292CB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（增加）7.3.3为保证道路交通安全及运输畅通，承包人应采取以下措施：</w:t>
      </w:r>
    </w:p>
    <w:p w14:paraId="03BBE1D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当施工期间，因施工原因造成原有道路暂时堵塞时，承包人必须与交通和公安部门协商，采取足够的措施引导、疏通交通。但不管何种原因，因其交通堵塞时间均不能超过60分钟。若堵塞交通超过上述规定的时间，将视为承包人违约按22.1款等相关条款处理，同时监理人可指令采取任何措施疏通，一切费用由承包人承担。</w:t>
      </w:r>
    </w:p>
    <w:p w14:paraId="6284590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7.3.4 承包人应加强文明施工，保障道路通畅的管理</w:t>
      </w:r>
    </w:p>
    <w:p w14:paraId="7430953B">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（1）承包人在施工期内应按国家、交通主管部门与公路管理机构有关文明施工，保障畅通的规定组织施工，对出现的交通堵塞无条件地采取措施进行疏通。</w:t>
      </w:r>
    </w:p>
    <w:p w14:paraId="3FB31F6B">
      <w:pPr>
        <w:tabs>
          <w:tab w:val="left" w:pos="1080"/>
        </w:tabs>
        <w:spacing w:line="360" w:lineRule="auto"/>
        <w:ind w:firstLine="420" w:firstLineChars="200"/>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sz w:val="21"/>
          <w:szCs w:val="21"/>
          <w:highlight w:val="none"/>
        </w:rPr>
        <w:t>（2）对于旧路改建工程项目：破坏旧路必须作出交通维持与恢复路面通行条件方案并必须取得监理工程师与项目建设办公室的书面批准，未经批准进行旧路开挖与填筑的，项目建设办公室和监理工程师有权责令停工，并由承包人恢复原良好的通车条件，并需承担一切费用；不得在道路上堆放材料或占道施工影响交通；路基、路面施工应避免出现晴天扬尘，雨天打滑影响安全与交通和影响群众生活、生产的现象；维持交通的路基施工应保证表面平整，行车通畅。</w:t>
      </w:r>
    </w:p>
    <w:p w14:paraId="1392CF90">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9.2  承包人的施工安全责任</w:t>
      </w:r>
    </w:p>
    <w:p w14:paraId="550B24BD">
      <w:pPr>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9.2.5 条款末增加： 如业主或监理在日常检查中发现承包人用于危险路段、有安全隐患路段施工安全防护的设施和用具（含交通标志牌、安全危险告知牌、安全隐患告知牌等）不齐全或缺乏，并且承包人没有按规定及时添置安放，则业主为承包人添置的施工安全防护设施和用具（含交通标志牌、安全危险告知牌、安全隐患告知牌等）所花费的费用，以及业主对承包人安全管理人员的培训费用均由承包人负责，由业主在承包人合同价中计量扣除。</w:t>
      </w:r>
    </w:p>
    <w:p w14:paraId="09FE984E">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10.1  合同进度计划</w:t>
      </w:r>
    </w:p>
    <w:p w14:paraId="6A295F0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编制施工方案的内容：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1990767B">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11.4  异常恶劣的气候条件</w:t>
      </w:r>
    </w:p>
    <w:p w14:paraId="395250B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异常恶劣的气候条件的范围：对本项目而言，指发生烈度7度（含7度）以上地震、龙卷风、施工场地受淹超过业主提供的设计图纸指明的设计洪水水位引起的延误的情况。</w:t>
      </w:r>
      <w:bookmarkStart w:id="158" w:name="_Toc385244326"/>
    </w:p>
    <w:p w14:paraId="38B57DAD">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（增加）11.8 其它进度要求</w:t>
      </w:r>
      <w:bookmarkEnd w:id="158"/>
    </w:p>
    <w:p w14:paraId="01C7D920">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承包人应加强工程进度计划管理，努力实现均衡组织施工的目标。</w:t>
      </w:r>
    </w:p>
    <w:p w14:paraId="7AC9E95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  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4E231C0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  路面碎石材料的采备应与路基施工进度同步，以保证路面施工进度。</w:t>
      </w:r>
    </w:p>
    <w:p w14:paraId="03E2E08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u w:val="single"/>
        </w:rPr>
      </w:pPr>
      <w:r>
        <w:rPr>
          <w:rFonts w:hint="eastAsia" w:ascii="方正仿宋_GB2312" w:hAnsi="方正仿宋_GB2312" w:eastAsia="方正仿宋_GB2312" w:cs="方正仿宋_GB2312"/>
          <w:color w:val="auto"/>
          <w:sz w:val="21"/>
          <w:szCs w:val="21"/>
          <w:highlight w:val="none"/>
        </w:rPr>
        <w:t>c  桥梁、主要涵洞、高大支挡结构、旧路改建（破坏旧路路面）的路面等关键工程及分项应有独立详细的施工组织设计，并采取措施确保落实。</w:t>
      </w:r>
    </w:p>
    <w:p w14:paraId="38A0EDDB">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13.3  承包人的质量检查</w:t>
      </w:r>
    </w:p>
    <w:p w14:paraId="0385CA1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增加内容：</w:t>
      </w:r>
    </w:p>
    <w:p w14:paraId="2B1941BB">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（1）落实质量责任制和质量保证体系</w:t>
      </w:r>
    </w:p>
    <w:p w14:paraId="61C41BC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分项施工现场应实行标示牌管理，写明作业内容、项目质量管理责任人（施工作业管理专业工程师、试验、测量、质检工程师、总工、项目经理及监理工程师及现场监理）和质量管理举报电话； </w:t>
      </w:r>
    </w:p>
    <w:p w14:paraId="2B13BA8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（2）认真执行三检制度：</w:t>
      </w:r>
    </w:p>
    <w:p w14:paraId="56A75F3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施工作业管理的专业工程师在测量、试验工程师配合下完成施工自检并作施工记录（工艺及原材料使用等）；</w:t>
      </w:r>
    </w:p>
    <w:p w14:paraId="1AA9434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6A358A3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试验、测量工程师根据施工质检需要完成试验与测量作业并及时交检验结果报告专业工程师、质检工程师。</w:t>
      </w:r>
    </w:p>
    <w:p w14:paraId="560F838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为保证质量责任制的落实，必须做到</w:t>
      </w:r>
      <w:r>
        <w:rPr>
          <w:rFonts w:hint="eastAsia" w:ascii="方正仿宋_GB2312" w:hAnsi="方正仿宋_GB2312" w:eastAsia="方正仿宋_GB2312" w:cs="方正仿宋_GB2312"/>
          <w:b/>
          <w:color w:val="auto"/>
          <w:sz w:val="21"/>
          <w:szCs w:val="21"/>
          <w:highlight w:val="none"/>
        </w:rPr>
        <w:t>“三个到位”、“三个同时”</w:t>
      </w:r>
      <w:r>
        <w:rPr>
          <w:rFonts w:hint="eastAsia" w:ascii="方正仿宋_GB2312" w:hAnsi="方正仿宋_GB2312" w:eastAsia="方正仿宋_GB2312" w:cs="方正仿宋_GB2312"/>
          <w:color w:val="auto"/>
          <w:sz w:val="21"/>
          <w:szCs w:val="21"/>
          <w:highlight w:val="none"/>
        </w:rPr>
        <w:t>，即：质量管理人员到位，检测工具到位，记录表格到位；施工作业与专业工程师质量检查、检验同时，承包人质量检验工程师、监理的检验与施工作业同时，检查、检验与记录同时。</w:t>
      </w:r>
    </w:p>
    <w:p w14:paraId="6283FC4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(3)质量管理记录的原始记录包括作业记录、测量记录、试验记录、检验记录及验收记录，地基、基础、填挖交界碾压，墙台背回填等隐蔽工程</w:t>
      </w:r>
      <w:r>
        <w:rPr>
          <w:rFonts w:hint="eastAsia" w:ascii="方正仿宋_GB2312" w:hAnsi="方正仿宋_GB2312" w:eastAsia="方正仿宋_GB2312" w:cs="方正仿宋_GB2312"/>
          <w:b/>
          <w:color w:val="auto"/>
          <w:sz w:val="21"/>
          <w:szCs w:val="21"/>
          <w:highlight w:val="none"/>
        </w:rPr>
        <w:t>应摄像或照相作为现场记录保存</w:t>
      </w:r>
      <w:r>
        <w:rPr>
          <w:rFonts w:hint="eastAsia" w:ascii="方正仿宋_GB2312" w:hAnsi="方正仿宋_GB2312" w:eastAsia="方正仿宋_GB2312" w:cs="方正仿宋_GB2312"/>
          <w:color w:val="auto"/>
          <w:sz w:val="21"/>
          <w:szCs w:val="21"/>
          <w:highlight w:val="none"/>
        </w:rPr>
        <w:t>。</w:t>
      </w:r>
    </w:p>
    <w:p w14:paraId="7429024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(4)加强对质量通病的预防与治理，减少工程质量隐患。</w:t>
      </w:r>
    </w:p>
    <w:p w14:paraId="0EE4266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(5)质量管理目标：</w:t>
      </w:r>
      <w:r>
        <w:rPr>
          <w:rFonts w:hint="eastAsia" w:ascii="方正仿宋_GB2312" w:hAnsi="方正仿宋_GB2312" w:eastAsia="方正仿宋_GB2312" w:cs="方正仿宋_GB2312"/>
          <w:b/>
          <w:color w:val="auto"/>
          <w:sz w:val="21"/>
          <w:szCs w:val="21"/>
          <w:highlight w:val="none"/>
        </w:rPr>
        <w:t>达到国家施工验收规范合格标准。</w:t>
      </w:r>
    </w:p>
    <w:p w14:paraId="2D55B6D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（6）承包人应加强工程进度计划管理，努力实现均衡组织施工的目标。</w:t>
      </w:r>
    </w:p>
    <w:p w14:paraId="2BEAFF3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  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59559AA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  路面碎石材料的采备至少应与路基施工进度同步。</w:t>
      </w:r>
    </w:p>
    <w:p w14:paraId="21DF9D8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  桥梁、主要涵洞、高大支挡结构、旧路改建（破坏旧路路面）的路面等关键工程及分项应有独立详细的施工组织设计，并采取措施确保落实。</w:t>
      </w:r>
    </w:p>
    <w:p w14:paraId="4484B45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(7) 承包人应加强文明施工，保障道路通畅的管理</w:t>
      </w:r>
    </w:p>
    <w:p w14:paraId="0F3C00F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  承包人在施工期内应按国家、交通主管部门与公路管理机构文明施工，保障畅通的有关规定组织施工，对出现的交通堵塞无条件地采取措施进行疏通。</w:t>
      </w:r>
    </w:p>
    <w:p w14:paraId="2DD469D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 旧路改建工程项目</w:t>
      </w:r>
    </w:p>
    <w:p w14:paraId="2ACB8A9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i)破坏旧路必须作出交通维持与恢复路面通行条件方案并必须取得监理工程师与业主的批准，未经批准进行旧路开挖与填筑的，业主和监理工程师有权责令停工，并由承包人恢复原良好的通车条件，并需承担一切费用。</w:t>
      </w:r>
    </w:p>
    <w:p w14:paraId="275F3AB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(ii)不得在道路上堆放材料或占道施工影响交通。</w:t>
      </w:r>
    </w:p>
    <w:p w14:paraId="7B75A41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路基、路面施工应避免出现晴天扬尘，雨天打滑影响安全与交通和影响群众生活、生产的现象。维持交通的路基施工应保证表面平整，保证通畅。</w:t>
      </w:r>
    </w:p>
    <w:p w14:paraId="5DE2C44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(8) 承包人应自觉接受交通主管部门、质量监督单位、公路管理机构的监督，对指出的问题进行认真的整改，及时报告处理结果。</w:t>
      </w:r>
    </w:p>
    <w:p w14:paraId="7A7B1AD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在整个施工过程中，监理工程师、业主对承包人履行责任有权进行监督，并向承包人提出整改要求。承包人应认真履行责任，执行业主、监理工程师的指令，否则将按第22.1款视为承包人违约。</w:t>
      </w:r>
      <w:bookmarkStart w:id="159" w:name="_Toc385244329"/>
    </w:p>
    <w:p w14:paraId="4694772A">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13.5工程隐蔽部位覆盖前的检查</w:t>
      </w:r>
      <w:bookmarkEnd w:id="159"/>
    </w:p>
    <w:p w14:paraId="6B8B4BB0">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（增加）13.5.1项补充：</w:t>
      </w:r>
    </w:p>
    <w:p w14:paraId="47524353">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隐蔽部位覆盖前应经监理人检查确认,分阶段(工序)进行拍摄或照相,并向监理人提供相关影像相片等书面资料作为计量支付的依据，否则不应给予计量。</w:t>
      </w:r>
    </w:p>
    <w:p w14:paraId="49E8352D">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15.1 变更的范围和内容</w:t>
      </w:r>
    </w:p>
    <w:p w14:paraId="7358E046">
      <w:pPr>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变更原则：承包方必须严格按照工程设计要求和施工技术标准施工，不得擅自变更设计图纸及施工路线。经过充分认证后确需变更设计的，须有项目所在地村委签认的受益群众申请材料，并经发包单位、设计单位及监理单位审批签字后方可变更和施工，因此发生的工程量签证才能作为审计结算的依据且签证金额不能超过合同价的10%。未经发包单位、设计单位及监理单位审批会签的工程量均不能列入审计结算。</w:t>
      </w:r>
    </w:p>
    <w:p w14:paraId="327F1D41">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15.3 变更</w:t>
      </w:r>
    </w:p>
    <w:p w14:paraId="42A66461">
      <w:pPr>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（增加）15.3.5 设计变更涉及到隐蔽工程的工程变更报告除附规定的相关资料外，还必须附上变更项目工程照片。</w:t>
      </w:r>
    </w:p>
    <w:p w14:paraId="7071E68D">
      <w:pPr>
        <w:spacing w:line="360" w:lineRule="auto"/>
        <w:ind w:firstLine="422" w:firstLineChars="200"/>
        <w:rPr>
          <w:rFonts w:hint="eastAsia"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15.4 变更的估价原则</w:t>
      </w:r>
    </w:p>
    <w:p w14:paraId="7C466D3F">
      <w:pPr>
        <w:spacing w:line="360" w:lineRule="auto"/>
        <w:ind w:firstLine="420" w:firstLineChars="200"/>
        <w:rPr>
          <w:rFonts w:hint="eastAsia"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承包人、监理人市场询价确定。②无定额可套的，由发包人、承包人、监理人市场询价确定。</w:t>
      </w:r>
    </w:p>
    <w:p w14:paraId="37116D3E">
      <w:pPr>
        <w:spacing w:line="360" w:lineRule="auto"/>
        <w:ind w:firstLine="422" w:firstLineChars="200"/>
        <w:rPr>
          <w:rFonts w:hint="default"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16.价格调整</w:t>
      </w:r>
    </w:p>
    <w:p w14:paraId="06418B02">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val="en-US" w:eastAsia="zh-CN"/>
        </w:rPr>
      </w:pPr>
      <w:r>
        <w:rPr>
          <w:rFonts w:hint="eastAsia" w:ascii="方正仿宋_GB2312" w:hAnsi="方正仿宋_GB2312" w:eastAsia="方正仿宋_GB2312" w:cs="方正仿宋_GB2312"/>
          <w:b w:val="0"/>
          <w:bCs/>
          <w:color w:val="auto"/>
          <w:sz w:val="21"/>
          <w:szCs w:val="21"/>
          <w:highlight w:val="none"/>
          <w:lang w:val="en-US" w:eastAsia="zh-CN"/>
        </w:rPr>
        <w:t>价格调整原则：</w:t>
      </w:r>
    </w:p>
    <w:p w14:paraId="186694A5">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eastAsia="zh-CN"/>
        </w:rPr>
      </w:pPr>
      <w:r>
        <w:rPr>
          <w:rFonts w:hint="eastAsia" w:ascii="方正仿宋_GB2312" w:hAnsi="方正仿宋_GB2312" w:eastAsia="方正仿宋_GB2312" w:cs="方正仿宋_GB2312"/>
          <w:b w:val="0"/>
          <w:bCs/>
          <w:color w:val="auto"/>
          <w:sz w:val="21"/>
          <w:szCs w:val="21"/>
          <w:highlight w:val="none"/>
          <w:lang w:val="en-US" w:eastAsia="zh-CN"/>
        </w:rPr>
        <w:t>1.</w:t>
      </w:r>
      <w:r>
        <w:rPr>
          <w:rFonts w:hint="eastAsia" w:ascii="方正仿宋_GB2312" w:hAnsi="方正仿宋_GB2312" w:eastAsia="方正仿宋_GB2312" w:cs="方正仿宋_GB2312"/>
          <w:b w:val="0"/>
          <w:bCs/>
          <w:color w:val="auto"/>
          <w:sz w:val="21"/>
          <w:szCs w:val="21"/>
          <w:highlight w:val="none"/>
        </w:rPr>
        <w:t>法律引起的价格调整</w:t>
      </w:r>
      <w:r>
        <w:rPr>
          <w:rFonts w:hint="eastAsia" w:ascii="方正仿宋_GB2312" w:hAnsi="方正仿宋_GB2312" w:eastAsia="方正仿宋_GB2312" w:cs="方正仿宋_GB2312"/>
          <w:b w:val="0"/>
          <w:bCs/>
          <w:color w:val="auto"/>
          <w:sz w:val="21"/>
          <w:szCs w:val="21"/>
          <w:highlight w:val="none"/>
          <w:lang w:eastAsia="zh-CN"/>
        </w:rPr>
        <w:t>；</w:t>
      </w:r>
    </w:p>
    <w:p w14:paraId="773605E3">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eastAsia="zh-CN"/>
        </w:rPr>
      </w:pPr>
      <w:r>
        <w:rPr>
          <w:rFonts w:hint="eastAsia" w:ascii="方正仿宋_GB2312" w:hAnsi="方正仿宋_GB2312" w:eastAsia="方正仿宋_GB2312" w:cs="方正仿宋_GB2312"/>
          <w:b w:val="0"/>
          <w:bCs/>
          <w:color w:val="auto"/>
          <w:sz w:val="21"/>
          <w:szCs w:val="21"/>
          <w:highlight w:val="none"/>
          <w:lang w:val="en-US" w:eastAsia="zh-CN"/>
        </w:rPr>
        <w:t>2.</w:t>
      </w:r>
      <w:r>
        <w:rPr>
          <w:rFonts w:hint="eastAsia" w:ascii="方正仿宋_GB2312" w:hAnsi="方正仿宋_GB2312" w:eastAsia="方正仿宋_GB2312" w:cs="方正仿宋_GB2312"/>
          <w:b w:val="0"/>
          <w:bCs/>
          <w:color w:val="auto"/>
          <w:sz w:val="21"/>
          <w:szCs w:val="21"/>
          <w:highlight w:val="none"/>
        </w:rPr>
        <w:t>工程变更、项目特征不符、工程量清单缺项、工程量偏差引起的调整</w:t>
      </w:r>
      <w:r>
        <w:rPr>
          <w:rFonts w:hint="eastAsia" w:ascii="方正仿宋_GB2312" w:hAnsi="方正仿宋_GB2312" w:eastAsia="方正仿宋_GB2312" w:cs="方正仿宋_GB2312"/>
          <w:b w:val="0"/>
          <w:bCs/>
          <w:color w:val="auto"/>
          <w:sz w:val="21"/>
          <w:szCs w:val="21"/>
          <w:highlight w:val="none"/>
          <w:lang w:eastAsia="zh-CN"/>
        </w:rPr>
        <w:t>；</w:t>
      </w:r>
    </w:p>
    <w:p w14:paraId="6EC93126">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eastAsia="zh-CN"/>
        </w:rPr>
      </w:pPr>
      <w:r>
        <w:rPr>
          <w:rFonts w:hint="eastAsia" w:ascii="方正仿宋_GB2312" w:hAnsi="方正仿宋_GB2312" w:eastAsia="方正仿宋_GB2312" w:cs="方正仿宋_GB2312"/>
          <w:b w:val="0"/>
          <w:bCs/>
          <w:color w:val="auto"/>
          <w:sz w:val="21"/>
          <w:szCs w:val="21"/>
          <w:highlight w:val="none"/>
          <w:lang w:val="en-US" w:eastAsia="zh-CN"/>
        </w:rPr>
        <w:t>3.</w:t>
      </w:r>
      <w:r>
        <w:rPr>
          <w:rFonts w:hint="eastAsia" w:ascii="方正仿宋_GB2312" w:hAnsi="方正仿宋_GB2312" w:eastAsia="方正仿宋_GB2312" w:cs="方正仿宋_GB2312"/>
          <w:b w:val="0"/>
          <w:bCs/>
          <w:color w:val="auto"/>
          <w:sz w:val="21"/>
          <w:szCs w:val="21"/>
          <w:highlight w:val="none"/>
        </w:rPr>
        <w:t>计日工引起的调整</w:t>
      </w:r>
      <w:r>
        <w:rPr>
          <w:rFonts w:hint="eastAsia" w:ascii="方正仿宋_GB2312" w:hAnsi="方正仿宋_GB2312" w:eastAsia="方正仿宋_GB2312" w:cs="方正仿宋_GB2312"/>
          <w:b w:val="0"/>
          <w:bCs/>
          <w:color w:val="auto"/>
          <w:sz w:val="21"/>
          <w:szCs w:val="21"/>
          <w:highlight w:val="none"/>
          <w:lang w:eastAsia="zh-CN"/>
        </w:rPr>
        <w:t>；</w:t>
      </w:r>
    </w:p>
    <w:p w14:paraId="59DDFB1C">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eastAsia="zh-CN"/>
        </w:rPr>
      </w:pPr>
      <w:r>
        <w:rPr>
          <w:rFonts w:hint="eastAsia" w:ascii="方正仿宋_GB2312" w:hAnsi="方正仿宋_GB2312" w:eastAsia="方正仿宋_GB2312" w:cs="方正仿宋_GB2312"/>
          <w:b w:val="0"/>
          <w:bCs/>
          <w:color w:val="auto"/>
          <w:sz w:val="21"/>
          <w:szCs w:val="21"/>
          <w:highlight w:val="none"/>
          <w:lang w:val="en-US" w:eastAsia="zh-CN"/>
        </w:rPr>
        <w:t>4.</w:t>
      </w:r>
      <w:r>
        <w:rPr>
          <w:rFonts w:hint="eastAsia" w:ascii="方正仿宋_GB2312" w:hAnsi="方正仿宋_GB2312" w:eastAsia="方正仿宋_GB2312" w:cs="方正仿宋_GB2312"/>
          <w:b w:val="0"/>
          <w:bCs/>
          <w:color w:val="auto"/>
          <w:sz w:val="21"/>
          <w:szCs w:val="21"/>
          <w:highlight w:val="none"/>
        </w:rPr>
        <w:t>市场价格波动引起的调整</w:t>
      </w:r>
      <w:r>
        <w:rPr>
          <w:rFonts w:hint="eastAsia" w:ascii="方正仿宋_GB2312" w:hAnsi="方正仿宋_GB2312" w:eastAsia="方正仿宋_GB2312" w:cs="方正仿宋_GB2312"/>
          <w:b w:val="0"/>
          <w:bCs/>
          <w:color w:val="auto"/>
          <w:sz w:val="21"/>
          <w:szCs w:val="21"/>
          <w:highlight w:val="none"/>
          <w:lang w:eastAsia="zh-CN"/>
        </w:rPr>
        <w:t>。</w:t>
      </w:r>
    </w:p>
    <w:p w14:paraId="4A48B093">
      <w:pPr>
        <w:spacing w:line="360" w:lineRule="auto"/>
        <w:ind w:firstLine="422" w:firstLineChars="200"/>
        <w:rPr>
          <w:rFonts w:hint="eastAsia"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16.1物价波动引起的价格调整</w:t>
      </w:r>
    </w:p>
    <w:p w14:paraId="51E532E6">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lang w:val="en-US" w:eastAsia="zh-CN"/>
        </w:rPr>
        <w:t>物价（</w:t>
      </w:r>
      <w:r>
        <w:rPr>
          <w:rFonts w:hint="eastAsia" w:ascii="方正仿宋_GB2312" w:hAnsi="方正仿宋_GB2312" w:eastAsia="方正仿宋_GB2312" w:cs="方正仿宋_GB2312"/>
          <w:b w:val="0"/>
          <w:bCs/>
          <w:color w:val="auto"/>
          <w:sz w:val="21"/>
          <w:szCs w:val="21"/>
          <w:highlight w:val="none"/>
        </w:rPr>
        <w:t>市场</w:t>
      </w:r>
      <w:r>
        <w:rPr>
          <w:rFonts w:hint="eastAsia" w:ascii="方正仿宋_GB2312" w:hAnsi="方正仿宋_GB2312" w:eastAsia="方正仿宋_GB2312" w:cs="方正仿宋_GB2312"/>
          <w:b w:val="0"/>
          <w:bCs/>
          <w:color w:val="auto"/>
          <w:sz w:val="21"/>
          <w:szCs w:val="21"/>
          <w:highlight w:val="none"/>
          <w:lang w:val="en-US" w:eastAsia="zh-CN"/>
        </w:rPr>
        <w:t>）</w:t>
      </w:r>
      <w:r>
        <w:rPr>
          <w:rFonts w:hint="eastAsia" w:ascii="方正仿宋_GB2312" w:hAnsi="方正仿宋_GB2312" w:eastAsia="方正仿宋_GB2312" w:cs="方正仿宋_GB2312"/>
          <w:b w:val="0"/>
          <w:bCs/>
          <w:color w:val="auto"/>
          <w:sz w:val="21"/>
          <w:szCs w:val="21"/>
          <w:highlight w:val="none"/>
        </w:rPr>
        <w:t>价格波动是否调整合同价的约定：材料调差包括钢材、水泥、商品砼、砂、碎石等所有材料市场价格浮动在±5%（含）以外的价格风险及工程量清单漏项、变更、签证和政策性调整、不可抗力、《承包人提供主要材料和设备一览表》约定的材料、设备价格变动风险以外的其他风险。</w:t>
      </w:r>
    </w:p>
    <w:p w14:paraId="343DA16D">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lang w:eastAsia="zh-CN"/>
        </w:rPr>
      </w:pPr>
      <w:r>
        <w:rPr>
          <w:rFonts w:hint="eastAsia" w:ascii="方正仿宋_GB2312" w:hAnsi="方正仿宋_GB2312" w:eastAsia="方正仿宋_GB2312" w:cs="方正仿宋_GB2312"/>
          <w:b w:val="0"/>
          <w:bCs/>
          <w:color w:val="auto"/>
          <w:sz w:val="21"/>
          <w:szCs w:val="21"/>
          <w:highlight w:val="none"/>
        </w:rPr>
        <w:t>因市场价格波动调整合同价格，采用造价信息进行价格调整</w:t>
      </w:r>
      <w:r>
        <w:rPr>
          <w:rFonts w:hint="eastAsia" w:ascii="方正仿宋_GB2312" w:hAnsi="方正仿宋_GB2312" w:eastAsia="方正仿宋_GB2312" w:cs="方正仿宋_GB2312"/>
          <w:b w:val="0"/>
          <w:bCs/>
          <w:color w:val="auto"/>
          <w:sz w:val="21"/>
          <w:szCs w:val="21"/>
          <w:highlight w:val="none"/>
          <w:lang w:eastAsia="zh-CN"/>
        </w:rPr>
        <w:t>：</w:t>
      </w:r>
    </w:p>
    <w:p w14:paraId="6244162E">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（1）允许调整的主要材料和设备、基期价格、风险系数、投标报价；</w:t>
      </w:r>
    </w:p>
    <w:p w14:paraId="6690AD0E">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（2）主要材料和设备确认价。按施工期间的建设工程造价信息价加权平均计算；</w:t>
      </w:r>
    </w:p>
    <w:p w14:paraId="29683332">
      <w:pPr>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3）价差计算法。承包人提供的主要材料和设备一览表中，材料和设备投标价低于（或高于）基准价格的：合同履行期间，材料和设备价格单价涨幅（或跌幅）以基准价格为基础超过约定的风险范围时，其超过部分据实调整。</w:t>
      </w:r>
    </w:p>
    <w:p w14:paraId="72925126">
      <w:pPr>
        <w:tabs>
          <w:tab w:val="left" w:pos="1080"/>
        </w:tabs>
        <w:spacing w:line="360" w:lineRule="auto"/>
        <w:ind w:firstLine="422" w:firstLineChars="200"/>
        <w:rPr>
          <w:rFonts w:hint="default"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17.计量与支付</w:t>
      </w:r>
    </w:p>
    <w:p w14:paraId="28DFB680">
      <w:pPr>
        <w:tabs>
          <w:tab w:val="left" w:pos="1080"/>
        </w:tabs>
        <w:spacing w:line="360" w:lineRule="auto"/>
        <w:ind w:firstLine="422" w:firstLineChars="200"/>
        <w:rPr>
          <w:rFonts w:hint="eastAsia" w:ascii="方正仿宋_GB2312" w:hAnsi="方正仿宋_GB2312" w:eastAsia="方正仿宋_GB2312" w:cs="方正仿宋_GB2312"/>
          <w:b/>
          <w:bCs w:val="0"/>
          <w:color w:val="auto"/>
          <w:sz w:val="21"/>
          <w:szCs w:val="21"/>
          <w:highlight w:val="none"/>
        </w:rPr>
      </w:pPr>
      <w:r>
        <w:rPr>
          <w:rFonts w:hint="eastAsia" w:ascii="方正仿宋_GB2312" w:hAnsi="方正仿宋_GB2312" w:eastAsia="方正仿宋_GB2312" w:cs="方正仿宋_GB2312"/>
          <w:b/>
          <w:bCs w:val="0"/>
          <w:color w:val="auto"/>
          <w:sz w:val="21"/>
          <w:szCs w:val="21"/>
          <w:highlight w:val="none"/>
          <w:lang w:val="en-US" w:eastAsia="zh-CN"/>
        </w:rPr>
        <w:t>17.2.1</w:t>
      </w:r>
      <w:r>
        <w:rPr>
          <w:rFonts w:hint="eastAsia" w:ascii="方正仿宋_GB2312" w:hAnsi="方正仿宋_GB2312" w:eastAsia="方正仿宋_GB2312" w:cs="方正仿宋_GB2312"/>
          <w:b/>
          <w:bCs w:val="0"/>
          <w:color w:val="auto"/>
          <w:sz w:val="21"/>
          <w:szCs w:val="21"/>
          <w:highlight w:val="none"/>
        </w:rPr>
        <w:t>预付款</w:t>
      </w:r>
    </w:p>
    <w:p w14:paraId="0DF95071">
      <w:pPr>
        <w:tabs>
          <w:tab w:val="left" w:pos="1080"/>
        </w:tabs>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签订合同并进场施工后支付30%预付款（不超合同价），承包人须于60天内完成合同工程量40%。预付款抵扣方式：当工程完成投资达到合同价40%后，对预付款实行一次性扣回。</w:t>
      </w:r>
    </w:p>
    <w:p w14:paraId="321C066F">
      <w:pPr>
        <w:tabs>
          <w:tab w:val="left" w:pos="1080"/>
        </w:tabs>
        <w:spacing w:line="360" w:lineRule="auto"/>
        <w:ind w:firstLine="422" w:firstLineChars="200"/>
        <w:rPr>
          <w:rFonts w:hint="eastAsia" w:ascii="方正仿宋_GB2312" w:hAnsi="方正仿宋_GB2312" w:eastAsia="方正仿宋_GB2312" w:cs="方正仿宋_GB2312"/>
          <w:b/>
          <w:bCs w:val="0"/>
          <w:color w:val="auto"/>
          <w:sz w:val="21"/>
          <w:szCs w:val="21"/>
          <w:highlight w:val="none"/>
        </w:rPr>
      </w:pPr>
      <w:r>
        <w:rPr>
          <w:rFonts w:hint="eastAsia" w:ascii="方正仿宋_GB2312" w:hAnsi="方正仿宋_GB2312" w:eastAsia="方正仿宋_GB2312" w:cs="方正仿宋_GB2312"/>
          <w:b/>
          <w:bCs w:val="0"/>
          <w:color w:val="auto"/>
          <w:sz w:val="21"/>
          <w:szCs w:val="21"/>
          <w:highlight w:val="none"/>
        </w:rPr>
        <w:t>17.3工程进度付款</w:t>
      </w:r>
    </w:p>
    <w:p w14:paraId="2FA5498E">
      <w:pPr>
        <w:tabs>
          <w:tab w:val="left" w:pos="1080"/>
        </w:tabs>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根据确定的工程计量结果，工程进度款不低于工程价款的60%，不高于工程价款的90%（不超合同价）。</w:t>
      </w:r>
    </w:p>
    <w:p w14:paraId="55DD8B0A">
      <w:pPr>
        <w:keepNext w:val="0"/>
        <w:keepLines w:val="0"/>
        <w:widowControl/>
        <w:suppressLineNumbers w:val="0"/>
        <w:ind w:firstLine="422" w:firstLineChars="200"/>
        <w:jc w:val="left"/>
        <w:rPr>
          <w:rFonts w:hint="eastAsia" w:ascii="方正仿宋_GB2312" w:hAnsi="方正仿宋_GB2312" w:eastAsia="方正仿宋_GB2312" w:cs="方正仿宋_GB2312"/>
          <w:b/>
          <w:bCs w:val="0"/>
          <w:color w:val="auto"/>
          <w:sz w:val="21"/>
          <w:szCs w:val="21"/>
          <w:highlight w:val="none"/>
          <w:lang w:val="en-US" w:eastAsia="zh-CN"/>
        </w:rPr>
      </w:pPr>
      <w:r>
        <w:rPr>
          <w:rFonts w:hint="eastAsia" w:ascii="方正仿宋_GB2312" w:hAnsi="方正仿宋_GB2312" w:eastAsia="方正仿宋_GB2312" w:cs="方正仿宋_GB2312"/>
          <w:b/>
          <w:bCs w:val="0"/>
          <w:color w:val="auto"/>
          <w:sz w:val="21"/>
          <w:szCs w:val="21"/>
          <w:highlight w:val="none"/>
          <w:lang w:val="en-US" w:eastAsia="zh-CN"/>
        </w:rPr>
        <w:t>17.4质量保证金</w:t>
      </w:r>
    </w:p>
    <w:p w14:paraId="0F5C6606">
      <w:pPr>
        <w:tabs>
          <w:tab w:val="left" w:pos="1080"/>
        </w:tabs>
        <w:spacing w:line="360" w:lineRule="auto"/>
        <w:ind w:firstLine="420" w:firstLineChars="200"/>
        <w:rPr>
          <w:rFonts w:hint="eastAsia" w:ascii="方正仿宋_GB2312" w:hAnsi="方正仿宋_GB2312" w:eastAsia="方正仿宋_GB2312" w:cs="方正仿宋_GB2312"/>
          <w:b w:val="0"/>
          <w:bCs/>
          <w:color w:val="auto"/>
          <w:sz w:val="21"/>
          <w:szCs w:val="21"/>
          <w:highlight w:val="none"/>
        </w:rPr>
      </w:pPr>
      <w:r>
        <w:rPr>
          <w:rFonts w:hint="eastAsia" w:ascii="方正仿宋_GB2312" w:hAnsi="方正仿宋_GB2312" w:eastAsia="方正仿宋_GB2312" w:cs="方正仿宋_GB2312"/>
          <w:b w:val="0"/>
          <w:bCs/>
          <w:color w:val="auto"/>
          <w:sz w:val="21"/>
          <w:szCs w:val="21"/>
          <w:highlight w:val="none"/>
        </w:rPr>
        <w:t>质保金：结算审定总价3%，工程质量保修期满，发包人复验工程无质量问题后，签发工程缺陷责任期终止证书并退还承包方缴存的质保金（无息）。</w:t>
      </w:r>
    </w:p>
    <w:p w14:paraId="605488C6">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17.5 交工结算</w:t>
      </w:r>
    </w:p>
    <w:p w14:paraId="5CB12767">
      <w:pPr>
        <w:tabs>
          <w:tab w:val="left" w:pos="1080"/>
        </w:tabs>
        <w:spacing w:line="360" w:lineRule="auto"/>
        <w:ind w:firstLine="420" w:firstLineChars="200"/>
        <w:rPr>
          <w:rFonts w:hint="default" w:ascii="方正仿宋_GB2312" w:hAnsi="方正仿宋_GB2312" w:eastAsia="方正仿宋_GB2312" w:cs="方正仿宋_GB2312"/>
          <w:b/>
          <w:color w:val="auto"/>
          <w:sz w:val="21"/>
          <w:szCs w:val="21"/>
          <w:highlight w:val="none"/>
          <w:lang w:val="en-US" w:eastAsia="zh-CN"/>
        </w:rPr>
      </w:pPr>
      <w:r>
        <w:rPr>
          <w:rFonts w:hint="eastAsia" w:ascii="方正仿宋_GB2312" w:hAnsi="方正仿宋_GB2312" w:eastAsia="方正仿宋_GB2312" w:cs="方正仿宋_GB2312"/>
          <w:b w:val="0"/>
          <w:bCs/>
          <w:color w:val="auto"/>
          <w:sz w:val="21"/>
          <w:szCs w:val="21"/>
          <w:highlight w:val="none"/>
        </w:rPr>
        <w:t>待完成项目结算评审及承包方预存项目结算评审价3%作为工程质量保证金后，承包人将质量保证金存入发包人指定账户（户名：马山县财政局，账号：20-044101040005567，开户行：农行马山县支行营业室），发包人则按审计结算价全额支付工程款，待工程质量保修期满后如数返还给承包人（工程质量保证金不计息）</w:t>
      </w:r>
    </w:p>
    <w:p w14:paraId="2AFE8ED6">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18.9 竣工文件</w:t>
      </w:r>
    </w:p>
    <w:p w14:paraId="038D6AE8">
      <w:pPr>
        <w:tabs>
          <w:tab w:val="left" w:pos="1080"/>
        </w:tabs>
        <w:spacing w:line="360" w:lineRule="auto"/>
        <w:ind w:firstLine="422"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 xml:space="preserve"> （增加）</w:t>
      </w:r>
      <w:r>
        <w:rPr>
          <w:rFonts w:hint="eastAsia" w:ascii="方正仿宋_GB2312" w:hAnsi="方正仿宋_GB2312" w:eastAsia="方正仿宋_GB2312" w:cs="方正仿宋_GB2312"/>
          <w:color w:val="auto"/>
          <w:sz w:val="21"/>
          <w:szCs w:val="21"/>
          <w:highlight w:val="none"/>
        </w:rPr>
        <w:t>工程竣工文件的立卷归档按交通部《关于印发公路建设项目文件材料立卷归档管理办法的通知》（交办发[2010]382号）及《公路工程竣（交）工验收办法实施细则》（交公路发[2010]65号）和广西壮族自治区公路管理局《广西公路网项目公路工程文件材料收集立卷归档及验收实施细则（修订）》（桂路工程发[2014]316号）执行。</w:t>
      </w:r>
    </w:p>
    <w:p w14:paraId="7F64FD13">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20.2 人员工伤事故的保险</w:t>
      </w:r>
    </w:p>
    <w:p w14:paraId="35D76A6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20.2.1 承包人员工伤事故的保险</w:t>
      </w:r>
    </w:p>
    <w:p w14:paraId="08C329CF">
      <w:pPr>
        <w:tabs>
          <w:tab w:val="left" w:pos="1080"/>
        </w:tabs>
        <w:spacing w:line="360" w:lineRule="auto"/>
        <w:ind w:firstLine="420"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color w:val="auto"/>
          <w:sz w:val="21"/>
          <w:szCs w:val="21"/>
          <w:highlight w:val="none"/>
        </w:rPr>
        <w:t>增加内容：</w:t>
      </w:r>
    </w:p>
    <w:p w14:paraId="77FB334E">
      <w:pPr>
        <w:autoSpaceDE w:val="0"/>
        <w:autoSpaceDN w:val="0"/>
        <w:adjustRightInd w:val="0"/>
        <w:spacing w:line="360" w:lineRule="auto"/>
        <w:ind w:firstLine="420" w:firstLineChars="200"/>
        <w:jc w:val="left"/>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办理保险的一切费用均由承包人承担，并包括在工程量清单的单价及总额价中，发包人不单独支付。</w:t>
      </w:r>
    </w:p>
    <w:p w14:paraId="366D45BB">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20.3 人身意外伤害险</w:t>
      </w:r>
    </w:p>
    <w:p w14:paraId="636AC23E">
      <w:pPr>
        <w:tabs>
          <w:tab w:val="left" w:pos="1080"/>
        </w:tabs>
        <w:spacing w:line="360" w:lineRule="auto"/>
        <w:ind w:firstLine="420" w:firstLineChars="200"/>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sz w:val="21"/>
          <w:szCs w:val="21"/>
          <w:highlight w:val="none"/>
        </w:rPr>
        <w:t>20.3.2 承包人应在整个施工期间为其现场机构雇用的全部人员，投保人身意外伤害险，缴纳保险费，并要求其分包人也进行此项保险。</w:t>
      </w:r>
      <w:r>
        <w:rPr>
          <w:rFonts w:hint="eastAsia" w:ascii="方正仿宋_GB2312" w:hAnsi="方正仿宋_GB2312" w:eastAsia="方正仿宋_GB2312" w:cs="方正仿宋_GB2312"/>
          <w:color w:val="auto"/>
          <w:kern w:val="0"/>
          <w:sz w:val="21"/>
          <w:szCs w:val="21"/>
          <w:highlight w:val="none"/>
        </w:rPr>
        <w:t>办理保险的一切费用均由承包人承担，并包括在工程量清单的单价及总额价中，发包人不单独支付。</w:t>
      </w:r>
    </w:p>
    <w:p w14:paraId="79BC5C98">
      <w:pPr>
        <w:autoSpaceDE w:val="0"/>
        <w:autoSpaceDN w:val="0"/>
        <w:adjustRightInd w:val="0"/>
        <w:spacing w:line="360" w:lineRule="auto"/>
        <w:ind w:firstLine="420" w:firstLineChars="200"/>
        <w:jc w:val="left"/>
        <w:rPr>
          <w:rFonts w:hint="eastAsia" w:ascii="方正仿宋_GB2312" w:hAnsi="方正仿宋_GB2312" w:eastAsia="方正仿宋_GB2312" w:cs="方正仿宋_GB2312"/>
          <w:color w:val="auto"/>
          <w:kern w:val="0"/>
          <w:sz w:val="21"/>
          <w:szCs w:val="21"/>
          <w:highlight w:val="none"/>
        </w:rPr>
      </w:pPr>
      <w:r>
        <w:rPr>
          <w:rFonts w:hint="eastAsia" w:ascii="方正仿宋_GB2312" w:hAnsi="方正仿宋_GB2312" w:eastAsia="方正仿宋_GB2312" w:cs="方正仿宋_GB2312"/>
          <w:color w:val="auto"/>
          <w:kern w:val="0"/>
          <w:sz w:val="21"/>
          <w:szCs w:val="21"/>
          <w:highlight w:val="none"/>
        </w:rPr>
        <w:t>其中：人身意外伤害险每位被保险人的最低保险金额为</w:t>
      </w:r>
      <w:r>
        <w:rPr>
          <w:rFonts w:hint="eastAsia" w:ascii="方正仿宋_GB2312" w:hAnsi="方正仿宋_GB2312" w:eastAsia="方正仿宋_GB2312" w:cs="方正仿宋_GB2312"/>
          <w:b/>
          <w:color w:val="auto"/>
          <w:kern w:val="0"/>
          <w:sz w:val="21"/>
          <w:szCs w:val="21"/>
          <w:highlight w:val="none"/>
        </w:rPr>
        <w:t>10万元</w:t>
      </w:r>
      <w:r>
        <w:rPr>
          <w:rFonts w:hint="eastAsia" w:ascii="方正仿宋_GB2312" w:hAnsi="方正仿宋_GB2312" w:eastAsia="方正仿宋_GB2312" w:cs="方正仿宋_GB2312"/>
          <w:color w:val="auto"/>
          <w:kern w:val="0"/>
          <w:sz w:val="21"/>
          <w:szCs w:val="21"/>
          <w:highlight w:val="none"/>
        </w:rPr>
        <w:t>人民币，附加意外伤害险医疗险的保险金额为</w:t>
      </w:r>
      <w:r>
        <w:rPr>
          <w:rFonts w:hint="eastAsia" w:ascii="方正仿宋_GB2312" w:hAnsi="方正仿宋_GB2312" w:eastAsia="方正仿宋_GB2312" w:cs="方正仿宋_GB2312"/>
          <w:b/>
          <w:color w:val="auto"/>
          <w:kern w:val="0"/>
          <w:sz w:val="21"/>
          <w:szCs w:val="21"/>
          <w:highlight w:val="none"/>
        </w:rPr>
        <w:t>2万元</w:t>
      </w:r>
      <w:r>
        <w:rPr>
          <w:rFonts w:hint="eastAsia" w:ascii="方正仿宋_GB2312" w:hAnsi="方正仿宋_GB2312" w:eastAsia="方正仿宋_GB2312" w:cs="方正仿宋_GB2312"/>
          <w:color w:val="auto"/>
          <w:kern w:val="0"/>
          <w:sz w:val="21"/>
          <w:szCs w:val="21"/>
          <w:highlight w:val="none"/>
        </w:rPr>
        <w:t>人民币，每标段的人身意外伤害险和附加意外伤害医疗险保险费按合同价（不含该保险费）的</w:t>
      </w:r>
      <w:r>
        <w:rPr>
          <w:rFonts w:hint="eastAsia" w:ascii="方正仿宋_GB2312" w:hAnsi="方正仿宋_GB2312" w:eastAsia="方正仿宋_GB2312" w:cs="方正仿宋_GB2312"/>
          <w:b/>
          <w:color w:val="auto"/>
          <w:kern w:val="0"/>
          <w:sz w:val="21"/>
          <w:szCs w:val="21"/>
          <w:highlight w:val="none"/>
        </w:rPr>
        <w:t>3‰</w:t>
      </w:r>
      <w:r>
        <w:rPr>
          <w:rFonts w:hint="eastAsia" w:ascii="方正仿宋_GB2312" w:hAnsi="方正仿宋_GB2312" w:eastAsia="方正仿宋_GB2312" w:cs="方正仿宋_GB2312"/>
          <w:color w:val="auto"/>
          <w:kern w:val="0"/>
          <w:sz w:val="21"/>
          <w:szCs w:val="21"/>
          <w:highlight w:val="none"/>
        </w:rPr>
        <w:t>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w:t>
      </w:r>
      <w:r>
        <w:rPr>
          <w:rFonts w:hint="eastAsia" w:ascii="方正仿宋_GB2312" w:hAnsi="方正仿宋_GB2312" w:eastAsia="方正仿宋_GB2312" w:cs="方正仿宋_GB2312"/>
          <w:color w:val="auto"/>
          <w:kern w:val="0"/>
          <w:sz w:val="21"/>
          <w:szCs w:val="21"/>
          <w:highlight w:val="none"/>
          <w:lang w:eastAsia="zh-CN"/>
        </w:rPr>
        <w:t>交工</w:t>
      </w:r>
      <w:r>
        <w:rPr>
          <w:rFonts w:hint="eastAsia" w:ascii="方正仿宋_GB2312" w:hAnsi="方正仿宋_GB2312" w:eastAsia="方正仿宋_GB2312" w:cs="方正仿宋_GB2312"/>
          <w:color w:val="auto"/>
          <w:kern w:val="0"/>
          <w:sz w:val="21"/>
          <w:szCs w:val="21"/>
          <w:highlight w:val="none"/>
        </w:rPr>
        <w:t>验收时止。</w:t>
      </w:r>
    </w:p>
    <w:p w14:paraId="36A08930">
      <w:pPr>
        <w:tabs>
          <w:tab w:val="left" w:pos="1080"/>
        </w:tabs>
        <w:spacing w:line="360" w:lineRule="auto"/>
        <w:ind w:firstLine="420"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color w:val="auto"/>
          <w:kern w:val="0"/>
          <w:sz w:val="21"/>
          <w:szCs w:val="21"/>
          <w:highlight w:val="none"/>
        </w:rPr>
        <w:t>施工合同签订后工程开工前</w:t>
      </w:r>
      <w:r>
        <w:rPr>
          <w:rFonts w:hint="eastAsia" w:ascii="方正仿宋_GB2312" w:hAnsi="方正仿宋_GB2312" w:eastAsia="方正仿宋_GB2312" w:cs="方正仿宋_GB2312"/>
          <w:b/>
          <w:color w:val="auto"/>
          <w:kern w:val="0"/>
          <w:sz w:val="21"/>
          <w:szCs w:val="21"/>
          <w:highlight w:val="none"/>
        </w:rPr>
        <w:t>15</w:t>
      </w:r>
      <w:r>
        <w:rPr>
          <w:rFonts w:hint="eastAsia" w:ascii="方正仿宋_GB2312" w:hAnsi="方正仿宋_GB2312" w:eastAsia="方正仿宋_GB2312" w:cs="方正仿宋_GB2312"/>
          <w:color w:val="auto"/>
          <w:kern w:val="0"/>
          <w:sz w:val="21"/>
          <w:szCs w:val="21"/>
          <w:highlight w:val="none"/>
        </w:rPr>
        <w:t>日，承包人必须按有关规定与保险公司签订人身意外伤害险和附加意外伤害医疗险以及其他需要投保的保险的保险合同。</w:t>
      </w:r>
    </w:p>
    <w:p w14:paraId="36F43184">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20.4  第三者责任险</w:t>
      </w:r>
    </w:p>
    <w:p w14:paraId="75450C2C">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t>第三者责任险由承包人以承包人与业主的名义联名投保，最低投保额：100万元，事故次数不限，保险费由投标人在清单中报价，业主根据承包人提供的保险发票在合同清单第三者险报价限额内进行计量支付。</w:t>
      </w:r>
    </w:p>
    <w:p w14:paraId="301833BB">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22.1  承包人违约</w:t>
      </w:r>
    </w:p>
    <w:p w14:paraId="4C71200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22.1.2  当承包人发生第22.1.1项约定的违约情况时，除按22.1.2对承包人违约进行处理外,发包人还</w:t>
      </w:r>
      <w:r>
        <w:rPr>
          <w:rFonts w:hint="eastAsia" w:ascii="方正仿宋_GB2312" w:hAnsi="方正仿宋_GB2312" w:eastAsia="方正仿宋_GB2312" w:cs="方正仿宋_GB2312"/>
          <w:b/>
          <w:color w:val="auto"/>
          <w:sz w:val="21"/>
          <w:szCs w:val="21"/>
          <w:highlight w:val="none"/>
        </w:rPr>
        <w:t>将承包人的违约行为纳入信用评价，</w:t>
      </w:r>
      <w:r>
        <w:rPr>
          <w:rFonts w:hint="eastAsia" w:ascii="方正仿宋_GB2312" w:hAnsi="方正仿宋_GB2312" w:eastAsia="方正仿宋_GB2312" w:cs="方正仿宋_GB2312"/>
          <w:color w:val="auto"/>
          <w:sz w:val="21"/>
          <w:szCs w:val="21"/>
          <w:highlight w:val="none"/>
        </w:rPr>
        <w:t>并有权向承包人课以违约金，具体约定如下：</w:t>
      </w:r>
    </w:p>
    <w:p w14:paraId="7518A81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（1）～（3）按原条款。增加以下条款：</w:t>
      </w:r>
    </w:p>
    <w:p w14:paraId="16E2EE2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除工程主体、关健性工作以外的其他部分和工作允许分包，但承包人未经发包人书面同意,私自将工程中除工程主体、关健性工作以外的其他部分和工作分包给第三人，视为承包人违约。发包人可向承包人发出限期整改通知，承包人应在限期内改正。若承包人未在限期内改正，发包人可书面通知承包人不再承担私自分包项目的施工，由发包人另行组织人员或委托其他承包人施工，并依法办理转让手续。</w:t>
      </w:r>
    </w:p>
    <w:p w14:paraId="20BCFC62">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（5）有以下行为的，可对承包人处以以下的违约金。</w:t>
      </w:r>
    </w:p>
    <w:p w14:paraId="46D4785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a．由于承包人没有履行合同规定的义务与责任，同类事件第一次被监理工程师、业主工作指令整改的处</w:t>
      </w: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000元/次；第二次出现指令整改的处</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000元/次；多次重复出现被责令整改的处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000元/次。</w:t>
      </w:r>
    </w:p>
    <w:p w14:paraId="421C314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b．在指令规定时间内拒不整改的同一事件被第二次及以上责令整改的处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000元/次。</w:t>
      </w:r>
    </w:p>
    <w:p w14:paraId="20E5F095">
      <w:pPr>
        <w:tabs>
          <w:tab w:val="left" w:pos="1080"/>
        </w:tabs>
        <w:suppressAutoHyphen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（6）有22.1.1.（1）款行为的，一经按交通主管部门规定或合同规定认定，业主将责令承</w:t>
      </w:r>
    </w:p>
    <w:p w14:paraId="4DCA8EC9">
      <w:pPr>
        <w:suppressAutoHyphen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包人纠正，并由承包人承担由此产生的一切损失责任，并处以履约保证金20%的违约金。</w:t>
      </w:r>
    </w:p>
    <w:p w14:paraId="1CA95E7C">
      <w:pPr>
        <w:tabs>
          <w:tab w:val="left" w:pos="1080"/>
        </w:tabs>
        <w:suppressAutoHyphen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（7）有</w:t>
      </w:r>
      <w:r>
        <w:rPr>
          <w:rFonts w:hint="eastAsia" w:ascii="方正仿宋_GB2312" w:hAnsi="方正仿宋_GB2312" w:eastAsia="方正仿宋_GB2312" w:cs="方正仿宋_GB2312"/>
          <w:b/>
          <w:color w:val="auto"/>
          <w:sz w:val="21"/>
          <w:szCs w:val="21"/>
          <w:highlight w:val="none"/>
        </w:rPr>
        <w:t>22.1.1.（3）</w:t>
      </w:r>
      <w:r>
        <w:rPr>
          <w:rFonts w:hint="eastAsia" w:ascii="方正仿宋_GB2312" w:hAnsi="方正仿宋_GB2312" w:eastAsia="方正仿宋_GB2312" w:cs="方正仿宋_GB2312"/>
          <w:color w:val="auto"/>
          <w:sz w:val="21"/>
          <w:szCs w:val="21"/>
          <w:highlight w:val="none"/>
        </w:rPr>
        <w:t>款行为的，由监理工程师发出整改工作指令，按本条（4）对承包人处以违约金。</w:t>
      </w:r>
    </w:p>
    <w:p w14:paraId="3D949CD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（8）有</w:t>
      </w:r>
      <w:r>
        <w:rPr>
          <w:rFonts w:hint="eastAsia" w:ascii="方正仿宋_GB2312" w:hAnsi="方正仿宋_GB2312" w:eastAsia="方正仿宋_GB2312" w:cs="方正仿宋_GB2312"/>
          <w:b/>
          <w:color w:val="auto"/>
          <w:sz w:val="21"/>
          <w:szCs w:val="21"/>
          <w:highlight w:val="none"/>
        </w:rPr>
        <w:t>22.1.1.（5）</w:t>
      </w:r>
      <w:r>
        <w:rPr>
          <w:rFonts w:hint="eastAsia" w:ascii="方正仿宋_GB2312" w:hAnsi="方正仿宋_GB2312" w:eastAsia="方正仿宋_GB2312" w:cs="方正仿宋_GB2312"/>
          <w:color w:val="auto"/>
          <w:sz w:val="21"/>
          <w:szCs w:val="21"/>
          <w:highlight w:val="none"/>
        </w:rPr>
        <w:t>款行为的，除按合同相关条款处理外，由监理工程师发出整改工作指令，按本款（4）对承包人处以违约金。</w:t>
      </w:r>
    </w:p>
    <w:p w14:paraId="393378B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（9）有</w:t>
      </w:r>
      <w:r>
        <w:rPr>
          <w:rFonts w:hint="eastAsia" w:ascii="方正仿宋_GB2312" w:hAnsi="方正仿宋_GB2312" w:eastAsia="方正仿宋_GB2312" w:cs="方正仿宋_GB2312"/>
          <w:b/>
          <w:color w:val="auto"/>
          <w:sz w:val="21"/>
          <w:szCs w:val="21"/>
          <w:highlight w:val="none"/>
        </w:rPr>
        <w:t>22.1.1.（7）</w:t>
      </w:r>
      <w:r>
        <w:rPr>
          <w:rFonts w:hint="eastAsia" w:ascii="方正仿宋_GB2312" w:hAnsi="方正仿宋_GB2312" w:eastAsia="方正仿宋_GB2312" w:cs="方正仿宋_GB2312"/>
          <w:color w:val="auto"/>
          <w:sz w:val="21"/>
          <w:szCs w:val="21"/>
          <w:highlight w:val="none"/>
        </w:rPr>
        <w:t>款行为的，可对承包人处以以下的违约金。</w:t>
      </w:r>
    </w:p>
    <w:p w14:paraId="41AB0AD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a．未按规定开工的，可处以</w:t>
      </w: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000元/天的业主延期损失偿金。</w:t>
      </w:r>
    </w:p>
    <w:p w14:paraId="2DAB32D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b．未按指令采取措施加快进行本工程或其关键部分的施工，可处以1000元/天的业主延期损失偿金。</w:t>
      </w:r>
    </w:p>
    <w:p w14:paraId="5E6F4D0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c．路面碎石材料采备没有达到计划进度，按月检查处</w:t>
      </w:r>
      <w:r>
        <w:rPr>
          <w:rFonts w:hint="eastAsia" w:ascii="方正仿宋_GB2312" w:hAnsi="方正仿宋_GB2312" w:eastAsia="方正仿宋_GB2312" w:cs="方正仿宋_GB2312"/>
          <w:color w:val="auto"/>
          <w:sz w:val="21"/>
          <w:szCs w:val="21"/>
          <w:highlight w:val="none"/>
          <w:lang w:val="en-US" w:eastAsia="zh-CN"/>
        </w:rPr>
        <w:t>20</w:t>
      </w:r>
      <w:r>
        <w:rPr>
          <w:rFonts w:hint="eastAsia" w:ascii="方正仿宋_GB2312" w:hAnsi="方正仿宋_GB2312" w:eastAsia="方正仿宋_GB2312" w:cs="方正仿宋_GB2312"/>
          <w:color w:val="auto"/>
          <w:sz w:val="21"/>
          <w:szCs w:val="21"/>
          <w:highlight w:val="none"/>
        </w:rPr>
        <w:t>00元/月。</w:t>
      </w:r>
    </w:p>
    <w:p w14:paraId="3167CAD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d．未按均衡组织施工要求组织施工的，处每项</w:t>
      </w:r>
      <w:r>
        <w:rPr>
          <w:rFonts w:hint="eastAsia" w:ascii="方正仿宋_GB2312" w:hAnsi="方正仿宋_GB2312" w:eastAsia="方正仿宋_GB2312" w:cs="方正仿宋_GB2312"/>
          <w:color w:val="auto"/>
          <w:sz w:val="21"/>
          <w:szCs w:val="21"/>
          <w:highlight w:val="none"/>
          <w:lang w:val="en-US" w:eastAsia="zh-CN"/>
        </w:rPr>
        <w:t>30</w:t>
      </w:r>
      <w:r>
        <w:rPr>
          <w:rFonts w:hint="eastAsia" w:ascii="方正仿宋_GB2312" w:hAnsi="方正仿宋_GB2312" w:eastAsia="方正仿宋_GB2312" w:cs="方正仿宋_GB2312"/>
          <w:color w:val="auto"/>
          <w:sz w:val="21"/>
          <w:szCs w:val="21"/>
          <w:highlight w:val="none"/>
        </w:rPr>
        <w:t>00元/月次。</w:t>
      </w:r>
    </w:p>
    <w:p w14:paraId="2BD99BF7">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（10）有22.1.1.（8）款行为或以下行为的，视为承包人违约，可对承包人处以下的违约金。</w:t>
      </w:r>
    </w:p>
    <w:p w14:paraId="3B28900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 承包人更换主要人员的，项目经理处</w:t>
      </w:r>
      <w:r>
        <w:rPr>
          <w:rFonts w:hint="eastAsia" w:ascii="方正仿宋_GB2312" w:hAnsi="方正仿宋_GB2312" w:eastAsia="方正仿宋_GB2312" w:cs="方正仿宋_GB2312"/>
          <w:color w:val="auto"/>
          <w:sz w:val="21"/>
          <w:szCs w:val="21"/>
          <w:highlight w:val="none"/>
          <w:lang w:val="en-US" w:eastAsia="zh-CN"/>
        </w:rPr>
        <w:t>3000</w:t>
      </w:r>
      <w:r>
        <w:rPr>
          <w:rFonts w:hint="eastAsia" w:ascii="方正仿宋_GB2312" w:hAnsi="方正仿宋_GB2312" w:eastAsia="方正仿宋_GB2312" w:cs="方正仿宋_GB2312"/>
          <w:color w:val="auto"/>
          <w:sz w:val="21"/>
          <w:szCs w:val="21"/>
          <w:highlight w:val="none"/>
        </w:rPr>
        <w:t>元/人次，总工（或技术负责人）处</w:t>
      </w:r>
      <w:r>
        <w:rPr>
          <w:rFonts w:hint="eastAsia" w:ascii="方正仿宋_GB2312" w:hAnsi="方正仿宋_GB2312" w:eastAsia="方正仿宋_GB2312" w:cs="方正仿宋_GB2312"/>
          <w:color w:val="auto"/>
          <w:sz w:val="21"/>
          <w:szCs w:val="21"/>
          <w:highlight w:val="none"/>
          <w:lang w:val="en-US" w:eastAsia="zh-CN"/>
        </w:rPr>
        <w:t>1500</w:t>
      </w:r>
      <w:r>
        <w:rPr>
          <w:rFonts w:hint="eastAsia" w:ascii="方正仿宋_GB2312" w:hAnsi="方正仿宋_GB2312" w:eastAsia="方正仿宋_GB2312" w:cs="方正仿宋_GB2312"/>
          <w:color w:val="auto"/>
          <w:sz w:val="21"/>
          <w:szCs w:val="21"/>
          <w:highlight w:val="none"/>
        </w:rPr>
        <w:t>万元/人次，其他主要人员（指测量工程师、计量工程师和试验工程师）处</w:t>
      </w:r>
      <w:r>
        <w:rPr>
          <w:rFonts w:hint="eastAsia" w:ascii="方正仿宋_GB2312" w:hAnsi="方正仿宋_GB2312" w:eastAsia="方正仿宋_GB2312" w:cs="方正仿宋_GB2312"/>
          <w:color w:val="auto"/>
          <w:sz w:val="21"/>
          <w:szCs w:val="21"/>
          <w:highlight w:val="none"/>
          <w:lang w:val="en-US" w:eastAsia="zh-CN"/>
        </w:rPr>
        <w:t>800</w:t>
      </w:r>
      <w:r>
        <w:rPr>
          <w:rFonts w:hint="eastAsia" w:ascii="方正仿宋_GB2312" w:hAnsi="方正仿宋_GB2312" w:eastAsia="方正仿宋_GB2312" w:cs="方正仿宋_GB2312"/>
          <w:color w:val="auto"/>
          <w:sz w:val="21"/>
          <w:szCs w:val="21"/>
          <w:highlight w:val="none"/>
        </w:rPr>
        <w:t>元/人次”。但如果其更换取得业主同意的，可以不进行违约金处罚。</w:t>
      </w:r>
    </w:p>
    <w:p w14:paraId="741F49B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b.项目经理、总工驻工地每年不满300天，处</w:t>
      </w:r>
      <w:r>
        <w:rPr>
          <w:rFonts w:hint="eastAsia" w:ascii="方正仿宋_GB2312" w:hAnsi="方正仿宋_GB2312" w:eastAsia="方正仿宋_GB2312" w:cs="方正仿宋_GB2312"/>
          <w:color w:val="auto"/>
          <w:sz w:val="21"/>
          <w:szCs w:val="21"/>
          <w:highlight w:val="none"/>
          <w:lang w:val="en-US" w:eastAsia="zh-CN"/>
        </w:rPr>
        <w:t>5000</w:t>
      </w:r>
      <w:r>
        <w:rPr>
          <w:rFonts w:hint="eastAsia" w:ascii="方正仿宋_GB2312" w:hAnsi="方正仿宋_GB2312" w:eastAsia="方正仿宋_GB2312" w:cs="方正仿宋_GB2312"/>
          <w:color w:val="auto"/>
          <w:sz w:val="21"/>
          <w:szCs w:val="21"/>
          <w:highlight w:val="none"/>
        </w:rPr>
        <w:t>元/人年，其他主要人员处</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000元/人年。</w:t>
      </w:r>
    </w:p>
    <w:p w14:paraId="0251548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c.未经请假准允离开工地，经理、总工处</w:t>
      </w:r>
      <w:r>
        <w:rPr>
          <w:rFonts w:hint="eastAsia" w:ascii="方正仿宋_GB2312" w:hAnsi="方正仿宋_GB2312" w:eastAsia="方正仿宋_GB2312" w:cs="方正仿宋_GB2312"/>
          <w:color w:val="auto"/>
          <w:sz w:val="21"/>
          <w:szCs w:val="21"/>
          <w:highlight w:val="none"/>
          <w:lang w:val="en-US" w:eastAsia="zh-CN"/>
        </w:rPr>
        <w:t>500</w:t>
      </w:r>
      <w:r>
        <w:rPr>
          <w:rFonts w:hint="eastAsia" w:ascii="方正仿宋_GB2312" w:hAnsi="方正仿宋_GB2312" w:eastAsia="方正仿宋_GB2312" w:cs="方正仿宋_GB2312"/>
          <w:color w:val="auto"/>
          <w:sz w:val="21"/>
          <w:szCs w:val="21"/>
          <w:highlight w:val="none"/>
        </w:rPr>
        <w:t>元/人日，其他主要人员处</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00元/人日。</w:t>
      </w:r>
    </w:p>
    <w:p w14:paraId="5B4415A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d．主要设备没有按承诺进场的处</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00元台/日。</w:t>
      </w:r>
    </w:p>
    <w:p w14:paraId="50F0F1AC">
      <w:pPr>
        <w:tabs>
          <w:tab w:val="left" w:pos="1080"/>
        </w:tabs>
        <w:spacing w:line="360" w:lineRule="auto"/>
        <w:ind w:firstLine="422" w:firstLineChars="200"/>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（11）有以下情形的，可对承包人处以违约金。</w:t>
      </w:r>
    </w:p>
    <w:p w14:paraId="46E142D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a.质量管理</w:t>
      </w:r>
    </w:p>
    <w:p w14:paraId="401DCBE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(a)出现下列行为之一可处200元/（人）次。</w:t>
      </w:r>
    </w:p>
    <w:p w14:paraId="304F8BD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Ⅰ 分项工程施工现场无合格的施工责任牌；或</w:t>
      </w:r>
    </w:p>
    <w:p w14:paraId="6C2D520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分项工程施工现场无其相关责任人；或</w:t>
      </w:r>
    </w:p>
    <w:p w14:paraId="1AF06810">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施工现场无基本的检测检验工具；或</w:t>
      </w:r>
    </w:p>
    <w:p w14:paraId="259EE89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Ⅳ 施工现场相关责任人无检查检验记录表；或</w:t>
      </w:r>
    </w:p>
    <w:p w14:paraId="47E665D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Ⅴ 现场已完成工作无检查记录。</w:t>
      </w:r>
    </w:p>
    <w:p w14:paraId="25E4954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（b）出现以下行为之一，可处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00元/次。</w:t>
      </w:r>
    </w:p>
    <w:p w14:paraId="26DD4B9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Ⅰ　未按工序申请检验进入下一道工序的；或</w:t>
      </w:r>
    </w:p>
    <w:p w14:paraId="5795ED9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隐蔽工程记录文件不全；或</w:t>
      </w:r>
    </w:p>
    <w:p w14:paraId="49B4424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施工试验检验频率不符合施工规范规定；或</w:t>
      </w:r>
    </w:p>
    <w:p w14:paraId="0DFC172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Ⅳ　分项工程质量自检验收检验频率不符合质量评定标准规定的。</w:t>
      </w:r>
    </w:p>
    <w:p w14:paraId="78EFB03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（c）出现以下行为之一，可处</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00元/次。</w:t>
      </w:r>
    </w:p>
    <w:p w14:paraId="2A7165F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Ⅰ　出现质量问题，且承包人负有直接责任的，或不能证明其履行其职责的。或</w:t>
      </w:r>
    </w:p>
    <w:p w14:paraId="6AA674B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发生质量事故，未按有关规定和时间向有关部门报告的；</w:t>
      </w:r>
    </w:p>
    <w:p w14:paraId="203443A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已经施工完成的工程没有按竣工文件收集归档管理办法要求依分项工程、工序将施工作业记录、测量记录、试验检测记录及工序报验审批记录等收集归档。</w:t>
      </w:r>
    </w:p>
    <w:p w14:paraId="27757C3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 ）出现以下行为之一，可处</w:t>
      </w:r>
      <w:r>
        <w:rPr>
          <w:rFonts w:hint="eastAsia" w:ascii="方正仿宋_GB2312" w:hAnsi="方正仿宋_GB2312" w:eastAsia="方正仿宋_GB2312" w:cs="方正仿宋_GB2312"/>
          <w:color w:val="auto"/>
          <w:sz w:val="21"/>
          <w:szCs w:val="21"/>
          <w:highlight w:val="none"/>
          <w:lang w:val="en-US" w:eastAsia="zh-CN"/>
        </w:rPr>
        <w:t>30</w:t>
      </w:r>
      <w:r>
        <w:rPr>
          <w:rFonts w:hint="eastAsia" w:ascii="方正仿宋_GB2312" w:hAnsi="方正仿宋_GB2312" w:eastAsia="方正仿宋_GB2312" w:cs="方正仿宋_GB2312"/>
          <w:color w:val="auto"/>
          <w:sz w:val="21"/>
          <w:szCs w:val="21"/>
          <w:highlight w:val="none"/>
        </w:rPr>
        <w:t>00元/次。</w:t>
      </w:r>
    </w:p>
    <w:p w14:paraId="6239FB0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Ⅰ　施工单位不接受质监机构监督；或</w:t>
      </w:r>
    </w:p>
    <w:p w14:paraId="0156233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出现二、三级一般质量事故，且承包人负有直接责任，或不能证明其履行其职责的；或</w:t>
      </w:r>
    </w:p>
    <w:p w14:paraId="526E683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未按规定建立合格的工地试验室的；或</w:t>
      </w:r>
    </w:p>
    <w:p w14:paraId="533BD06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Ⅳ　路基土石方，路面各结构层一次单项单点实体抽查合格率为50%—70%的；或</w:t>
      </w:r>
    </w:p>
    <w:p w14:paraId="75D5F41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Ⅴ　砌筑、排水、小桥、涵洞等构造物，中小型预制构件等一次单点实体抽查合格率为50%—75%的；或</w:t>
      </w:r>
    </w:p>
    <w:p w14:paraId="54763C2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Ⅵ　特大桥、大桥、中桥、隧道、船闸、枢纽厂房、大坝等主要构造物，大型预制构件等一次单点实体抽查合格率为60%—75%的；或</w:t>
      </w:r>
    </w:p>
    <w:p w14:paraId="41C7ED1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Ⅶ　使用主要材料（钢筋、水泥、沥青、碎石、砂、砂砾等）不合格的。或</w:t>
      </w:r>
    </w:p>
    <w:p w14:paraId="4BC1852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Ⅷ　已经施工完成的工程无法提供按竣工文件收集归档管理办法要求应收集的分项工程、工序的施工作业记录、测量记录、试验检测记录及工序报验审批记录等质量管理文件的。</w:t>
      </w:r>
    </w:p>
    <w:p w14:paraId="61BA0A8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（e）出现以下行为之一，可处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000元/次。</w:t>
      </w:r>
    </w:p>
    <w:p w14:paraId="470CAB1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Ⅰ　发生一级一般质量事故或重大质量事故，且承包人负有直接责任，或不能证明其履行其职责的； </w:t>
      </w:r>
    </w:p>
    <w:p w14:paraId="06C5716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路基土石方，路面各结构一次单项单点实体抽查合格率在50%以下的（单点合格率计算以设计值为准，达不到设计值的点为不合格点，下同）；或</w:t>
      </w:r>
    </w:p>
    <w:p w14:paraId="432FB5E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砌筑、排水、小桥、涵洞等构造物，中小型预制构件，房建工程等一次单点实体抽查合格率小于50%的；或</w:t>
      </w:r>
    </w:p>
    <w:p w14:paraId="1D4CBE7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Ⅳ　特大桥、大桥、中桥、隧道、船闸、枢纽厂房、大坝等主要构造物，大型预制构件等一次单点实体抽查合格率小于60%的；或</w:t>
      </w:r>
    </w:p>
    <w:p w14:paraId="7DEEEA8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Ⅴ　未按要求进行自检，弄虚作假、捏造数据、伪造试验报告的。</w:t>
      </w:r>
    </w:p>
    <w:p w14:paraId="081D3AF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（f）因质量问题被地市级及以上交通主管部门、质量监督单位、公路管理机构通报（批评）的，可对承包人处以</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000元违约金，红牌警告</w:t>
      </w:r>
      <w:r>
        <w:rPr>
          <w:rFonts w:hint="eastAsia" w:ascii="方正仿宋_GB2312" w:hAnsi="方正仿宋_GB2312" w:eastAsia="方正仿宋_GB2312" w:cs="方正仿宋_GB2312"/>
          <w:color w:val="auto"/>
          <w:sz w:val="21"/>
          <w:szCs w:val="21"/>
          <w:highlight w:val="none"/>
          <w:lang w:val="en-US" w:eastAsia="zh-CN"/>
        </w:rPr>
        <w:t>3</w:t>
      </w:r>
      <w:r>
        <w:rPr>
          <w:rFonts w:hint="eastAsia" w:ascii="方正仿宋_GB2312" w:hAnsi="方正仿宋_GB2312" w:eastAsia="方正仿宋_GB2312" w:cs="方正仿宋_GB2312"/>
          <w:color w:val="auto"/>
          <w:sz w:val="21"/>
          <w:szCs w:val="21"/>
          <w:highlight w:val="none"/>
        </w:rPr>
        <w:t>000元，黄牌警告</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000元。</w:t>
      </w:r>
    </w:p>
    <w:p w14:paraId="2D201D0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b．安全生产管理</w:t>
      </w:r>
    </w:p>
    <w:p w14:paraId="067ECF2A">
      <w:pPr>
        <w:numPr>
          <w:ilvl w:val="0"/>
          <w:numId w:val="2"/>
        </w:num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出现下列行为之一的，责令限期改正，并处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000元的罚款：</w:t>
      </w:r>
    </w:p>
    <w:p w14:paraId="21927B99">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1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未按照规定设置安全生产管理机构或者配备安全管理人员的；</w:t>
      </w:r>
    </w:p>
    <w:p w14:paraId="174024F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2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未按规定对从业人员、被派遣劳动者、实习学生进行安全生产教育和培训，或者未按照规定如实告知有关的安全生产事项的；</w:t>
      </w:r>
    </w:p>
    <w:p w14:paraId="58CA7A6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3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未如实记录安全生产教育和培训情况的；</w:t>
      </w:r>
    </w:p>
    <w:p w14:paraId="5631FE3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4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IV</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未将事故隐患排查治理情况如实记录或者未向从业人员通报的；</w:t>
      </w:r>
    </w:p>
    <w:p w14:paraId="02CF1FC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5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V</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未按照规定制定生产安全事故应急救援预案或者从业人员定期组织演练的；</w:t>
      </w:r>
    </w:p>
    <w:p w14:paraId="0A17A4E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6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VI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特种作业人员未按照规定经专门的安全作业培训并取得相应资格，上岗作业的；</w:t>
      </w:r>
    </w:p>
    <w:p w14:paraId="2668537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7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VII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未在有较大危险因素的施工场所和有关设施、设备上设置明显的安全警示标志的；</w:t>
      </w:r>
    </w:p>
    <w:p w14:paraId="38EEC3A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8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VIII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安全设备的安装、使用、检测、改造不符合国家标准或者行业标准的；</w:t>
      </w:r>
    </w:p>
    <w:p w14:paraId="07BF7143">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9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IX</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未对安全设备进行经常性维护、保养和定期检测的；</w:t>
      </w:r>
    </w:p>
    <w:p w14:paraId="2F5AF2E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w:t>
      </w: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10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X</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未为从业人员提供符合国家标准或者行业标准的劳动防护用品的。</w:t>
      </w:r>
    </w:p>
    <w:p w14:paraId="1B33DF9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（b)出现下列行为之一的，责令限期改正，并处</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000元的罚款：</w:t>
      </w:r>
    </w:p>
    <w:p w14:paraId="76BD18E3">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1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运输、储存、使用危险物品或者处置废弃危险物品，未建立专门安全管理制度、未采取可靠的安全措施的；</w:t>
      </w:r>
    </w:p>
    <w:p w14:paraId="0F69385A">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2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对重大危险源未登记建档，或者未进行评估、监控，或者未制定应急预案的；</w:t>
      </w:r>
    </w:p>
    <w:p w14:paraId="6A2C102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3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III</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进行爆破、吊装以及国务院安全生产监督管理部门会同国务院有关部门规定的其他危险作业，未安排专门人员进行现场安全管理的；</w:t>
      </w:r>
    </w:p>
    <w:p w14:paraId="690429AC">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fldChar w:fldCharType="begin"/>
      </w:r>
      <w:r>
        <w:rPr>
          <w:rFonts w:hint="eastAsia" w:ascii="方正仿宋_GB2312" w:hAnsi="方正仿宋_GB2312" w:eastAsia="方正仿宋_GB2312" w:cs="方正仿宋_GB2312"/>
          <w:color w:val="auto"/>
          <w:sz w:val="21"/>
          <w:szCs w:val="21"/>
          <w:highlight w:val="none"/>
        </w:rPr>
        <w:instrText xml:space="preserve"> = 4 \* ROMAN \* MERGEFORMAT </w:instrText>
      </w:r>
      <w:r>
        <w:rPr>
          <w:rFonts w:hint="eastAsia" w:ascii="方正仿宋_GB2312" w:hAnsi="方正仿宋_GB2312" w:eastAsia="方正仿宋_GB2312" w:cs="方正仿宋_GB2312"/>
          <w:color w:val="auto"/>
          <w:sz w:val="21"/>
          <w:szCs w:val="21"/>
          <w:highlight w:val="none"/>
        </w:rPr>
        <w:fldChar w:fldCharType="separate"/>
      </w:r>
      <w:r>
        <w:rPr>
          <w:rFonts w:hint="eastAsia" w:ascii="方正仿宋_GB2312" w:hAnsi="方正仿宋_GB2312" w:eastAsia="方正仿宋_GB2312" w:cs="方正仿宋_GB2312"/>
          <w:color w:val="auto"/>
          <w:sz w:val="21"/>
          <w:szCs w:val="21"/>
          <w:highlight w:val="none"/>
        </w:rPr>
        <w:t>IV</w:t>
      </w:r>
      <w:r>
        <w:rPr>
          <w:rFonts w:hint="eastAsia" w:ascii="方正仿宋_GB2312" w:hAnsi="方正仿宋_GB2312" w:eastAsia="方正仿宋_GB2312" w:cs="方正仿宋_GB2312"/>
          <w:color w:val="auto"/>
          <w:sz w:val="21"/>
          <w:szCs w:val="21"/>
          <w:highlight w:val="none"/>
        </w:rPr>
        <w:fldChar w:fldCharType="end"/>
      </w:r>
      <w:r>
        <w:rPr>
          <w:rFonts w:hint="eastAsia" w:ascii="方正仿宋_GB2312" w:hAnsi="方正仿宋_GB2312" w:eastAsia="方正仿宋_GB2312" w:cs="方正仿宋_GB2312"/>
          <w:color w:val="auto"/>
          <w:sz w:val="21"/>
          <w:szCs w:val="21"/>
          <w:highlight w:val="none"/>
        </w:rPr>
        <w:t xml:space="preserve">  未建立事故隐患排查治理制度的。</w:t>
      </w:r>
    </w:p>
    <w:p w14:paraId="1704C19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（c）出现下列行为之一可处</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00元/（人）次。</w:t>
      </w:r>
    </w:p>
    <w:p w14:paraId="239F6A40">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 xml:space="preserve">Ⅰ  </w:t>
      </w:r>
      <w:r>
        <w:rPr>
          <w:rFonts w:hint="eastAsia" w:ascii="方正仿宋_GB2312" w:hAnsi="方正仿宋_GB2312" w:eastAsia="方正仿宋_GB2312" w:cs="方正仿宋_GB2312"/>
          <w:color w:val="auto"/>
          <w:sz w:val="21"/>
          <w:szCs w:val="21"/>
          <w:highlight w:val="none"/>
        </w:rPr>
        <w:t>需配戴安全防护用具作业但未按规定配戴的；或</w:t>
      </w:r>
    </w:p>
    <w:p w14:paraId="4225314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Ⅱ  无安全生产检查日志；或</w:t>
      </w:r>
    </w:p>
    <w:p w14:paraId="3A03F7A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Ⅲ　需设安全防护设施的未按规定设置；或</w:t>
      </w:r>
    </w:p>
    <w:p w14:paraId="590C300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Ⅳ  发生重大安全事故不按规定报告的。</w:t>
      </w:r>
    </w:p>
    <w:p w14:paraId="71EEBB1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(d)出现下列行为之一可处</w:t>
      </w: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000元/处次。</w:t>
      </w:r>
    </w:p>
    <w:p w14:paraId="0B66F26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出现一般安全生事故负有责任的.</w:t>
      </w:r>
    </w:p>
    <w:p w14:paraId="5DDFF7A4">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（e）出现下列行为之一可处</w:t>
      </w: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000元/处次。</w:t>
      </w:r>
    </w:p>
    <w:p w14:paraId="065DE62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xml:space="preserve">  出现重大安全生产事故负有责任的。</w:t>
      </w:r>
    </w:p>
    <w:p w14:paraId="19681E40">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c．文明施工与环境保护，交通通畅</w:t>
      </w:r>
    </w:p>
    <w:p w14:paraId="78102A65">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（a）路基路面施工扬尘影响交通安全的处500元/处天；</w:t>
      </w:r>
    </w:p>
    <w:p w14:paraId="1ED16652">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（b）由于施工原因造成污染、破坏被群众向政府、主管单位投诉或被环保、水利部门责令整改的，处1000元/次。</w:t>
      </w:r>
    </w:p>
    <w:p w14:paraId="0FDA83A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（c）由于承包人原因包括不及时处理堵车造成交通堵塞，堵车30分钟至一小时的处</w:t>
      </w: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000元/次，堵车一小时至二小时的处</w:t>
      </w:r>
      <w:r>
        <w:rPr>
          <w:rFonts w:hint="eastAsia" w:ascii="方正仿宋_GB2312" w:hAnsi="方正仿宋_GB2312" w:eastAsia="方正仿宋_GB2312" w:cs="方正仿宋_GB2312"/>
          <w:color w:val="auto"/>
          <w:sz w:val="21"/>
          <w:szCs w:val="21"/>
          <w:highlight w:val="none"/>
          <w:lang w:val="en-US" w:eastAsia="zh-CN"/>
        </w:rPr>
        <w:t>2000</w:t>
      </w:r>
      <w:r>
        <w:rPr>
          <w:rFonts w:hint="eastAsia" w:ascii="方正仿宋_GB2312" w:hAnsi="方正仿宋_GB2312" w:eastAsia="方正仿宋_GB2312" w:cs="方正仿宋_GB2312"/>
          <w:color w:val="auto"/>
          <w:sz w:val="21"/>
          <w:szCs w:val="21"/>
          <w:highlight w:val="none"/>
        </w:rPr>
        <w:t>元/次，堵车二小时以上的处每小时（不满1小时按1小时计）</w:t>
      </w:r>
      <w:r>
        <w:rPr>
          <w:rFonts w:hint="eastAsia" w:ascii="方正仿宋_GB2312" w:hAnsi="方正仿宋_GB2312" w:eastAsia="方正仿宋_GB2312" w:cs="方正仿宋_GB2312"/>
          <w:color w:val="auto"/>
          <w:sz w:val="21"/>
          <w:szCs w:val="21"/>
          <w:highlight w:val="none"/>
          <w:lang w:val="en-US" w:eastAsia="zh-CN"/>
        </w:rPr>
        <w:t>3000</w:t>
      </w:r>
      <w:r>
        <w:rPr>
          <w:rFonts w:hint="eastAsia" w:ascii="方正仿宋_GB2312" w:hAnsi="方正仿宋_GB2312" w:eastAsia="方正仿宋_GB2312" w:cs="方正仿宋_GB2312"/>
          <w:color w:val="auto"/>
          <w:sz w:val="21"/>
          <w:szCs w:val="21"/>
          <w:highlight w:val="none"/>
        </w:rPr>
        <w:t>元，并建议上级主管单位进行通报。</w:t>
      </w:r>
    </w:p>
    <w:p w14:paraId="516DE878">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d．其他重要规定违约处理</w:t>
      </w:r>
    </w:p>
    <w:p w14:paraId="1B6CC9FF">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　有下列行为之一的处500元/人次违约金并责令承包人进行整改。</w:t>
      </w:r>
    </w:p>
    <w:p w14:paraId="7715A27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(a)  劳务人员未按规定签订聘用合同并向业主、监理工程师报备；或</w:t>
      </w:r>
    </w:p>
    <w:p w14:paraId="409D1BB6">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(b)　签订的劳务合同不符合劳动法等法规要求；或</w:t>
      </w:r>
    </w:p>
    <w:p w14:paraId="45C73237">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(c)　劳务人员未编入承包人施工班组，并持项目经理签发的劳务上岗证上岗。</w:t>
      </w:r>
    </w:p>
    <w:p w14:paraId="146BFBAE">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（12）</w:t>
      </w:r>
      <w:r>
        <w:rPr>
          <w:rFonts w:hint="eastAsia" w:ascii="方正仿宋_GB2312" w:hAnsi="方正仿宋_GB2312" w:eastAsia="方正仿宋_GB2312" w:cs="方正仿宋_GB2312"/>
          <w:color w:val="auto"/>
          <w:kern w:val="0"/>
          <w:sz w:val="21"/>
          <w:szCs w:val="21"/>
          <w:highlight w:val="none"/>
        </w:rPr>
        <w:t>施工单位对于监理检查或建设办检查所发现的不符合安全要求事项被责令整改，整改不能在规定时间内完成，每延期一天按500元追索违约金。同一违规事项连续在2次月度检查中出现时，每发生一次按500元追索违约金。</w:t>
      </w:r>
    </w:p>
    <w:p w14:paraId="6751461D">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（13）上述被处的违约金承包人须以现金方式汇入业主指定的专用帐户，拒不执行者业主可在计量支付时无条件扣除并汇入指定的专用帐户。</w:t>
      </w:r>
    </w:p>
    <w:p w14:paraId="7F30F961">
      <w:pPr>
        <w:tabs>
          <w:tab w:val="left" w:pos="1080"/>
        </w:tabs>
        <w:spacing w:line="360" w:lineRule="auto"/>
        <w:ind w:firstLine="420" w:firstLineChars="20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（14）业主（招标人）按合同进行违约处理后，并不解除承包人按照国家法规与合同应承担的责任与义务。</w:t>
      </w:r>
    </w:p>
    <w:p w14:paraId="4212E1ED">
      <w:pPr>
        <w:tabs>
          <w:tab w:val="left" w:pos="1080"/>
        </w:tabs>
        <w:spacing w:line="360" w:lineRule="auto"/>
        <w:ind w:firstLine="560" w:firstLineChars="200"/>
        <w:rPr>
          <w:rFonts w:hint="eastAsia" w:ascii="方正仿宋_GB2312" w:hAnsi="方正仿宋_GB2312" w:eastAsia="方正仿宋_GB2312" w:cs="方正仿宋_GB2312"/>
          <w:color w:val="auto"/>
          <w:sz w:val="28"/>
          <w:szCs w:val="28"/>
          <w:highlight w:val="none"/>
        </w:rPr>
      </w:pPr>
    </w:p>
    <w:p w14:paraId="4FC9A186">
      <w:pPr>
        <w:tabs>
          <w:tab w:val="left" w:pos="1080"/>
        </w:tabs>
        <w:spacing w:line="320" w:lineRule="exact"/>
        <w:rPr>
          <w:rFonts w:hint="eastAsia" w:ascii="方正仿宋_GB2312" w:hAnsi="方正仿宋_GB2312" w:eastAsia="方正仿宋_GB2312" w:cs="方正仿宋_GB2312"/>
          <w:b/>
          <w:color w:val="auto"/>
          <w:kern w:val="1"/>
          <w:sz w:val="28"/>
          <w:highlight w:val="none"/>
        </w:rPr>
        <w:sectPr>
          <w:headerReference r:id="rId17" w:type="default"/>
          <w:footerReference r:id="rId18" w:type="default"/>
          <w:pgSz w:w="11910" w:h="16840"/>
          <w:pgMar w:top="1440" w:right="1080" w:bottom="1440" w:left="1080" w:header="720" w:footer="720" w:gutter="0"/>
          <w:pgNumType w:fmt="decimal"/>
          <w:cols w:space="720" w:num="1"/>
        </w:sectPr>
      </w:pPr>
    </w:p>
    <w:p w14:paraId="13645E89">
      <w:pPr>
        <w:tabs>
          <w:tab w:val="left" w:pos="1080"/>
        </w:tabs>
        <w:spacing w:line="320" w:lineRule="exact"/>
        <w:rPr>
          <w:rFonts w:hint="eastAsia" w:ascii="方正仿宋_GB2312" w:hAnsi="方正仿宋_GB2312" w:eastAsia="方正仿宋_GB2312" w:cs="方正仿宋_GB2312"/>
          <w:b/>
          <w:color w:val="auto"/>
          <w:kern w:val="1"/>
          <w:sz w:val="28"/>
          <w:highlight w:val="none"/>
        </w:rPr>
      </w:pPr>
      <w:r>
        <w:rPr>
          <w:rFonts w:hint="eastAsia" w:ascii="方正仿宋_GB2312" w:hAnsi="方正仿宋_GB2312" w:eastAsia="方正仿宋_GB2312" w:cs="方正仿宋_GB2312"/>
          <w:b/>
          <w:color w:val="auto"/>
          <w:kern w:val="1"/>
          <w:sz w:val="28"/>
          <w:highlight w:val="none"/>
        </w:rPr>
        <w:t>附：</w:t>
      </w:r>
    </w:p>
    <w:p w14:paraId="09BD40C0">
      <w:pPr>
        <w:tabs>
          <w:tab w:val="left" w:pos="1080"/>
        </w:tabs>
        <w:spacing w:line="320" w:lineRule="exact"/>
        <w:jc w:val="center"/>
        <w:rPr>
          <w:rFonts w:hint="eastAsia" w:ascii="方正仿宋_GB2312" w:hAnsi="方正仿宋_GB2312" w:eastAsia="方正仿宋_GB2312" w:cs="方正仿宋_GB2312"/>
          <w:b/>
          <w:color w:val="auto"/>
          <w:kern w:val="1"/>
          <w:sz w:val="28"/>
          <w:highlight w:val="none"/>
        </w:rPr>
      </w:pPr>
    </w:p>
    <w:p w14:paraId="0A70F3CA">
      <w:pPr>
        <w:tabs>
          <w:tab w:val="left" w:pos="1080"/>
        </w:tabs>
        <w:spacing w:line="320" w:lineRule="exact"/>
        <w:jc w:val="center"/>
        <w:rPr>
          <w:rFonts w:hint="eastAsia" w:ascii="方正仿宋_GB2312" w:hAnsi="方正仿宋_GB2312" w:eastAsia="方正仿宋_GB2312" w:cs="方正仿宋_GB2312"/>
          <w:b/>
          <w:color w:val="auto"/>
          <w:kern w:val="1"/>
          <w:sz w:val="28"/>
          <w:highlight w:val="none"/>
        </w:rPr>
      </w:pPr>
      <w:r>
        <w:rPr>
          <w:rFonts w:hint="eastAsia" w:ascii="方正仿宋_GB2312" w:hAnsi="方正仿宋_GB2312" w:eastAsia="方正仿宋_GB2312" w:cs="方正仿宋_GB2312"/>
          <w:b/>
          <w:color w:val="auto"/>
          <w:kern w:val="1"/>
          <w:sz w:val="28"/>
          <w:highlight w:val="none"/>
        </w:rPr>
        <w:t>广西公路管理局公路工程建设农民工工资管理实施细则(修订)</w:t>
      </w:r>
    </w:p>
    <w:p w14:paraId="4C6A8C6A">
      <w:pPr>
        <w:tabs>
          <w:tab w:val="left" w:pos="1080"/>
        </w:tabs>
        <w:spacing w:line="320" w:lineRule="exact"/>
        <w:ind w:left="420" w:firstLine="422"/>
        <w:rPr>
          <w:rFonts w:hint="eastAsia" w:ascii="方正仿宋_GB2312" w:hAnsi="方正仿宋_GB2312" w:eastAsia="方正仿宋_GB2312" w:cs="方正仿宋_GB2312"/>
          <w:b/>
          <w:color w:val="auto"/>
          <w:kern w:val="1"/>
          <w:sz w:val="28"/>
          <w:highlight w:val="none"/>
        </w:rPr>
      </w:pPr>
    </w:p>
    <w:p w14:paraId="60A5CFDD">
      <w:pPr>
        <w:tabs>
          <w:tab w:val="left" w:pos="1080"/>
        </w:tabs>
        <w:spacing w:line="360" w:lineRule="auto"/>
        <w:ind w:firstLine="420" w:firstLineChars="200"/>
        <w:jc w:val="left"/>
        <w:rPr>
          <w:rFonts w:hint="eastAsia" w:ascii="方正仿宋_GB2312" w:hAnsi="方正仿宋_GB2312" w:eastAsia="方正仿宋_GB2312" w:cs="方正仿宋_GB2312"/>
          <w:color w:val="auto"/>
          <w:kern w:val="1"/>
          <w:sz w:val="21"/>
          <w:szCs w:val="21"/>
          <w:highlight w:val="none"/>
        </w:rPr>
      </w:pPr>
      <w:r>
        <w:rPr>
          <w:rFonts w:hint="eastAsia" w:ascii="方正仿宋_GB2312" w:hAnsi="方正仿宋_GB2312" w:eastAsia="方正仿宋_GB2312" w:cs="方正仿宋_GB2312"/>
          <w:color w:val="auto"/>
          <w:kern w:val="1"/>
          <w:sz w:val="21"/>
          <w:szCs w:val="21"/>
          <w:highlight w:val="none"/>
        </w:rPr>
        <w:t>广西壮族自治区公路管理局《关于印发广西壮族自治区公路管理局公路工程建设农民工管理实施细则（修订）的通知》(桂路工程发[2014]300号)印发</w:t>
      </w:r>
    </w:p>
    <w:p w14:paraId="67FB509C">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第一条  为贯彻落实党中央、国务院和自治区党委、人民政府及有关部门解决农民工问题的指示精神，认真解决公路工程建设领域农民工问题，保护农民工合法权益，维护社会稳定。根据《国务院关于解决农民工问题的若干意见》、《交通运输部关于进一步做好公路水运建设领域农民工工资支付与管理有关工作的意见的通知》、《广西壮族自治区人民政府办公厅对关于切实解决建设领域拖欠工程款和农民工工资问题的通知》、《广西壮族自治区劳动和社会保障厅自治区交通厅关于建立交通行业农民工工资保证金制度的通知》等有关规定，制定公路工程建设农民工工资管理实施细则。</w:t>
      </w:r>
    </w:p>
    <w:p w14:paraId="2126B43D">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第二条  本实施细则适用于由自治区公路管理局管理的公路路网工程建设、农村公路工程建设、公路养护工程等。承担有由自治区交通运输厅委托我局进行建设行业管理的项目管理任务的相应业主参照本细则执行。</w:t>
      </w:r>
    </w:p>
    <w:p w14:paraId="0C341ACA">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第三条  工程建设农民工工资管理实行分级负责，按责任加强对公路建设工程、公路养护工程等拖欠工程款和农民工工资问题的领导。</w:t>
      </w:r>
    </w:p>
    <w:p w14:paraId="0782E6DD">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自治区公路管理局负责全区工程建设农民工工资管理工作的指导与监督，对群众投诉及上访及时进行处理。</w:t>
      </w:r>
    </w:p>
    <w:p w14:paraId="014DE08B">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各市级公路局成立农民工工资管理领导小组，由工程、养护、监察、财务等部门组成。对各自辖区内的路网、农村公路、养护等工程的农民工工资管理工作进行监督检查指导，对项目建设办落实农民工工资管理工作进行检查，对群众投诉及上访及时进行处理。</w:t>
      </w:r>
    </w:p>
    <w:p w14:paraId="47E91ABE">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各路网、农村公路、养护工程项目现场管理机构（建设办）成立农民工工资管理领导小组，由项目现场管理机构负责人担任组长、现场管理机构财务处负责人、总监担任副组长，现场管理机构其他部门负责人等主要人员组成，领导小组办公室一般设在财务处，负责管理本工程农民工工资管理。</w:t>
      </w:r>
    </w:p>
    <w:p w14:paraId="01F872FE">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各项目中标单位法人（项目部）要按劳动法及国家有关管理规定使用农民工，签订劳动合同并向建设办报备，在合同中明确农民工工资支付方式；合同执行其间严格按劳动合同约定执行，无约定的必须做到月清月结，确保劳务队伍中农民工工资按时足额发放到农民工本人。</w:t>
      </w:r>
    </w:p>
    <w:p w14:paraId="1E13F85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第四条  建立健全管理制度，建立长效预防管理机制。</w:t>
      </w:r>
    </w:p>
    <w:p w14:paraId="2C8655B8">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（一）建立农民工实名管理制度。</w:t>
      </w:r>
    </w:p>
    <w:p w14:paraId="57FBF2D3">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中标单位要建立农民工名册、进退场记录、考勤记录、工资发放台账，并需将以上信息汇总后上报项目现场管理机构（建设办）备案。</w:t>
      </w:r>
    </w:p>
    <w:p w14:paraId="41A38AFF">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（二）建立农民工工资保证金制度。</w:t>
      </w:r>
    </w:p>
    <w:p w14:paraId="63910F78">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在招标文件中约定农民工工资保证金制度，保证金额度按中标价（A）金额计算：小于5000万元（含5000万元）的，按A×2%存入； 5000万元以上的，按5000×2%+（A-5000）×1.5%存入。</w:t>
      </w:r>
    </w:p>
    <w:p w14:paraId="16AD4F33">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农民工工资保证金设立专户进行管理，专款专用，任何单位和个人不得挪用。中标单位的农民工工资保证金应存入项目现场管理机构（建设办）指定的农民工工资保证金专用帐户，一旦其出现拖欠工程款导致中标单位无法按时足额支付农民工工资时，可由项目现场管理机构（建设办）根据相关规定从其农民工工资保证金中先予支取。</w:t>
      </w:r>
    </w:p>
    <w:p w14:paraId="79C1FAE0">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投标单位中标后，其投标保证金转为农民工工资保证金，若投标保证金不足农民工工资保证金的，须足额补交。工程交工后，经向社会公示3个月，无拖欠投诉后，将农民工工资保证金返还中标单位。</w:t>
      </w:r>
    </w:p>
    <w:p w14:paraId="05258CF8">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（三）建立完善的支付制度。</w:t>
      </w:r>
    </w:p>
    <w:p w14:paraId="16D88C9B">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中标单位要将计量资料上报监理单位后进行公示7天，计量资料审查完成后要将计量结果公示3天，公示时间到期且无争议后才可支付。</w:t>
      </w:r>
    </w:p>
    <w:p w14:paraId="30ED448A">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每期计量须分次支付给中标单位，第一次支付款项必须用于劳务合作队伍、农民工工资发放；经现场管理机构（建设办）农民工工资管理领导小组核实确认无拖欠农民工工资后，才能进行第二次计量工程款支付。</w:t>
      </w:r>
    </w:p>
    <w:p w14:paraId="35497B67">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农民工工资应采用银行直付方式，由中标单位委托银行每月按时将农民工工资汇入农民工个人账户，项目现场管理机构（建设办）进行督办。</w:t>
      </w:r>
    </w:p>
    <w:p w14:paraId="5676F313">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（四）建立农民工劳动合同管理制度。</w:t>
      </w:r>
    </w:p>
    <w:p w14:paraId="4832E6F7">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中标单位与劳务合作队伍、农民工三方必须依法订立并履行劳动合同，建立权责明确的劳动关系，必须明确劳动工资支付方式。劳动合同必须在工程开工当月或劳务合作队伍、农民工新进场当月签订。中标单位要当月将劳动合同报送给现场管理机构（建设办）农民工工资管理领导小组办公室备案，并纳入月度考核。</w:t>
      </w:r>
    </w:p>
    <w:p w14:paraId="5F7869E0">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现场管理机构（建设办）农民工工资管理领导小组要对标段承包单位的农民工劳动合同进行管理，加强对标段承包单位订立和履行劳动合同的指导和监督。任何单位都不得违反劳动合同约定，损害农民工权益。</w:t>
      </w:r>
    </w:p>
    <w:p w14:paraId="3AC2EC40">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（五）建立监督举报制度。</w:t>
      </w:r>
    </w:p>
    <w:p w14:paraId="3783BDCB">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在中标单位（项目部）驻地显目的位置公布自治区公路管理局、市级公路管理局、现场管理机构（建设办）的举报电话和举报信箱，若出现农民工工资被拖欠的情况，可逐级进行举报。</w:t>
      </w:r>
    </w:p>
    <w:p w14:paraId="29CE84F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第五条  依法规范农民工劳动合同管理，保障农民工职业安全卫生权益。</w:t>
      </w:r>
    </w:p>
    <w:p w14:paraId="6F6684F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（一）中标单位必须按规定配备安全生产和职业病防护设施。</w:t>
      </w:r>
    </w:p>
    <w:p w14:paraId="47CF6BDD">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（二）强化各中标单位职业安全卫生的主体责任，要向新招用的农民工告知劳动安全、职业危害事项，发放必要的劳动防护用品，对从事可能产生职业危害作业的人员定期进行健康检查并造册登记。</w:t>
      </w:r>
    </w:p>
    <w:p w14:paraId="241C9FF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（三）加强农民工职业安全、劳动保护教育，增强农民工自我保护能力。</w:t>
      </w:r>
    </w:p>
    <w:p w14:paraId="20E7F646">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（四）从事高危作业和特种作业的农民工要经专门培训、持证上岗。现场管理机构（建设办）农民工工资管理领导小组要切实履行职业安全和劳动保护监管职责。</w:t>
      </w:r>
    </w:p>
    <w:p w14:paraId="2BC1A0EE">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（五）切实保护女工和未成年人权益，严格禁止使用童工。</w:t>
      </w:r>
    </w:p>
    <w:p w14:paraId="5DEBD6C9">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第六条  加强制度落实管理，预防问题的出现。</w:t>
      </w:r>
    </w:p>
    <w:p w14:paraId="017BCA0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（一）现场管理机构（建设办）农民工工资管理领导小组要重点监控农民工工资发放情况。</w:t>
      </w:r>
    </w:p>
    <w:p w14:paraId="57CE934A">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除加强支付管理处，对农民工投诉、举报要及时查处，预防群发性问题的出现。若出现农民工工资拖欠问题一经核实，现场管理机构（建设办）可优先使用农民工工资保证金以予解决，并在下次计量支付时补足保证金。</w:t>
      </w:r>
    </w:p>
    <w:p w14:paraId="570A45E8">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（二）对出现或发生过拖欠农民工工资的承包单位，现场管理机构（建设办）农民工工资管理领导小组要对其实施重点监控，并及时将拖欠工资情况上级农民工工资管理领导小组。</w:t>
      </w:r>
    </w:p>
    <w:p w14:paraId="0CD24E4A">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现场管理机构（建设办）在重大节假日、重大活动前要加强检查，预防群体性突发事件发生，特别是在每年11月至次年2月要增加检查次数，彻底解决春节前农民工因工资拖欠而集中上访的问题。</w:t>
      </w:r>
    </w:p>
    <w:p w14:paraId="3BAAD84C">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三）各市级公路局农民工工资管理领导小组每季度要对辖区现场管理机构（建设办）农民工工资管理情况进行考核、指导；每年6月20日、12月20日前将本辖区农民工用工情况总结上报区公路管理局农民工工资管理领导小组。</w:t>
      </w:r>
    </w:p>
    <w:p w14:paraId="6267D510">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第七条  责任追究。</w:t>
      </w:r>
    </w:p>
    <w:p w14:paraId="35FFDC28">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（一）中标单位与进场的劳务合作队伍、农民工三方没有依法订立劳动合同而参与工程施工作业的，现场管理机构（建设办）进行履约检查考核时不得将其履约评价等级评定为一般以上等次。</w:t>
      </w:r>
    </w:p>
    <w:p w14:paraId="604B8027">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二）自治区公路管理局对恶意拖欠农民工工资，并出现因拖欠工资造成农民工上访的中标单位包括因其合作的劳务合作队伍产生的将对其进行通报，列入黑名单档案，在路网工程、农村公路工程、公路养护工程新项目招标时，1-3年内不得通过资格审查。</w:t>
      </w:r>
    </w:p>
    <w:p w14:paraId="4CC6A0A1">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（三）因拖欠工资造成农民工到自治区政府或交通主管部门上访并造成恶劣社会影响的，管理项目的市级公路管理局取消当年年终考核前三名的评选资格。</w:t>
      </w:r>
    </w:p>
    <w:p w14:paraId="63599456">
      <w:pPr>
        <w:tabs>
          <w:tab w:val="left" w:pos="3193"/>
        </w:tabs>
        <w:spacing w:line="360" w:lineRule="auto"/>
        <w:ind w:firstLine="420" w:firstLineChars="200"/>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第八条 本细则自下发之日起实施，原《广西公路管理局公路工程建设农民工管理实施细则（路工程〔2006〕61号）》同时废止。</w:t>
      </w:r>
    </w:p>
    <w:p w14:paraId="278B6BAD">
      <w:pPr>
        <w:rPr>
          <w:rFonts w:hint="eastAsia" w:ascii="方正仿宋_GB2312" w:hAnsi="方正仿宋_GB2312" w:eastAsia="方正仿宋_GB2312" w:cs="方正仿宋_GB2312"/>
          <w:color w:val="auto"/>
          <w:highlight w:val="none"/>
        </w:rPr>
      </w:pPr>
    </w:p>
    <w:p w14:paraId="0870B3B5">
      <w:pPr>
        <w:spacing w:line="360" w:lineRule="auto"/>
        <w:rPr>
          <w:rFonts w:hint="eastAsia" w:ascii="方正仿宋_GB2312" w:hAnsi="方正仿宋_GB2312" w:eastAsia="方正仿宋_GB2312" w:cs="方正仿宋_GB2312"/>
          <w:color w:val="auto"/>
          <w:highlight w:val="none"/>
        </w:rPr>
      </w:pPr>
    </w:p>
    <w:p w14:paraId="19DF0CF1">
      <w:pPr>
        <w:spacing w:before="97" w:line="222" w:lineRule="auto"/>
        <w:rPr>
          <w:rFonts w:hint="eastAsia" w:ascii="仿宋" w:hAnsi="仿宋" w:eastAsia="仿宋" w:cs="仿宋"/>
          <w:b/>
          <w:bCs/>
          <w:color w:val="auto"/>
          <w:spacing w:val="3"/>
          <w:sz w:val="30"/>
          <w:szCs w:val="30"/>
          <w:highlight w:val="none"/>
        </w:rPr>
        <w:sectPr>
          <w:headerReference r:id="rId19" w:type="default"/>
          <w:footerReference r:id="rId20" w:type="default"/>
          <w:pgSz w:w="11900" w:h="16840"/>
          <w:pgMar w:top="1440" w:right="1080" w:bottom="1440" w:left="1080" w:header="0" w:footer="1277" w:gutter="0"/>
          <w:pgNumType w:fmt="decimal"/>
          <w:cols w:space="720" w:num="1"/>
        </w:sectPr>
      </w:pPr>
    </w:p>
    <w:bookmarkEnd w:id="132"/>
    <w:p w14:paraId="0C25DE1A">
      <w:pPr>
        <w:pStyle w:val="2"/>
        <w:spacing w:before="0" w:after="0" w:line="240" w:lineRule="auto"/>
        <w:jc w:val="center"/>
        <w:rPr>
          <w:rFonts w:hint="eastAsia" w:ascii="仿宋" w:hAnsi="仿宋" w:eastAsia="仿宋" w:cs="仿宋"/>
          <w:bCs w:val="0"/>
          <w:color w:val="auto"/>
          <w:highlight w:val="none"/>
        </w:rPr>
      </w:pPr>
      <w:bookmarkStart w:id="160" w:name="_Toc25038"/>
      <w:bookmarkStart w:id="161" w:name="_Toc19519"/>
      <w:bookmarkStart w:id="162" w:name="_Toc30881"/>
      <w:r>
        <w:rPr>
          <w:rFonts w:hint="eastAsia" w:ascii="仿宋" w:hAnsi="仿宋" w:eastAsia="仿宋" w:cs="仿宋"/>
          <w:bCs w:val="0"/>
          <w:color w:val="auto"/>
          <w:highlight w:val="none"/>
        </w:rPr>
        <w:t>第七章 质疑、投诉材料格式</w:t>
      </w:r>
      <w:bookmarkEnd w:id="160"/>
      <w:bookmarkEnd w:id="161"/>
      <w:bookmarkEnd w:id="162"/>
    </w:p>
    <w:p w14:paraId="3D74F19A">
      <w:pPr>
        <w:spacing w:line="360" w:lineRule="auto"/>
        <w:jc w:val="center"/>
        <w:rPr>
          <w:rFonts w:hint="eastAsia" w:ascii="仿宋" w:hAnsi="仿宋" w:eastAsia="仿宋" w:cs="仿宋"/>
          <w:b/>
          <w:bCs/>
          <w:color w:val="auto"/>
          <w:sz w:val="32"/>
          <w:szCs w:val="32"/>
          <w:highlight w:val="none"/>
        </w:rPr>
      </w:pPr>
    </w:p>
    <w:p w14:paraId="5E983680">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质疑函（格式）</w:t>
      </w:r>
    </w:p>
    <w:p w14:paraId="1327F80B">
      <w:pPr>
        <w:pStyle w:val="17"/>
        <w:spacing w:line="360" w:lineRule="auto"/>
        <w:ind w:firstLine="482" w:firstLineChars="200"/>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1E786D98">
      <w:pPr>
        <w:pStyle w:val="17"/>
        <w:spacing w:line="360" w:lineRule="auto"/>
        <w:ind w:firstLine="480" w:firstLineChars="200"/>
        <w:contextualSpacing/>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6716AF1">
      <w:pPr>
        <w:pStyle w:val="17"/>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73E307A">
      <w:pPr>
        <w:pStyle w:val="17"/>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4C8D3599">
      <w:pPr>
        <w:pStyle w:val="17"/>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p>
    <w:p w14:paraId="5DDEEB96">
      <w:pPr>
        <w:pStyle w:val="17"/>
        <w:spacing w:line="360" w:lineRule="auto"/>
        <w:ind w:firstLine="480" w:firstLineChars="200"/>
        <w:contextualSpacing/>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6546C6C9">
      <w:pPr>
        <w:pStyle w:val="17"/>
        <w:spacing w:line="360" w:lineRule="auto"/>
        <w:ind w:firstLine="480" w:firstLineChars="200"/>
        <w:contextualSpacing/>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114B670">
      <w:pPr>
        <w:pStyle w:val="17"/>
        <w:spacing w:line="360" w:lineRule="auto"/>
        <w:ind w:firstLine="482" w:firstLineChars="200"/>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3C0EDE15">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10E389EC">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284675A2">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6C948F6E">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797477EC">
      <w:pPr>
        <w:pStyle w:val="17"/>
        <w:spacing w:line="360" w:lineRule="auto"/>
        <w:ind w:left="25"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□采购文件   采购文件获取日期：</w:t>
      </w:r>
      <w:r>
        <w:rPr>
          <w:rFonts w:hint="eastAsia" w:ascii="仿宋" w:hAnsi="仿宋" w:eastAsia="仿宋" w:cs="仿宋"/>
          <w:bCs/>
          <w:color w:val="auto"/>
          <w:sz w:val="24"/>
          <w:szCs w:val="24"/>
          <w:highlight w:val="none"/>
          <w:u w:val="single"/>
        </w:rPr>
        <w:t xml:space="preserve">                                   </w:t>
      </w:r>
    </w:p>
    <w:p w14:paraId="56AF5D0D">
      <w:pPr>
        <w:pStyle w:val="17"/>
        <w:spacing w:line="360" w:lineRule="auto"/>
        <w:ind w:left="25"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3BBDCFA8">
      <w:pPr>
        <w:pStyle w:val="17"/>
        <w:spacing w:line="360" w:lineRule="auto"/>
        <w:ind w:left="25" w:leftChars="12" w:firstLine="352" w:firstLineChars="147"/>
        <w:contextualSpacing/>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□成交结果   </w:t>
      </w:r>
    </w:p>
    <w:p w14:paraId="6457FB3F">
      <w:pPr>
        <w:pStyle w:val="17"/>
        <w:spacing w:line="360" w:lineRule="auto"/>
        <w:ind w:left="25" w:leftChars="12" w:firstLine="472" w:firstLineChars="196"/>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00E778F2">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r>
        <w:rPr>
          <w:rFonts w:hint="eastAsia" w:ascii="仿宋" w:hAnsi="仿宋" w:eastAsia="仿宋" w:cs="仿宋"/>
          <w:bCs/>
          <w:color w:val="auto"/>
          <w:sz w:val="24"/>
          <w:szCs w:val="24"/>
          <w:highlight w:val="none"/>
          <w:u w:val="single"/>
        </w:rPr>
        <w:t xml:space="preserve">                                                                    </w:t>
      </w:r>
    </w:p>
    <w:p w14:paraId="34DD9225">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r>
        <w:rPr>
          <w:rFonts w:hint="eastAsia" w:ascii="仿宋" w:hAnsi="仿宋" w:eastAsia="仿宋" w:cs="仿宋"/>
          <w:bCs/>
          <w:color w:val="auto"/>
          <w:sz w:val="24"/>
          <w:szCs w:val="24"/>
          <w:highlight w:val="none"/>
          <w:u w:val="single"/>
        </w:rPr>
        <w:t xml:space="preserve">                                                                      </w:t>
      </w:r>
    </w:p>
    <w:p w14:paraId="281BE958">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0845569D">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5D2D5DAD">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72119FF0">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729FD7FB">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6614FBAE">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6B17DF14">
      <w:pPr>
        <w:pStyle w:val="17"/>
        <w:spacing w:line="360" w:lineRule="auto"/>
        <w:ind w:left="25"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042EBEB6">
      <w:pPr>
        <w:pStyle w:val="17"/>
        <w:spacing w:line="360" w:lineRule="auto"/>
        <w:contextualSpacing/>
        <w:rPr>
          <w:rFonts w:hint="eastAsia" w:ascii="仿宋" w:hAnsi="仿宋" w:eastAsia="仿宋" w:cs="仿宋"/>
          <w:b/>
          <w:color w:val="auto"/>
          <w:sz w:val="24"/>
          <w:szCs w:val="24"/>
          <w:highlight w:val="none"/>
        </w:rPr>
      </w:pPr>
    </w:p>
    <w:p w14:paraId="2D8DB607">
      <w:pPr>
        <w:pStyle w:val="17"/>
        <w:spacing w:line="360" w:lineRule="auto"/>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7D30456D">
      <w:pPr>
        <w:pStyle w:val="17"/>
        <w:spacing w:line="360" w:lineRule="auto"/>
        <w:ind w:left="25" w:leftChars="12" w:firstLine="354" w:firstLineChars="147"/>
        <w:contextualSpacing/>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526E45B2">
      <w:pPr>
        <w:pStyle w:val="17"/>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1CE72D0">
      <w:pPr>
        <w:pStyle w:val="17"/>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054648BD">
      <w:pPr>
        <w:pStyle w:val="17"/>
        <w:spacing w:line="360" w:lineRule="auto"/>
        <w:ind w:left="25"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1ADD916D">
      <w:pPr>
        <w:pStyle w:val="17"/>
        <w:spacing w:line="360" w:lineRule="auto"/>
        <w:ind w:left="25" w:leftChars="12" w:firstLine="354" w:firstLineChars="147"/>
        <w:contextualSpacing/>
        <w:rPr>
          <w:rFonts w:hint="eastAsia" w:ascii="仿宋" w:hAnsi="仿宋" w:eastAsia="仿宋" w:cs="仿宋"/>
          <w:b/>
          <w:color w:val="auto"/>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16A74BBF">
      <w:pPr>
        <w:pStyle w:val="17"/>
        <w:snapToGrid w:val="0"/>
        <w:rPr>
          <w:rFonts w:hint="eastAsia" w:ascii="仿宋" w:hAnsi="仿宋" w:eastAsia="仿宋" w:cs="仿宋"/>
          <w:b/>
          <w:color w:val="auto"/>
          <w:sz w:val="24"/>
          <w:szCs w:val="24"/>
          <w:highlight w:val="none"/>
        </w:rPr>
      </w:pPr>
    </w:p>
    <w:p w14:paraId="41A7CCF6">
      <w:pPr>
        <w:spacing w:line="460" w:lineRule="exact"/>
        <w:jc w:val="center"/>
        <w:rPr>
          <w:rFonts w:hint="eastAsia" w:ascii="仿宋" w:hAnsi="仿宋" w:eastAsia="仿宋" w:cs="仿宋"/>
          <w:b/>
          <w:bCs/>
          <w:color w:val="auto"/>
          <w:sz w:val="32"/>
          <w:szCs w:val="32"/>
          <w:highlight w:val="none"/>
        </w:rPr>
      </w:pPr>
      <w:r>
        <w:rPr>
          <w:rFonts w:hint="eastAsia" w:ascii="仿宋" w:hAnsi="仿宋" w:eastAsia="仿宋" w:cs="仿宋"/>
          <w:color w:val="auto"/>
          <w:sz w:val="44"/>
          <w:highlight w:val="none"/>
        </w:rPr>
        <w:br w:type="page"/>
      </w:r>
      <w:r>
        <w:rPr>
          <w:rFonts w:hint="eastAsia" w:ascii="仿宋" w:hAnsi="仿宋" w:eastAsia="仿宋" w:cs="仿宋"/>
          <w:b/>
          <w:bCs/>
          <w:color w:val="auto"/>
          <w:sz w:val="32"/>
          <w:szCs w:val="32"/>
          <w:highlight w:val="none"/>
        </w:rPr>
        <w:t>投诉书（格式）</w:t>
      </w:r>
    </w:p>
    <w:p w14:paraId="0BB91E80">
      <w:pPr>
        <w:pStyle w:val="17"/>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6206F398">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57A47A2">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96FCDB3">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r>
        <w:rPr>
          <w:rFonts w:hint="eastAsia" w:ascii="仿宋" w:hAnsi="仿宋" w:eastAsia="仿宋" w:cs="仿宋"/>
          <w:bCs/>
          <w:color w:val="auto"/>
          <w:sz w:val="24"/>
          <w:szCs w:val="24"/>
          <w:highlight w:val="none"/>
          <w:u w:val="single"/>
        </w:rPr>
        <w:t xml:space="preserve">                                                         </w:t>
      </w:r>
    </w:p>
    <w:p w14:paraId="1B3DAEE9">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017E758">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4227229">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2140477C">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B09CAD4">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203F7D88">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10203B4C">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661648E">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E4C46F5">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5E95B9AF">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4E011BBA">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r>
        <w:rPr>
          <w:rFonts w:hint="eastAsia" w:ascii="仿宋" w:hAnsi="仿宋" w:eastAsia="仿宋" w:cs="仿宋"/>
          <w:bCs/>
          <w:color w:val="auto"/>
          <w:sz w:val="24"/>
          <w:szCs w:val="24"/>
          <w:highlight w:val="none"/>
          <w:u w:val="single"/>
        </w:rPr>
        <w:t xml:space="preserve">                                                                       </w:t>
      </w:r>
    </w:p>
    <w:p w14:paraId="24433ABB">
      <w:pPr>
        <w:pStyle w:val="17"/>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p>
    <w:p w14:paraId="4E8C16AE">
      <w:pPr>
        <w:pStyle w:val="17"/>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F8F3A6D">
      <w:pPr>
        <w:pStyle w:val="17"/>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63EAA635">
      <w:pPr>
        <w:pStyle w:val="17"/>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777EEB3F">
      <w:pPr>
        <w:pStyle w:val="17"/>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2753B2E2">
      <w:pPr>
        <w:pStyle w:val="17"/>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5BD4E0D3">
      <w:pPr>
        <w:pStyle w:val="17"/>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r>
        <w:rPr>
          <w:rFonts w:hint="eastAsia" w:ascii="仿宋" w:hAnsi="仿宋" w:eastAsia="仿宋" w:cs="仿宋"/>
          <w:bCs/>
          <w:color w:val="auto"/>
          <w:sz w:val="24"/>
          <w:szCs w:val="24"/>
          <w:highlight w:val="none"/>
          <w:u w:val="single"/>
        </w:rPr>
        <w:t xml:space="preserve">                                          </w:t>
      </w:r>
    </w:p>
    <w:p w14:paraId="1BE7949C">
      <w:pPr>
        <w:pStyle w:val="17"/>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招标文件公告：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0A7A3830">
      <w:pPr>
        <w:pStyle w:val="17"/>
        <w:spacing w:line="360" w:lineRule="auto"/>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6091AA38">
      <w:pPr>
        <w:pStyle w:val="17"/>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15C0034A">
      <w:pPr>
        <w:pStyle w:val="1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投诉人于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提出质疑，质疑事项为：</w:t>
      </w:r>
    </w:p>
    <w:p w14:paraId="3AFC32C5">
      <w:pPr>
        <w:pStyle w:val="17"/>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3036B4B4">
      <w:pPr>
        <w:pStyle w:val="17"/>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bCs/>
          <w:color w:val="auto"/>
          <w:sz w:val="24"/>
          <w:szCs w:val="24"/>
          <w:highlight w:val="none"/>
        </w:rPr>
        <w:t xml:space="preserve">就质疑事项作出了答复/没有在法定期限内作出答复。                                                                                             </w:t>
      </w:r>
    </w:p>
    <w:p w14:paraId="723DAEBD">
      <w:pPr>
        <w:pStyle w:val="17"/>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590DC3F9">
      <w:pPr>
        <w:pStyle w:val="17"/>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r>
        <w:rPr>
          <w:rFonts w:hint="eastAsia" w:ascii="仿宋" w:hAnsi="仿宋" w:eastAsia="仿宋" w:cs="仿宋"/>
          <w:bCs/>
          <w:color w:val="auto"/>
          <w:sz w:val="24"/>
          <w:szCs w:val="24"/>
          <w:highlight w:val="none"/>
          <w:u w:val="single"/>
        </w:rPr>
        <w:t xml:space="preserve">                                                                           </w:t>
      </w:r>
    </w:p>
    <w:p w14:paraId="4E310F84">
      <w:pPr>
        <w:pStyle w:val="17"/>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639231A0">
      <w:pPr>
        <w:pStyle w:val="17"/>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 xml:space="preserve">                                                                                        </w:t>
      </w:r>
    </w:p>
    <w:p w14:paraId="3F2FA7B5">
      <w:pPr>
        <w:pStyle w:val="17"/>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5822BDF7">
      <w:pPr>
        <w:pStyle w:val="17"/>
        <w:spacing w:line="360" w:lineRule="auto"/>
        <w:ind w:left="25"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3C5C54CC">
      <w:pPr>
        <w:pStyle w:val="17"/>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投诉事项2  </w:t>
      </w:r>
      <w:r>
        <w:rPr>
          <w:rFonts w:hint="eastAsia" w:ascii="仿宋" w:hAnsi="仿宋" w:eastAsia="仿宋" w:cs="仿宋"/>
          <w:bCs/>
          <w:color w:val="auto"/>
          <w:sz w:val="24"/>
          <w:szCs w:val="24"/>
          <w:highlight w:val="none"/>
        </w:rPr>
        <w:t xml:space="preserve">   </w:t>
      </w:r>
    </w:p>
    <w:p w14:paraId="32E3C1B3">
      <w:pPr>
        <w:pStyle w:val="17"/>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03700C17">
      <w:pPr>
        <w:pStyle w:val="17"/>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6918826A">
      <w:pPr>
        <w:pStyle w:val="17"/>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43901665">
      <w:pPr>
        <w:pStyle w:val="17"/>
        <w:spacing w:line="360" w:lineRule="auto"/>
        <w:ind w:left="25" w:leftChars="12" w:firstLine="352" w:firstLineChars="147"/>
        <w:rPr>
          <w:rFonts w:hint="eastAsia" w:ascii="仿宋" w:hAnsi="仿宋" w:eastAsia="仿宋" w:cs="仿宋"/>
          <w:color w:val="auto"/>
          <w:sz w:val="24"/>
          <w:szCs w:val="24"/>
          <w:highlight w:val="none"/>
        </w:rPr>
      </w:pPr>
    </w:p>
    <w:p w14:paraId="23F90F1E">
      <w:pPr>
        <w:pStyle w:val="17"/>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1F745676">
      <w:pPr>
        <w:pStyle w:val="17"/>
        <w:spacing w:line="360" w:lineRule="auto"/>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bCs/>
          <w:color w:val="auto"/>
          <w:sz w:val="24"/>
          <w:szCs w:val="24"/>
          <w:highlight w:val="none"/>
        </w:rPr>
        <w:t xml:space="preserve">                                                                         </w:t>
      </w:r>
    </w:p>
    <w:p w14:paraId="2FD4CA3E">
      <w:pPr>
        <w:pStyle w:val="17"/>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7C65BAD7">
      <w:pPr>
        <w:pStyle w:val="17"/>
        <w:spacing w:line="360" w:lineRule="auto"/>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1.投诉人提起投诉时，应当提交投诉书和必要的证明材料，并按照被投诉人和与投诉事项有关的供应商数量提供投诉书副本</w:t>
      </w:r>
      <w:r>
        <w:rPr>
          <w:rFonts w:hint="eastAsia" w:ascii="仿宋" w:hAnsi="仿宋" w:eastAsia="仿宋" w:cs="仿宋"/>
          <w:b/>
          <w:bCs/>
          <w:color w:val="auto"/>
          <w:sz w:val="24"/>
          <w:szCs w:val="24"/>
          <w:highlight w:val="none"/>
        </w:rPr>
        <w:t>。</w:t>
      </w:r>
    </w:p>
    <w:p w14:paraId="16A87878">
      <w:pPr>
        <w:pStyle w:val="17"/>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8D142C">
      <w:pPr>
        <w:pStyle w:val="17"/>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3.投诉书应简要列明质疑事项，质疑函、质疑答复等作为附件材料提供。</w:t>
      </w:r>
    </w:p>
    <w:p w14:paraId="466B54AE">
      <w:pPr>
        <w:pStyle w:val="17"/>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4.投诉书的投诉事项应具体、明确，并有必要的事实依据和法律依据。</w:t>
      </w:r>
    </w:p>
    <w:p w14:paraId="1BD67D9E">
      <w:pPr>
        <w:pStyle w:val="17"/>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5.投诉书的投诉请求应与投诉事项相关。</w:t>
      </w:r>
    </w:p>
    <w:p w14:paraId="6E69C209">
      <w:pPr>
        <w:pStyle w:val="17"/>
        <w:spacing w:line="360" w:lineRule="auto"/>
        <w:ind w:left="25" w:leftChars="12" w:firstLine="354" w:firstLineChars="147"/>
        <w:rPr>
          <w:rFonts w:hint="eastAsia" w:ascii="仿宋" w:hAnsi="仿宋" w:eastAsia="仿宋" w:cs="仿宋"/>
          <w:color w:val="auto"/>
          <w:highlight w:val="none"/>
        </w:rPr>
      </w:pPr>
      <w:r>
        <w:rPr>
          <w:rFonts w:hint="eastAsia" w:ascii="仿宋" w:hAnsi="仿宋" w:eastAsia="仿宋" w:cs="仿宋"/>
          <w:b/>
          <w:color w:val="auto"/>
          <w:sz w:val="24"/>
          <w:szCs w:val="24"/>
          <w:highlight w:val="none"/>
        </w:rPr>
        <w:t>6.投诉人为法人或者其他组织的，投诉书应由法定代表人、主要负责人，或者其授权代表签字或者盖章，并加盖公章。</w:t>
      </w:r>
    </w:p>
    <w:sectPr>
      <w:headerReference r:id="rId21" w:type="default"/>
      <w:footerReference r:id="rId22" w:type="default"/>
      <w:pgSz w:w="11910" w:h="16840"/>
      <w:pgMar w:top="1440" w:right="1080" w:bottom="1440" w:left="10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E26BD1-6412-4F44-9FF7-D738195D6C4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宋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D0C7F760-6847-495C-BEDC-F2170E103174}"/>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3" w:fontKey="{F3C670F0-CBD9-4774-AC20-CA07B9C968E3}"/>
  </w:font>
  <w:font w:name="WPSEMBED1">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99918">
    <w:pPr>
      <w:pStyle w:val="2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C13C7">
    <w:pPr>
      <w:pStyle w:val="20"/>
      <w:framePr w:wrap="around" w:vAnchor="text" w:hAnchor="margin" w:xAlign="center" w:y="1"/>
      <w:rPr>
        <w:rStyle w:val="32"/>
        <w:sz w:val="21"/>
      </w:rPr>
    </w:pPr>
    <w:r>
      <w:rPr>
        <w:sz w:val="21"/>
      </w:rPr>
      <w:fldChar w:fldCharType="begin"/>
    </w:r>
    <w:r>
      <w:rPr>
        <w:rStyle w:val="32"/>
        <w:sz w:val="21"/>
      </w:rPr>
      <w:instrText xml:space="preserve">PAGE  </w:instrText>
    </w:r>
    <w:r>
      <w:rPr>
        <w:sz w:val="21"/>
      </w:rPr>
      <w:fldChar w:fldCharType="separate"/>
    </w:r>
    <w:r>
      <w:rPr>
        <w:rStyle w:val="32"/>
        <w:sz w:val="21"/>
      </w:rPr>
      <w:t>0</w:t>
    </w:r>
    <w:r>
      <w:rPr>
        <w:sz w:val="21"/>
      </w:rPr>
      <w:fldChar w:fldCharType="end"/>
    </w:r>
  </w:p>
  <w:p w14:paraId="12CAF1E7">
    <w:pPr>
      <w:pStyle w:val="20"/>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3B629">
    <w:pPr>
      <w:pStyle w:val="20"/>
      <w:ind w:right="360" w:firstLine="360"/>
      <w:jc w:val="right"/>
      <w:rPr>
        <w:rFonts w:hint="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0E061">
    <w:pPr>
      <w:pStyle w:val="20"/>
      <w:ind w:right="360" w:firstLine="360"/>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BC59D">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F2BC59D">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AB94">
    <w:pPr>
      <w:pStyle w:val="20"/>
      <w:ind w:right="360" w:firstLine="360"/>
      <w:jc w:val="right"/>
      <w:rPr>
        <w:rFonts w:hint="eastAsia"/>
        <w:sz w:val="30"/>
        <w:szCs w:val="30"/>
      </w:rPr>
    </w:pPr>
    <w:r>
      <w:rPr>
        <w:sz w:val="3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CFC6B">
                          <w:pPr>
                            <w:pStyle w:val="20"/>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8FCFC6B">
                    <w:pPr>
                      <w:pStyle w:val="20"/>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7D6F">
    <w:pPr>
      <w:spacing w:line="192" w:lineRule="auto"/>
      <w:ind w:left="4246"/>
      <w:rPr>
        <w:rFonts w:ascii="宋体" w:hAnsi="宋体" w:cs="宋体"/>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F8F47">
                          <w:pPr>
                            <w:pStyle w:val="2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95F8F47">
                    <w:pPr>
                      <w:pStyle w:val="2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03166">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cs="Times New Roman"/>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658D20">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85</w:t>
                          </w:r>
                          <w:r>
                            <w:rPr>
                              <w:rFonts w:ascii="Times New Roman" w:hAnsi="Times New Roman" w:eastAsia="宋体" w:cs="Times New Roman"/>
                              <w:kern w:val="0"/>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3F658D20">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85</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p w14:paraId="7449C584">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AABA7">
    <w:pPr>
      <w:kinsoku w:val="0"/>
      <w:autoSpaceDE w:val="0"/>
      <w:autoSpaceDN w:val="0"/>
      <w:adjustRightInd w:val="0"/>
      <w:snapToGrid w:val="0"/>
      <w:spacing w:line="230" w:lineRule="auto"/>
      <w:ind w:left="3929"/>
      <w:jc w:val="left"/>
      <w:textAlignment w:val="baseline"/>
      <w:rPr>
        <w:rFonts w:ascii="宋体" w:hAnsi="宋体" w:eastAsia="宋体" w:cs="宋体"/>
        <w:snapToGrid w:val="0"/>
        <w:color w:val="000000"/>
        <w:kern w:val="0"/>
        <w:szCs w:val="21"/>
        <w:lang w:eastAsia="en-US"/>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9F7CD">
                          <w:pPr>
                            <w:pStyle w:val="20"/>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B69F7CD">
                    <w:pPr>
                      <w:pStyle w:val="2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58A16">
    <w:pPr>
      <w:pStyle w:val="2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D475">
                          <w:pPr>
                            <w:pStyle w:val="20"/>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790D475">
                    <w:pPr>
                      <w:pStyle w:val="20"/>
                    </w:pPr>
                    <w:r>
                      <w:fldChar w:fldCharType="begin"/>
                    </w:r>
                    <w:r>
                      <w:instrText xml:space="preserve"> PAGE  \* MERGEFORMAT </w:instrText>
                    </w:r>
                    <w:r>
                      <w:fldChar w:fldCharType="separate"/>
                    </w:r>
                    <w:r>
                      <w:t>129</w:t>
                    </w:r>
                    <w:r>
                      <w:fldChar w:fldCharType="end"/>
                    </w:r>
                  </w:p>
                </w:txbxContent>
              </v:textbox>
            </v:shape>
          </w:pict>
        </mc:Fallback>
      </mc:AlternateContent>
    </w:r>
  </w:p>
  <w:p w14:paraId="7D27E726">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6DEA">
    <w:pPr>
      <w:pStyle w:val="21"/>
      <w:pBdr>
        <w:bottom w:val="none" w:color="auto" w:sz="0" w:space="1"/>
      </w:pBdr>
      <w:tabs>
        <w:tab w:val="center" w:pos="0"/>
        <w:tab w:val="clear" w:pos="4153"/>
      </w:tabs>
      <w:jc w:val="right"/>
      <w:rPr>
        <w:rFonts w:hint="eastAsia"/>
      </w:rPr>
    </w:pPr>
    <w:r>
      <w:rPr>
        <w:rFonts w:hint="eastAsia"/>
      </w:rPr>
      <w:drawing>
        <wp:inline distT="0" distB="0" distL="114300" distR="114300">
          <wp:extent cx="2273935" cy="650240"/>
          <wp:effectExtent l="0" t="0" r="12065" b="16510"/>
          <wp:docPr id="9" name="图片 1" descr="同盛咨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同盛咨询logo"/>
                  <pic:cNvPicPr>
                    <a:picLocks noChangeAspect="1"/>
                  </pic:cNvPicPr>
                </pic:nvPicPr>
                <pic:blipFill>
                  <a:blip r:embed="rId1"/>
                  <a:stretch>
                    <a:fillRect/>
                  </a:stretch>
                </pic:blipFill>
                <pic:spPr>
                  <a:xfrm>
                    <a:off x="0" y="0"/>
                    <a:ext cx="2273935" cy="650240"/>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3A135">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A2EB5">
    <w:pPr>
      <w:pStyle w:val="21"/>
      <w:pBdr>
        <w:bottom w:val="none" w:color="auto" w:sz="0" w:space="1"/>
      </w:pBdr>
      <w:tabs>
        <w:tab w:val="center" w:pos="0"/>
        <w:tab w:val="clear" w:pos="4153"/>
      </w:tabs>
    </w:pPr>
    <w:r>
      <w:rPr>
        <w:vanish/>
        <w:highlight w:val="yellow"/>
      </w:rPr>
      <w:t>&gt;</w:t>
    </w:r>
  </w:p>
  <w:p w14:paraId="54ACFED9">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7DD8D">
    <w:pPr>
      <w:pStyle w:val="2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6338">
    <w:pPr>
      <w:pStyle w:val="21"/>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43FAD">
    <w:pPr>
      <w:pStyle w:val="21"/>
      <w:pBdr>
        <w:bottom w:val="none" w:color="auto" w:sz="0" w:space="1"/>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A1725">
    <w:pPr>
      <w:pStyle w:val="21"/>
      <w:pBdr>
        <w:bottom w:val="none" w:color="auto" w:sz="0" w:space="1"/>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7658E">
    <w:pPr>
      <w:pStyle w:val="21"/>
      <w:pBdr>
        <w:bottom w:val="none" w:color="auto" w:sz="0" w:space="1"/>
      </w:pBdr>
      <w:rPr>
        <w:rFonts w:hint="eastAsia" w:ascii="仿宋" w:hAnsi="仿宋" w:eastAsia="仿宋" w:cs="仿宋"/>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BA799">
    <w:pPr>
      <w:widowControl w:val="0"/>
      <w:pBdr>
        <w:bottom w:val="none" w:color="auto" w:sz="0" w:space="1"/>
      </w:pBdr>
      <w:tabs>
        <w:tab w:val="left" w:pos="299"/>
        <w:tab w:val="center" w:pos="4153"/>
        <w:tab w:val="right" w:pos="8306"/>
      </w:tabs>
      <w:snapToGrid w:val="0"/>
      <w:jc w:val="left"/>
      <w:rPr>
        <w:rFonts w:hint="eastAsia" w:ascii="Times New Roman" w:hAnsi="Times New Roman" w:eastAsia="宋体" w:cs="Times New Roman"/>
        <w:kern w:val="0"/>
        <w:sz w:val="18"/>
        <w:szCs w:val="18"/>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2EF97">
    <w:pPr>
      <w:widowControl w:val="0"/>
      <w:pBdr>
        <w:bottom w:val="none" w:color="auto" w:sz="0" w:space="1"/>
      </w:pBdr>
      <w:tabs>
        <w:tab w:val="center" w:pos="4153"/>
        <w:tab w:val="right" w:pos="8306"/>
      </w:tabs>
      <w:snapToGrid w:val="0"/>
      <w:jc w:val="both"/>
      <w:rPr>
        <w:rFonts w:ascii="Times New Roman" w:hAnsi="Times New Roman" w:eastAsia="宋体" w:cs="Times New Roman"/>
        <w:kern w:val="0"/>
        <w:sz w:val="18"/>
        <w:szCs w:val="18"/>
        <w:lang w:val="en-US" w:eastAsia="zh-CN"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26E79">
    <w:pPr>
      <w:widowControl w:val="0"/>
      <w:pBdr>
        <w:bottom w:val="none" w:color="auto" w:sz="0" w:space="1"/>
      </w:pBdr>
      <w:tabs>
        <w:tab w:val="center" w:pos="0"/>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vanish/>
        <w:kern w:val="0"/>
        <w:sz w:val="18"/>
        <w:szCs w:val="18"/>
        <w:highlight w:val="yellow"/>
        <w:lang w:val="en-US" w:eastAsia="zh-CN" w:bidi="ar-SA"/>
      </w:rPr>
      <w:t>&gt;</w:t>
    </w:r>
  </w:p>
  <w:p w14:paraId="6727FD47">
    <w:pPr>
      <w:widowControl w:val="0"/>
      <w:pBdr>
        <w:bottom w:val="none" w:color="auto" w:sz="0" w:space="0"/>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55C5158"/>
    <w:multiLevelType w:val="singleLevel"/>
    <w:tmpl w:val="555C5158"/>
    <w:lvl w:ilvl="0" w:tentative="0">
      <w:start w:val="1"/>
      <w:numFmt w:val="lowerLetter"/>
      <w:suff w:val="nothing"/>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OGRkMmU1MWMwNDM4MDdiMzk1ZjcxZGViMTk4NGY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4F81"/>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AE0"/>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A3D"/>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0FD"/>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F3D99"/>
    <w:rsid w:val="02511F9D"/>
    <w:rsid w:val="02DB74DC"/>
    <w:rsid w:val="02F647FB"/>
    <w:rsid w:val="03A314B8"/>
    <w:rsid w:val="03D82B98"/>
    <w:rsid w:val="03F83E8B"/>
    <w:rsid w:val="05C56868"/>
    <w:rsid w:val="05E530D0"/>
    <w:rsid w:val="07B72767"/>
    <w:rsid w:val="08077E72"/>
    <w:rsid w:val="08882DD0"/>
    <w:rsid w:val="08F4046C"/>
    <w:rsid w:val="09161FBE"/>
    <w:rsid w:val="0938036B"/>
    <w:rsid w:val="09383E5F"/>
    <w:rsid w:val="097A40D4"/>
    <w:rsid w:val="09997FFE"/>
    <w:rsid w:val="09CC2AAC"/>
    <w:rsid w:val="09D26E76"/>
    <w:rsid w:val="0A600418"/>
    <w:rsid w:val="0A652D3E"/>
    <w:rsid w:val="0AA83BA7"/>
    <w:rsid w:val="0ABB6827"/>
    <w:rsid w:val="0B326F2A"/>
    <w:rsid w:val="0BC55E54"/>
    <w:rsid w:val="0C1E2888"/>
    <w:rsid w:val="0C7978E1"/>
    <w:rsid w:val="0C92213C"/>
    <w:rsid w:val="0C992D2C"/>
    <w:rsid w:val="0D552B6D"/>
    <w:rsid w:val="0D696C8B"/>
    <w:rsid w:val="0D7116ED"/>
    <w:rsid w:val="0D84032B"/>
    <w:rsid w:val="0F14764B"/>
    <w:rsid w:val="0F2A74C4"/>
    <w:rsid w:val="10A27F31"/>
    <w:rsid w:val="110A60E1"/>
    <w:rsid w:val="11927058"/>
    <w:rsid w:val="11CC3C5F"/>
    <w:rsid w:val="12404237"/>
    <w:rsid w:val="1384217A"/>
    <w:rsid w:val="13AF4F03"/>
    <w:rsid w:val="14736E66"/>
    <w:rsid w:val="147F458F"/>
    <w:rsid w:val="149D00E1"/>
    <w:rsid w:val="14D958EC"/>
    <w:rsid w:val="1534169A"/>
    <w:rsid w:val="15C03E03"/>
    <w:rsid w:val="15E97757"/>
    <w:rsid w:val="162A25EB"/>
    <w:rsid w:val="16DF4232"/>
    <w:rsid w:val="16F3232E"/>
    <w:rsid w:val="16FD2A55"/>
    <w:rsid w:val="17067C1A"/>
    <w:rsid w:val="170B7A24"/>
    <w:rsid w:val="17366761"/>
    <w:rsid w:val="175B1444"/>
    <w:rsid w:val="17705521"/>
    <w:rsid w:val="177C01F0"/>
    <w:rsid w:val="17C77B0F"/>
    <w:rsid w:val="17CE6630"/>
    <w:rsid w:val="19986048"/>
    <w:rsid w:val="19DD2EB7"/>
    <w:rsid w:val="1A772176"/>
    <w:rsid w:val="1AC506ED"/>
    <w:rsid w:val="1AFC6A9A"/>
    <w:rsid w:val="1AFF0AFE"/>
    <w:rsid w:val="1B4F19F8"/>
    <w:rsid w:val="1C226F03"/>
    <w:rsid w:val="1C734C71"/>
    <w:rsid w:val="1CF57C45"/>
    <w:rsid w:val="1D0B56BA"/>
    <w:rsid w:val="1D167BBB"/>
    <w:rsid w:val="1ECC44FA"/>
    <w:rsid w:val="1ED12142"/>
    <w:rsid w:val="1EE35317"/>
    <w:rsid w:val="1F063325"/>
    <w:rsid w:val="1F7F3A04"/>
    <w:rsid w:val="1FBC5DF5"/>
    <w:rsid w:val="1FD52D34"/>
    <w:rsid w:val="1FF90588"/>
    <w:rsid w:val="20137FB9"/>
    <w:rsid w:val="20234383"/>
    <w:rsid w:val="20C3623F"/>
    <w:rsid w:val="21781212"/>
    <w:rsid w:val="21B83F86"/>
    <w:rsid w:val="21F927E1"/>
    <w:rsid w:val="221178A8"/>
    <w:rsid w:val="221213CF"/>
    <w:rsid w:val="22327A92"/>
    <w:rsid w:val="22935CD3"/>
    <w:rsid w:val="231D53A2"/>
    <w:rsid w:val="236D5383"/>
    <w:rsid w:val="23A5630C"/>
    <w:rsid w:val="23B7504C"/>
    <w:rsid w:val="23CF673C"/>
    <w:rsid w:val="23F11B95"/>
    <w:rsid w:val="24571307"/>
    <w:rsid w:val="245A4A6F"/>
    <w:rsid w:val="24912949"/>
    <w:rsid w:val="24B22E51"/>
    <w:rsid w:val="25110A2A"/>
    <w:rsid w:val="256C0944"/>
    <w:rsid w:val="26446DE3"/>
    <w:rsid w:val="269669E7"/>
    <w:rsid w:val="26C90542"/>
    <w:rsid w:val="26D7699F"/>
    <w:rsid w:val="27734588"/>
    <w:rsid w:val="27D86DDC"/>
    <w:rsid w:val="28A9076B"/>
    <w:rsid w:val="28A92EA0"/>
    <w:rsid w:val="28DD795B"/>
    <w:rsid w:val="28F235C4"/>
    <w:rsid w:val="2A0A034A"/>
    <w:rsid w:val="2A1B7225"/>
    <w:rsid w:val="2A5306A1"/>
    <w:rsid w:val="2ABA017E"/>
    <w:rsid w:val="2AE25DB8"/>
    <w:rsid w:val="2B480B3D"/>
    <w:rsid w:val="2B774624"/>
    <w:rsid w:val="2C183919"/>
    <w:rsid w:val="2C6B7188"/>
    <w:rsid w:val="2C7A72BE"/>
    <w:rsid w:val="2C995108"/>
    <w:rsid w:val="2C9A7D75"/>
    <w:rsid w:val="2CC17412"/>
    <w:rsid w:val="2D047A30"/>
    <w:rsid w:val="2D4E4C77"/>
    <w:rsid w:val="2DA452D4"/>
    <w:rsid w:val="2DCC054E"/>
    <w:rsid w:val="2E9976CE"/>
    <w:rsid w:val="2EF51D26"/>
    <w:rsid w:val="2F401D3C"/>
    <w:rsid w:val="2F5B24E1"/>
    <w:rsid w:val="2FA95C88"/>
    <w:rsid w:val="2FB42FF5"/>
    <w:rsid w:val="2FE36FA0"/>
    <w:rsid w:val="30296DCB"/>
    <w:rsid w:val="3041370F"/>
    <w:rsid w:val="3057059C"/>
    <w:rsid w:val="30915A7F"/>
    <w:rsid w:val="31232B7B"/>
    <w:rsid w:val="312B50A3"/>
    <w:rsid w:val="32453A27"/>
    <w:rsid w:val="3263064A"/>
    <w:rsid w:val="32A43132"/>
    <w:rsid w:val="32AC0C06"/>
    <w:rsid w:val="32EE71B8"/>
    <w:rsid w:val="33344EF5"/>
    <w:rsid w:val="34F5691F"/>
    <w:rsid w:val="3537750C"/>
    <w:rsid w:val="3537798C"/>
    <w:rsid w:val="35C13FC9"/>
    <w:rsid w:val="361E6013"/>
    <w:rsid w:val="3637104B"/>
    <w:rsid w:val="364257B6"/>
    <w:rsid w:val="3667601D"/>
    <w:rsid w:val="36EF3ED4"/>
    <w:rsid w:val="37481F11"/>
    <w:rsid w:val="37EA5922"/>
    <w:rsid w:val="38276B93"/>
    <w:rsid w:val="38476B7D"/>
    <w:rsid w:val="386454AF"/>
    <w:rsid w:val="38AC3431"/>
    <w:rsid w:val="38BD1B07"/>
    <w:rsid w:val="392F2E16"/>
    <w:rsid w:val="39300764"/>
    <w:rsid w:val="39E00529"/>
    <w:rsid w:val="3A0B64A7"/>
    <w:rsid w:val="3A574DDA"/>
    <w:rsid w:val="3A950950"/>
    <w:rsid w:val="3AD3075A"/>
    <w:rsid w:val="3AF74C02"/>
    <w:rsid w:val="3BAD6B28"/>
    <w:rsid w:val="3C0059A5"/>
    <w:rsid w:val="3C134E78"/>
    <w:rsid w:val="3CFA5815"/>
    <w:rsid w:val="3D5244B1"/>
    <w:rsid w:val="3D672E3D"/>
    <w:rsid w:val="3DEC7285"/>
    <w:rsid w:val="3DF6345D"/>
    <w:rsid w:val="3E235CFC"/>
    <w:rsid w:val="3E2B5515"/>
    <w:rsid w:val="3E4D4F28"/>
    <w:rsid w:val="3EE13701"/>
    <w:rsid w:val="3F131562"/>
    <w:rsid w:val="3F1A4BB3"/>
    <w:rsid w:val="400E3886"/>
    <w:rsid w:val="40192BA6"/>
    <w:rsid w:val="402F32A6"/>
    <w:rsid w:val="41766EA9"/>
    <w:rsid w:val="42550A18"/>
    <w:rsid w:val="429D496A"/>
    <w:rsid w:val="42AC236E"/>
    <w:rsid w:val="42F473A1"/>
    <w:rsid w:val="42FB2F81"/>
    <w:rsid w:val="43CE3BC9"/>
    <w:rsid w:val="441E62C0"/>
    <w:rsid w:val="449178E7"/>
    <w:rsid w:val="44E830C5"/>
    <w:rsid w:val="45325D14"/>
    <w:rsid w:val="45811C7C"/>
    <w:rsid w:val="45906116"/>
    <w:rsid w:val="45AE0E10"/>
    <w:rsid w:val="46217274"/>
    <w:rsid w:val="46402500"/>
    <w:rsid w:val="464E1FF0"/>
    <w:rsid w:val="468B3EFB"/>
    <w:rsid w:val="470A6193"/>
    <w:rsid w:val="47385210"/>
    <w:rsid w:val="474E7E27"/>
    <w:rsid w:val="47DC4F5C"/>
    <w:rsid w:val="48671147"/>
    <w:rsid w:val="487C38AA"/>
    <w:rsid w:val="48B40671"/>
    <w:rsid w:val="490371E2"/>
    <w:rsid w:val="49880E3B"/>
    <w:rsid w:val="499B5738"/>
    <w:rsid w:val="499F244D"/>
    <w:rsid w:val="4A426A1F"/>
    <w:rsid w:val="4A973F3F"/>
    <w:rsid w:val="4AEFFA59"/>
    <w:rsid w:val="4AF96BC7"/>
    <w:rsid w:val="4B0D54B0"/>
    <w:rsid w:val="4B5A416B"/>
    <w:rsid w:val="4B862A85"/>
    <w:rsid w:val="4C1A4723"/>
    <w:rsid w:val="4C6544E4"/>
    <w:rsid w:val="4CB70DEF"/>
    <w:rsid w:val="4CD40998"/>
    <w:rsid w:val="4CEF36E2"/>
    <w:rsid w:val="4CEF4DC5"/>
    <w:rsid w:val="4D1637F2"/>
    <w:rsid w:val="4D257367"/>
    <w:rsid w:val="4D3C431A"/>
    <w:rsid w:val="4E257655"/>
    <w:rsid w:val="4E8E7871"/>
    <w:rsid w:val="4EB70442"/>
    <w:rsid w:val="4F372380"/>
    <w:rsid w:val="4F372FFB"/>
    <w:rsid w:val="501A61F2"/>
    <w:rsid w:val="5025116D"/>
    <w:rsid w:val="5069763E"/>
    <w:rsid w:val="50F857DB"/>
    <w:rsid w:val="518439F0"/>
    <w:rsid w:val="51AF4DD2"/>
    <w:rsid w:val="51F9197E"/>
    <w:rsid w:val="520C0EFA"/>
    <w:rsid w:val="52395ECD"/>
    <w:rsid w:val="52881E1A"/>
    <w:rsid w:val="52B94C95"/>
    <w:rsid w:val="52C10D75"/>
    <w:rsid w:val="5385247B"/>
    <w:rsid w:val="53C27FF8"/>
    <w:rsid w:val="549E1A80"/>
    <w:rsid w:val="54B25E40"/>
    <w:rsid w:val="54C658F4"/>
    <w:rsid w:val="54FA4BAF"/>
    <w:rsid w:val="550C4BD7"/>
    <w:rsid w:val="55217D46"/>
    <w:rsid w:val="554C1D56"/>
    <w:rsid w:val="55572986"/>
    <w:rsid w:val="55A36217"/>
    <w:rsid w:val="55C062DD"/>
    <w:rsid w:val="565340FA"/>
    <w:rsid w:val="5723343E"/>
    <w:rsid w:val="57283410"/>
    <w:rsid w:val="573D7EAB"/>
    <w:rsid w:val="57E74053"/>
    <w:rsid w:val="59836704"/>
    <w:rsid w:val="5A1D0200"/>
    <w:rsid w:val="5A2F2CC8"/>
    <w:rsid w:val="5AFB42DC"/>
    <w:rsid w:val="5BA26962"/>
    <w:rsid w:val="5BDA3C8D"/>
    <w:rsid w:val="5C10702D"/>
    <w:rsid w:val="5C152601"/>
    <w:rsid w:val="5C1B0D4D"/>
    <w:rsid w:val="5C591F03"/>
    <w:rsid w:val="5C8A1B2F"/>
    <w:rsid w:val="5D5071A3"/>
    <w:rsid w:val="5D660CB8"/>
    <w:rsid w:val="5D914004"/>
    <w:rsid w:val="5EAA15E0"/>
    <w:rsid w:val="5F561B72"/>
    <w:rsid w:val="606007BB"/>
    <w:rsid w:val="60AC7F66"/>
    <w:rsid w:val="60E4351B"/>
    <w:rsid w:val="61BF10D9"/>
    <w:rsid w:val="61DA3D4C"/>
    <w:rsid w:val="627E43B9"/>
    <w:rsid w:val="628A4997"/>
    <w:rsid w:val="62AC22DC"/>
    <w:rsid w:val="637045E3"/>
    <w:rsid w:val="637833E8"/>
    <w:rsid w:val="638F6DFB"/>
    <w:rsid w:val="64872E45"/>
    <w:rsid w:val="64E45EF7"/>
    <w:rsid w:val="655D7702"/>
    <w:rsid w:val="65624D54"/>
    <w:rsid w:val="65BF727D"/>
    <w:rsid w:val="664F04CF"/>
    <w:rsid w:val="6691014E"/>
    <w:rsid w:val="66AC275B"/>
    <w:rsid w:val="66B47C99"/>
    <w:rsid w:val="66C87CCE"/>
    <w:rsid w:val="66DC0AFB"/>
    <w:rsid w:val="677435B2"/>
    <w:rsid w:val="679D64DC"/>
    <w:rsid w:val="67B90896"/>
    <w:rsid w:val="67EF75F1"/>
    <w:rsid w:val="69124F16"/>
    <w:rsid w:val="694A5205"/>
    <w:rsid w:val="697E5A5A"/>
    <w:rsid w:val="69A26117"/>
    <w:rsid w:val="69CD5C14"/>
    <w:rsid w:val="69CF0D33"/>
    <w:rsid w:val="6A075A18"/>
    <w:rsid w:val="6A162576"/>
    <w:rsid w:val="6AE17842"/>
    <w:rsid w:val="6B9946B3"/>
    <w:rsid w:val="6BB11A73"/>
    <w:rsid w:val="6C662189"/>
    <w:rsid w:val="6C7007C7"/>
    <w:rsid w:val="6C70572D"/>
    <w:rsid w:val="6C710CAC"/>
    <w:rsid w:val="6C9B3F20"/>
    <w:rsid w:val="6D145DAE"/>
    <w:rsid w:val="6D317EEA"/>
    <w:rsid w:val="6DE76850"/>
    <w:rsid w:val="6FB20BD4"/>
    <w:rsid w:val="6FB650F7"/>
    <w:rsid w:val="6FBA59BE"/>
    <w:rsid w:val="70296B3E"/>
    <w:rsid w:val="70611204"/>
    <w:rsid w:val="71BD2928"/>
    <w:rsid w:val="722C490E"/>
    <w:rsid w:val="722D3CEC"/>
    <w:rsid w:val="73445350"/>
    <w:rsid w:val="73B747F7"/>
    <w:rsid w:val="73F71F01"/>
    <w:rsid w:val="73F959CA"/>
    <w:rsid w:val="74AD3D78"/>
    <w:rsid w:val="74E47F53"/>
    <w:rsid w:val="74FA2C30"/>
    <w:rsid w:val="750D1A4A"/>
    <w:rsid w:val="75496B3C"/>
    <w:rsid w:val="754D5C4B"/>
    <w:rsid w:val="75C65B4A"/>
    <w:rsid w:val="76676633"/>
    <w:rsid w:val="76C240A7"/>
    <w:rsid w:val="775246B7"/>
    <w:rsid w:val="77C32065"/>
    <w:rsid w:val="781E69D1"/>
    <w:rsid w:val="79142376"/>
    <w:rsid w:val="7A263B6B"/>
    <w:rsid w:val="7A902F4D"/>
    <w:rsid w:val="7AF46346"/>
    <w:rsid w:val="7B0F5EBF"/>
    <w:rsid w:val="7B130FB9"/>
    <w:rsid w:val="7B662A22"/>
    <w:rsid w:val="7BF64EDE"/>
    <w:rsid w:val="7C271BE8"/>
    <w:rsid w:val="7C400C1E"/>
    <w:rsid w:val="7CFF6B17"/>
    <w:rsid w:val="7D1D1EA9"/>
    <w:rsid w:val="7DD11708"/>
    <w:rsid w:val="7E31018F"/>
    <w:rsid w:val="7E6A3469"/>
    <w:rsid w:val="7EBA3C17"/>
    <w:rsid w:val="7EBD579E"/>
    <w:rsid w:val="7EC167BD"/>
    <w:rsid w:val="7F272D9E"/>
    <w:rsid w:val="7F805B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8"/>
    <w:autoRedefine/>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49"/>
    <w:qFormat/>
    <w:uiPriority w:val="9"/>
    <w:pPr>
      <w:keepNext/>
      <w:keepLines/>
      <w:spacing w:before="280" w:after="290" w:line="376" w:lineRule="auto"/>
      <w:outlineLvl w:val="4"/>
    </w:pPr>
    <w:rPr>
      <w:b/>
      <w:bCs/>
      <w:sz w:val="28"/>
      <w:szCs w:val="28"/>
    </w:rPr>
  </w:style>
  <w:style w:type="paragraph" w:styleId="8">
    <w:name w:val="heading 8"/>
    <w:basedOn w:val="1"/>
    <w:next w:val="1"/>
    <w:link w:val="50"/>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basedOn w:val="1"/>
    <w:next w:val="1"/>
    <w:unhideWhenUsed/>
    <w:qFormat/>
    <w:uiPriority w:val="99"/>
    <w:pPr>
      <w:ind w:left="2940"/>
    </w:pPr>
    <w:rPr>
      <w:rFonts w:ascii="Times New Roman" w:hAnsi="Times New Roman" w:eastAsia="宋体" w:cs="Times New Roman"/>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51"/>
    <w:qFormat/>
    <w:uiPriority w:val="0"/>
    <w:pPr>
      <w:jc w:val="left"/>
    </w:pPr>
  </w:style>
  <w:style w:type="paragraph" w:styleId="12">
    <w:name w:val="Body Text 3"/>
    <w:basedOn w:val="1"/>
    <w:link w:val="52"/>
    <w:autoRedefine/>
    <w:unhideWhenUsed/>
    <w:qFormat/>
    <w:uiPriority w:val="99"/>
    <w:pPr>
      <w:spacing w:after="120"/>
    </w:pPr>
    <w:rPr>
      <w:sz w:val="16"/>
      <w:szCs w:val="16"/>
    </w:rPr>
  </w:style>
  <w:style w:type="paragraph" w:styleId="13">
    <w:name w:val="Body Text"/>
    <w:basedOn w:val="1"/>
    <w:next w:val="1"/>
    <w:link w:val="45"/>
    <w:unhideWhenUsed/>
    <w:qFormat/>
    <w:uiPriority w:val="0"/>
    <w:pPr>
      <w:spacing w:after="120"/>
    </w:pPr>
  </w:style>
  <w:style w:type="paragraph" w:styleId="14">
    <w:name w:val="Body Text Indent"/>
    <w:basedOn w:val="1"/>
    <w:link w:val="53"/>
    <w:qFormat/>
    <w:uiPriority w:val="0"/>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autoRedefine/>
    <w:unhideWhenUsed/>
    <w:qFormat/>
    <w:uiPriority w:val="39"/>
    <w:pPr>
      <w:ind w:left="840" w:leftChars="400"/>
    </w:pPr>
  </w:style>
  <w:style w:type="paragraph" w:styleId="17">
    <w:name w:val="Plain Text"/>
    <w:basedOn w:val="1"/>
    <w:next w:val="5"/>
    <w:link w:val="54"/>
    <w:qFormat/>
    <w:uiPriority w:val="0"/>
    <w:rPr>
      <w:rFonts w:ascii="宋体" w:hAnsi="Courier New"/>
      <w:kern w:val="0"/>
      <w:sz w:val="20"/>
      <w:szCs w:val="21"/>
    </w:rPr>
  </w:style>
  <w:style w:type="paragraph" w:styleId="18">
    <w:name w:val="Date"/>
    <w:basedOn w:val="1"/>
    <w:next w:val="1"/>
    <w:link w:val="55"/>
    <w:unhideWhenUsed/>
    <w:qFormat/>
    <w:uiPriority w:val="99"/>
    <w:pPr>
      <w:ind w:left="100" w:leftChars="2500"/>
    </w:pPr>
  </w:style>
  <w:style w:type="paragraph" w:styleId="19">
    <w:name w:val="Balloon Text"/>
    <w:basedOn w:val="1"/>
    <w:autoRedefine/>
    <w:semiHidden/>
    <w:qFormat/>
    <w:uiPriority w:val="0"/>
    <w:rPr>
      <w:sz w:val="18"/>
      <w:szCs w:val="18"/>
    </w:rPr>
  </w:style>
  <w:style w:type="paragraph" w:styleId="20">
    <w:name w:val="footer"/>
    <w:basedOn w:val="1"/>
    <w:link w:val="56"/>
    <w:unhideWhenUsed/>
    <w:qFormat/>
    <w:uiPriority w:val="99"/>
    <w:pPr>
      <w:tabs>
        <w:tab w:val="center" w:pos="4153"/>
        <w:tab w:val="right" w:pos="8306"/>
      </w:tabs>
      <w:snapToGrid w:val="0"/>
      <w:jc w:val="left"/>
    </w:pPr>
    <w:rPr>
      <w:kern w:val="0"/>
      <w:sz w:val="18"/>
      <w:szCs w:val="18"/>
    </w:rPr>
  </w:style>
  <w:style w:type="paragraph" w:styleId="21">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List"/>
    <w:basedOn w:val="1"/>
    <w:unhideWhenUsed/>
    <w:qFormat/>
    <w:uiPriority w:val="99"/>
    <w:pPr>
      <w:ind w:left="200" w:hanging="200" w:hangingChars="200"/>
      <w:contextualSpacing/>
    </w:pPr>
  </w:style>
  <w:style w:type="paragraph" w:styleId="24">
    <w:name w:val="Body Text Indent 3"/>
    <w:qFormat/>
    <w:uiPriority w:val="0"/>
    <w:pPr>
      <w:widowControl w:val="0"/>
      <w:suppressAutoHyphens/>
      <w:spacing w:after="120"/>
      <w:ind w:left="420" w:leftChars="200"/>
      <w:jc w:val="both"/>
    </w:pPr>
    <w:rPr>
      <w:rFonts w:ascii="Times New Roman" w:hAnsi="Times New Roman" w:eastAsia="宋体" w:cs="Times New Roman"/>
      <w:kern w:val="2"/>
      <w:sz w:val="16"/>
      <w:szCs w:val="16"/>
      <w:lang w:val="en-US" w:eastAsia="zh-CN" w:bidi="ar-SA"/>
    </w:rPr>
  </w:style>
  <w:style w:type="paragraph" w:styleId="25">
    <w:name w:val="toc 2"/>
    <w:basedOn w:val="1"/>
    <w:next w:val="1"/>
    <w:unhideWhenUsed/>
    <w:qFormat/>
    <w:uiPriority w:val="39"/>
    <w:pPr>
      <w:tabs>
        <w:tab w:val="right" w:leader="dot" w:pos="8296"/>
      </w:tabs>
      <w:ind w:left="420" w:leftChars="200"/>
    </w:pPr>
  </w:style>
  <w:style w:type="paragraph" w:styleId="26">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7">
    <w:name w:val="annotation subject"/>
    <w:basedOn w:val="11"/>
    <w:next w:val="11"/>
    <w:link w:val="58"/>
    <w:qFormat/>
    <w:uiPriority w:val="99"/>
    <w:rPr>
      <w:b/>
      <w:bCs/>
    </w:r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endnote reference"/>
    <w:unhideWhenUsed/>
    <w:qFormat/>
    <w:uiPriority w:val="99"/>
    <w:rPr>
      <w:vertAlign w:val="superscript"/>
    </w:rPr>
  </w:style>
  <w:style w:type="character" w:styleId="32">
    <w:name w:val="page number"/>
    <w:qFormat/>
    <w:uiPriority w:val="0"/>
  </w:style>
  <w:style w:type="character" w:styleId="33">
    <w:name w:val="FollowedHyperlink"/>
    <w:unhideWhenUsed/>
    <w:qFormat/>
    <w:uiPriority w:val="99"/>
    <w:rPr>
      <w:color w:val="800080"/>
      <w:u w:val="none"/>
    </w:rPr>
  </w:style>
  <w:style w:type="character" w:styleId="34">
    <w:name w:val="HTML Definition"/>
    <w:unhideWhenUsed/>
    <w:qFormat/>
    <w:uiPriority w:val="99"/>
  </w:style>
  <w:style w:type="character" w:styleId="35">
    <w:name w:val="HTML Typewriter"/>
    <w:unhideWhenUsed/>
    <w:qFormat/>
    <w:uiPriority w:val="99"/>
    <w:rPr>
      <w:rFonts w:hint="default" w:ascii="monospace" w:hAnsi="monospace" w:eastAsia="monospace" w:cs="monospace"/>
      <w:sz w:val="20"/>
    </w:rPr>
  </w:style>
  <w:style w:type="character" w:styleId="36">
    <w:name w:val="HTML Acronym"/>
    <w:unhideWhenUsed/>
    <w:qFormat/>
    <w:uiPriority w:val="99"/>
  </w:style>
  <w:style w:type="character" w:styleId="37">
    <w:name w:val="HTML Variable"/>
    <w:unhideWhenUsed/>
    <w:qFormat/>
    <w:uiPriority w:val="99"/>
  </w:style>
  <w:style w:type="character" w:styleId="38">
    <w:name w:val="Hyperlink"/>
    <w:unhideWhenUsed/>
    <w:qFormat/>
    <w:uiPriority w:val="99"/>
    <w:rPr>
      <w:color w:val="0000FF"/>
      <w:u w:val="none"/>
    </w:rPr>
  </w:style>
  <w:style w:type="character" w:styleId="39">
    <w:name w:val="HTML Code"/>
    <w:unhideWhenUsed/>
    <w:qFormat/>
    <w:uiPriority w:val="99"/>
    <w:rPr>
      <w:rFonts w:hint="default" w:ascii="monospace" w:hAnsi="monospace" w:eastAsia="monospace" w:cs="monospace"/>
      <w:sz w:val="20"/>
    </w:rPr>
  </w:style>
  <w:style w:type="character" w:styleId="40">
    <w:name w:val="annotation reference"/>
    <w:qFormat/>
    <w:uiPriority w:val="99"/>
    <w:rPr>
      <w:sz w:val="21"/>
      <w:szCs w:val="21"/>
    </w:rPr>
  </w:style>
  <w:style w:type="character" w:styleId="41">
    <w:name w:val="HTML Cite"/>
    <w:unhideWhenUsed/>
    <w:qFormat/>
    <w:uiPriority w:val="99"/>
  </w:style>
  <w:style w:type="character" w:styleId="42">
    <w:name w:val="HTML Keyboard"/>
    <w:unhideWhenUsed/>
    <w:qFormat/>
    <w:uiPriority w:val="99"/>
    <w:rPr>
      <w:rFonts w:hint="default" w:ascii="monospace" w:hAnsi="monospace" w:eastAsia="monospace" w:cs="monospace"/>
      <w:sz w:val="20"/>
    </w:rPr>
  </w:style>
  <w:style w:type="character" w:styleId="43">
    <w:name w:val="HTML Sample"/>
    <w:unhideWhenUsed/>
    <w:qFormat/>
    <w:uiPriority w:val="99"/>
    <w:rPr>
      <w:rFonts w:ascii="monospace" w:hAnsi="monospace" w:eastAsia="monospace" w:cs="monospace"/>
    </w:rPr>
  </w:style>
  <w:style w:type="paragraph" w:customStyle="1" w:styleId="44">
    <w:name w:val="表格文字"/>
    <w:basedOn w:val="1"/>
    <w:next w:val="13"/>
    <w:qFormat/>
    <w:uiPriority w:val="0"/>
    <w:pPr>
      <w:adjustRightInd w:val="0"/>
      <w:spacing w:line="420" w:lineRule="atLeast"/>
      <w:jc w:val="left"/>
      <w:textAlignment w:val="baseline"/>
    </w:pPr>
    <w:rPr>
      <w:kern w:val="0"/>
    </w:rPr>
  </w:style>
  <w:style w:type="character" w:customStyle="1" w:styleId="45">
    <w:name w:val="正文文本 字符1"/>
    <w:link w:val="13"/>
    <w:qFormat/>
    <w:uiPriority w:val="0"/>
    <w:rPr>
      <w:rFonts w:ascii="Times New Roman" w:hAnsi="Times New Roman"/>
      <w:kern w:val="2"/>
      <w:sz w:val="21"/>
      <w:szCs w:val="24"/>
    </w:rPr>
  </w:style>
  <w:style w:type="character" w:customStyle="1" w:styleId="46">
    <w:name w:val="标题 1 字符"/>
    <w:link w:val="2"/>
    <w:qFormat/>
    <w:uiPriority w:val="9"/>
    <w:rPr>
      <w:b/>
      <w:bCs/>
      <w:kern w:val="44"/>
      <w:sz w:val="44"/>
      <w:szCs w:val="44"/>
    </w:rPr>
  </w:style>
  <w:style w:type="character" w:customStyle="1" w:styleId="47">
    <w:name w:val="标题 2 字符"/>
    <w:link w:val="3"/>
    <w:qFormat/>
    <w:uiPriority w:val="9"/>
    <w:rPr>
      <w:rFonts w:ascii="Cambria" w:hAnsi="Cambria" w:eastAsia="宋体" w:cs="Times New Roman"/>
      <w:b/>
      <w:bCs/>
      <w:kern w:val="2"/>
      <w:sz w:val="32"/>
      <w:szCs w:val="32"/>
    </w:rPr>
  </w:style>
  <w:style w:type="character" w:customStyle="1" w:styleId="48">
    <w:name w:val="标题 3 字符"/>
    <w:link w:val="4"/>
    <w:semiHidden/>
    <w:qFormat/>
    <w:uiPriority w:val="9"/>
    <w:rPr>
      <w:b/>
      <w:bCs/>
      <w:kern w:val="2"/>
      <w:sz w:val="32"/>
      <w:szCs w:val="32"/>
    </w:rPr>
  </w:style>
  <w:style w:type="character" w:customStyle="1" w:styleId="49">
    <w:name w:val="标题 5 字符"/>
    <w:link w:val="6"/>
    <w:qFormat/>
    <w:uiPriority w:val="9"/>
    <w:rPr>
      <w:rFonts w:ascii="Times New Roman" w:hAnsi="Times New Roman"/>
      <w:b/>
      <w:bCs/>
      <w:kern w:val="2"/>
      <w:sz w:val="28"/>
      <w:szCs w:val="28"/>
    </w:rPr>
  </w:style>
  <w:style w:type="character" w:customStyle="1" w:styleId="50">
    <w:name w:val="标题 8 字符"/>
    <w:link w:val="8"/>
    <w:semiHidden/>
    <w:qFormat/>
    <w:uiPriority w:val="9"/>
    <w:rPr>
      <w:rFonts w:ascii="等线 Light" w:hAnsi="等线 Light" w:eastAsia="等线 Light" w:cs="Times New Roman"/>
      <w:kern w:val="2"/>
      <w:sz w:val="24"/>
      <w:szCs w:val="24"/>
    </w:rPr>
  </w:style>
  <w:style w:type="character" w:customStyle="1" w:styleId="51">
    <w:name w:val="批注文字 字符2"/>
    <w:link w:val="11"/>
    <w:qFormat/>
    <w:uiPriority w:val="0"/>
    <w:rPr>
      <w:rFonts w:ascii="Times New Roman" w:hAnsi="Times New Roman"/>
      <w:kern w:val="2"/>
      <w:sz w:val="21"/>
      <w:szCs w:val="24"/>
    </w:rPr>
  </w:style>
  <w:style w:type="character" w:customStyle="1" w:styleId="52">
    <w:name w:val="正文文本 3 字符"/>
    <w:link w:val="12"/>
    <w:semiHidden/>
    <w:qFormat/>
    <w:uiPriority w:val="99"/>
    <w:rPr>
      <w:kern w:val="2"/>
      <w:sz w:val="16"/>
      <w:szCs w:val="16"/>
    </w:rPr>
  </w:style>
  <w:style w:type="character" w:customStyle="1" w:styleId="53">
    <w:name w:val="正文文本缩进 字符"/>
    <w:link w:val="14"/>
    <w:qFormat/>
    <w:uiPriority w:val="0"/>
    <w:rPr>
      <w:rFonts w:ascii="仿宋_GB2312" w:hAnsi="Times New Roman" w:eastAsia="仿宋_GB2312" w:cs="Times New Roman"/>
      <w:sz w:val="32"/>
      <w:szCs w:val="20"/>
    </w:rPr>
  </w:style>
  <w:style w:type="character" w:customStyle="1" w:styleId="54">
    <w:name w:val="纯文本 字符3"/>
    <w:link w:val="17"/>
    <w:qFormat/>
    <w:uiPriority w:val="0"/>
    <w:rPr>
      <w:rFonts w:ascii="宋体" w:hAnsi="Courier New" w:eastAsia="宋体" w:cs="Courier New"/>
      <w:szCs w:val="21"/>
    </w:rPr>
  </w:style>
  <w:style w:type="character" w:customStyle="1" w:styleId="55">
    <w:name w:val="日期 字符"/>
    <w:link w:val="18"/>
    <w:semiHidden/>
    <w:qFormat/>
    <w:uiPriority w:val="99"/>
    <w:rPr>
      <w:rFonts w:ascii="Times New Roman" w:hAnsi="Times New Roman"/>
      <w:kern w:val="2"/>
      <w:sz w:val="21"/>
      <w:szCs w:val="24"/>
    </w:rPr>
  </w:style>
  <w:style w:type="character" w:customStyle="1" w:styleId="56">
    <w:name w:val="页脚 字符"/>
    <w:link w:val="20"/>
    <w:qFormat/>
    <w:uiPriority w:val="99"/>
    <w:rPr>
      <w:sz w:val="18"/>
      <w:szCs w:val="18"/>
    </w:rPr>
  </w:style>
  <w:style w:type="character" w:customStyle="1" w:styleId="57">
    <w:name w:val="页眉 字符"/>
    <w:link w:val="21"/>
    <w:qFormat/>
    <w:uiPriority w:val="99"/>
    <w:rPr>
      <w:sz w:val="18"/>
      <w:szCs w:val="18"/>
    </w:rPr>
  </w:style>
  <w:style w:type="character" w:customStyle="1" w:styleId="58">
    <w:name w:val="批注主题 字符"/>
    <w:link w:val="27"/>
    <w:qFormat/>
    <w:uiPriority w:val="99"/>
    <w:rPr>
      <w:rFonts w:ascii="Times New Roman" w:hAnsi="Times New Roman"/>
      <w:b/>
      <w:bCs/>
      <w:kern w:val="2"/>
      <w:sz w:val="21"/>
      <w:szCs w:val="24"/>
    </w:rPr>
  </w:style>
  <w:style w:type="character" w:customStyle="1" w:styleId="59">
    <w:name w:val="纯文本 字符2"/>
    <w:qFormat/>
    <w:uiPriority w:val="0"/>
    <w:rPr>
      <w:rFonts w:ascii="宋体" w:hAnsi="Courier New" w:eastAsia="宋体" w:cs="Courier New"/>
      <w:szCs w:val="21"/>
    </w:rPr>
  </w:style>
  <w:style w:type="character" w:customStyle="1" w:styleId="60">
    <w:name w:val="apple-style-span"/>
    <w:qFormat/>
    <w:uiPriority w:val="0"/>
  </w:style>
  <w:style w:type="character" w:customStyle="1" w:styleId="61">
    <w:name w:val="标题 2 Char"/>
    <w:qFormat/>
    <w:uiPriority w:val="9"/>
    <w:rPr>
      <w:rFonts w:ascii="Cambria" w:hAnsi="Cambria" w:eastAsia="宋体" w:cs="Times New Roman"/>
      <w:b/>
      <w:bCs/>
      <w:kern w:val="2"/>
      <w:sz w:val="32"/>
      <w:szCs w:val="32"/>
    </w:rPr>
  </w:style>
  <w:style w:type="character" w:customStyle="1" w:styleId="62">
    <w:name w:val="纯文本 字符"/>
    <w:qFormat/>
    <w:uiPriority w:val="0"/>
    <w:rPr>
      <w:rFonts w:ascii="宋体" w:hAnsi="Courier New" w:eastAsia="宋体" w:cs="Courier New"/>
      <w:szCs w:val="21"/>
    </w:rPr>
  </w:style>
  <w:style w:type="character" w:customStyle="1" w:styleId="63">
    <w:name w:val="纯文本 字符1"/>
    <w:qFormat/>
    <w:uiPriority w:val="0"/>
    <w:rPr>
      <w:rFonts w:ascii="宋体" w:hAnsi="Courier New"/>
    </w:rPr>
  </w:style>
  <w:style w:type="character" w:customStyle="1" w:styleId="64">
    <w:name w:val="标题 8 Char"/>
    <w:qFormat/>
    <w:uiPriority w:val="0"/>
    <w:rPr>
      <w:rFonts w:ascii="Arial" w:hAnsi="Arial" w:eastAsia="黑体"/>
      <w:kern w:val="2"/>
      <w:sz w:val="24"/>
      <w:szCs w:val="24"/>
    </w:rPr>
  </w:style>
  <w:style w:type="character" w:customStyle="1" w:styleId="65">
    <w:name w:val="纯文本 Char"/>
    <w:qFormat/>
    <w:uiPriority w:val="0"/>
    <w:rPr>
      <w:rFonts w:ascii="宋体" w:hAnsi="Courier New" w:eastAsia="宋体" w:cs="Courier New"/>
      <w:szCs w:val="21"/>
    </w:rPr>
  </w:style>
  <w:style w:type="character" w:customStyle="1" w:styleId="66">
    <w:name w:val="正文文本 Char"/>
    <w:qFormat/>
    <w:uiPriority w:val="0"/>
    <w:rPr>
      <w:rFonts w:ascii="Times New Roman" w:hAnsi="Times New Roman"/>
      <w:kern w:val="2"/>
      <w:sz w:val="21"/>
      <w:szCs w:val="24"/>
    </w:rPr>
  </w:style>
  <w:style w:type="character" w:customStyle="1" w:styleId="67">
    <w:name w:val="批注文字 字符1"/>
    <w:qFormat/>
    <w:uiPriority w:val="0"/>
    <w:rPr>
      <w:rFonts w:ascii="Times New Roman" w:hAnsi="Times New Roman"/>
      <w:kern w:val="2"/>
      <w:sz w:val="21"/>
      <w:szCs w:val="24"/>
    </w:rPr>
  </w:style>
  <w:style w:type="character" w:customStyle="1" w:styleId="6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9">
    <w:name w:val="标题 1 字符1"/>
    <w:qFormat/>
    <w:uiPriority w:val="0"/>
    <w:rPr>
      <w:b/>
      <w:bCs/>
      <w:kern w:val="44"/>
      <w:sz w:val="44"/>
      <w:szCs w:val="44"/>
    </w:rPr>
  </w:style>
  <w:style w:type="character" w:customStyle="1" w:styleId="70">
    <w:name w:val="正文文本 字符"/>
    <w:qFormat/>
    <w:uiPriority w:val="0"/>
    <w:rPr>
      <w:rFonts w:ascii="Times New Roman" w:hAnsi="Times New Roman"/>
      <w:kern w:val="2"/>
      <w:sz w:val="21"/>
      <w:szCs w:val="24"/>
    </w:rPr>
  </w:style>
  <w:style w:type="character" w:customStyle="1" w:styleId="71">
    <w:name w:val="批注文字 字符"/>
    <w:qFormat/>
    <w:uiPriority w:val="0"/>
    <w:rPr>
      <w:rFonts w:ascii="Times New Roman" w:hAnsi="Times New Roman"/>
      <w:kern w:val="2"/>
      <w:sz w:val="21"/>
      <w:szCs w:val="24"/>
    </w:rPr>
  </w:style>
  <w:style w:type="character" w:customStyle="1" w:styleId="72">
    <w:name w:val="textcontents"/>
    <w:qFormat/>
    <w:uiPriority w:val="0"/>
  </w:style>
  <w:style w:type="character" w:customStyle="1" w:styleId="73">
    <w:name w:val="批注文字 Char"/>
    <w:qFormat/>
    <w:uiPriority w:val="0"/>
    <w:rPr>
      <w:rFonts w:ascii="Times New Roman" w:hAnsi="Times New Roman"/>
      <w:kern w:val="2"/>
      <w:sz w:val="21"/>
      <w:szCs w:val="24"/>
    </w:rPr>
  </w:style>
  <w:style w:type="paragraph" w:customStyle="1" w:styleId="7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5">
    <w:name w:val="List Paragraph"/>
    <w:basedOn w:val="1"/>
    <w:qFormat/>
    <w:uiPriority w:val="34"/>
    <w:pPr>
      <w:ind w:firstLine="420" w:firstLineChars="200"/>
    </w:pPr>
  </w:style>
  <w:style w:type="paragraph" w:customStyle="1" w:styleId="76">
    <w:name w:val="默认段落字体 Para Char Char Char Char Char Char Char Char Char1 Char Char Char Char"/>
    <w:basedOn w:val="1"/>
    <w:qFormat/>
    <w:uiPriority w:val="0"/>
    <w:rPr>
      <w:rFonts w:ascii="Tahoma" w:hAnsi="Tahoma"/>
      <w:sz w:val="24"/>
      <w:szCs w:val="20"/>
    </w:rPr>
  </w:style>
  <w:style w:type="paragraph" w:customStyle="1" w:styleId="77">
    <w:name w:val="Table Paragraph"/>
    <w:basedOn w:val="1"/>
    <w:qFormat/>
    <w:uiPriority w:val="1"/>
    <w:pPr>
      <w:jc w:val="left"/>
    </w:pPr>
    <w:rPr>
      <w:rFonts w:ascii="Calibri" w:hAnsi="Calibri"/>
      <w:kern w:val="0"/>
      <w:sz w:val="22"/>
      <w:szCs w:val="22"/>
      <w:lang w:eastAsia="en-US"/>
    </w:rPr>
  </w:style>
  <w:style w:type="paragraph" w:customStyle="1" w:styleId="78">
    <w:name w:val="Char Char Char Char"/>
    <w:basedOn w:val="1"/>
    <w:qFormat/>
    <w:uiPriority w:val="0"/>
    <w:pPr>
      <w:widowControl/>
      <w:spacing w:after="160" w:line="240" w:lineRule="exact"/>
      <w:jc w:val="left"/>
    </w:pPr>
  </w:style>
  <w:style w:type="character" w:customStyle="1" w:styleId="79">
    <w:name w:val="_Style 77"/>
    <w:unhideWhenUsed/>
    <w:qFormat/>
    <w:uiPriority w:val="99"/>
    <w:rPr>
      <w:color w:val="605E5C"/>
      <w:shd w:val="clear" w:color="auto" w:fill="E1DFDD"/>
    </w:rPr>
  </w:style>
  <w:style w:type="paragraph" w:customStyle="1" w:styleId="80">
    <w:name w:val="_Style 78"/>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81">
    <w:name w:val="正文2 Char Char"/>
    <w:link w:val="82"/>
    <w:qFormat/>
    <w:uiPriority w:val="0"/>
    <w:rPr>
      <w:sz w:val="24"/>
    </w:rPr>
  </w:style>
  <w:style w:type="paragraph" w:customStyle="1" w:styleId="82">
    <w:name w:val="正文2"/>
    <w:basedOn w:val="1"/>
    <w:link w:val="81"/>
    <w:qFormat/>
    <w:uiPriority w:val="0"/>
    <w:pPr>
      <w:adjustRightInd w:val="0"/>
      <w:spacing w:before="156" w:line="360" w:lineRule="auto"/>
      <w:ind w:firstLine="510" w:firstLineChars="200"/>
    </w:pPr>
    <w:rPr>
      <w:kern w:val="0"/>
      <w:sz w:val="24"/>
      <w:szCs w:val="20"/>
    </w:rPr>
  </w:style>
  <w:style w:type="paragraph" w:customStyle="1" w:styleId="8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4">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85">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86">
    <w:name w:val="Heading2"/>
    <w:basedOn w:val="1"/>
    <w:next w:val="1"/>
    <w:qFormat/>
    <w:uiPriority w:val="0"/>
    <w:pPr>
      <w:keepNext/>
      <w:keepLines/>
      <w:spacing w:before="260" w:after="260" w:line="416" w:lineRule="auto"/>
      <w:jc w:val="both"/>
      <w:textAlignment w:val="baseline"/>
    </w:pPr>
    <w:rPr>
      <w:rFonts w:ascii="Cambria" w:hAnsi="Cambria" w:cs="Times New Roman"/>
      <w:b/>
      <w:bCs/>
      <w:kern w:val="2"/>
      <w:sz w:val="32"/>
      <w:szCs w:val="32"/>
      <w:lang w:val="en-US" w:eastAsia="zh-CN" w:bidi="ar-SA"/>
    </w:rPr>
  </w:style>
  <w:style w:type="character" w:customStyle="1" w:styleId="87">
    <w:name w:val="NormalCharacter"/>
    <w:qFormat/>
    <w:uiPriority w:val="0"/>
    <w:rPr>
      <w:kern w:val="2"/>
      <w:sz w:val="21"/>
      <w:szCs w:val="24"/>
      <w:lang w:val="en-US" w:eastAsia="zh-CN" w:bidi="ar-SA"/>
    </w:rPr>
  </w:style>
  <w:style w:type="paragraph" w:customStyle="1" w:styleId="88">
    <w:name w:val="UserStyle_35"/>
    <w:basedOn w:val="1"/>
    <w:qFormat/>
    <w:uiPriority w:val="0"/>
    <w:pPr>
      <w:spacing w:before="156" w:line="360" w:lineRule="auto"/>
      <w:ind w:firstLine="510" w:firstLineChars="200"/>
      <w:jc w:val="both"/>
      <w:textAlignment w:val="baseline"/>
    </w:pPr>
    <w:rPr>
      <w:kern w:val="0"/>
      <w:sz w:val="24"/>
      <w:szCs w:val="20"/>
      <w:lang w:val="en-US" w:eastAsia="zh-CN" w:bidi="ar-SA"/>
    </w:rPr>
  </w:style>
  <w:style w:type="paragraph" w:customStyle="1" w:styleId="8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90">
    <w:name w:val="正文_5"/>
    <w:next w:val="9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91">
    <w:name w:val="正文文本缩进 2_1"/>
    <w:basedOn w:val="90"/>
    <w:unhideWhenUsed/>
    <w:qFormat/>
    <w:uiPriority w:val="99"/>
    <w:pPr>
      <w:spacing w:after="120" w:line="480" w:lineRule="auto"/>
      <w:ind w:left="420" w:leftChars="200"/>
    </w:pPr>
  </w:style>
  <w:style w:type="paragraph" w:customStyle="1" w:styleId="92">
    <w:name w:val="WPSOffice手动目录 1"/>
    <w:qFormat/>
    <w:uiPriority w:val="0"/>
    <w:rPr>
      <w:rFonts w:ascii="Calibri" w:hAnsi="Calibri" w:eastAsia="宋体" w:cs="Times New Roman"/>
      <w:lang w:val="en-US" w:eastAsia="zh-CN" w:bidi="ar-SA"/>
    </w:rPr>
  </w:style>
  <w:style w:type="paragraph" w:customStyle="1" w:styleId="9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5">
    <w:name w:val="first-child"/>
    <w:qFormat/>
    <w:uiPriority w:val="0"/>
  </w:style>
  <w:style w:type="character" w:customStyle="1" w:styleId="96">
    <w:name w:val="layui-layer-tabnow"/>
    <w:qFormat/>
    <w:uiPriority w:val="0"/>
    <w:rPr>
      <w:bdr w:val="single" w:color="CCCCCC" w:sz="4" w:space="0"/>
      <w:shd w:val="clear" w:color="auto" w:fill="FFFFFF"/>
    </w:rPr>
  </w:style>
  <w:style w:type="paragraph" w:customStyle="1" w:styleId="97">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98">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99">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100">
    <w:name w:val="正文_4_0"/>
    <w:basedOn w:val="101"/>
    <w:qFormat/>
    <w:uiPriority w:val="0"/>
  </w:style>
  <w:style w:type="paragraph" w:customStyle="1" w:styleId="101">
    <w:name w:val="正文_5_0"/>
    <w:basedOn w:val="90"/>
    <w:qFormat/>
    <w:uiPriority w:val="0"/>
  </w:style>
  <w:style w:type="paragraph" w:customStyle="1" w:styleId="102">
    <w:name w:val="标题 4_0"/>
    <w:basedOn w:val="90"/>
    <w:next w:val="90"/>
    <w:qFormat/>
    <w:uiPriority w:val="99"/>
    <w:pPr>
      <w:spacing w:before="30" w:after="100" w:afterAutospacing="1"/>
      <w:ind w:left="359" w:right="347"/>
      <w:jc w:val="center"/>
      <w:outlineLvl w:val="3"/>
    </w:pPr>
    <w:rPr>
      <w:b/>
      <w:bCs/>
      <w:sz w:val="38"/>
      <w:szCs w:val="38"/>
    </w:rPr>
  </w:style>
  <w:style w:type="paragraph" w:customStyle="1" w:styleId="103">
    <w:name w:val="Normal_18"/>
    <w:qFormat/>
    <w:uiPriority w:val="0"/>
    <w:rPr>
      <w:rFonts w:ascii="Times New Roman" w:hAnsi="Times New Roman" w:eastAsia="Times New Roman" w:cs="Times New Roman"/>
      <w:sz w:val="24"/>
      <w:szCs w:val="24"/>
      <w:lang w:val="en-US" w:eastAsia="zh-CN" w:bidi="ar-SA"/>
    </w:rPr>
  </w:style>
  <w:style w:type="paragraph" w:customStyle="1" w:styleId="104">
    <w:name w:val="标题 #7 (4)"/>
    <w:basedOn w:val="1"/>
    <w:qFormat/>
    <w:uiPriority w:val="0"/>
    <w:pPr>
      <w:shd w:val="clear" w:color="auto" w:fill="FFFFFF"/>
      <w:autoSpaceDE/>
      <w:autoSpaceDN/>
      <w:adjustRightInd/>
      <w:spacing w:after="1020" w:line="240" w:lineRule="atLeast"/>
      <w:outlineLvl w:val="6"/>
    </w:pPr>
    <w:rPr>
      <w:rFonts w:hint="default" w:ascii="MingLiU" w:hAnsi="MingLiU" w:eastAsia="MingLiU"/>
      <w:sz w:val="26"/>
      <w:szCs w:val="26"/>
    </w:rPr>
  </w:style>
  <w:style w:type="character" w:customStyle="1" w:styleId="105">
    <w:name w:val="标题 #7 (4) + 间距 7 pt"/>
    <w:qFormat/>
    <w:uiPriority w:val="0"/>
    <w:rPr>
      <w:rFonts w:ascii="MingLiU" w:hAnsi="MingLiU" w:eastAsia="MingLiU"/>
      <w:color w:val="000000"/>
      <w:spacing w:val="140"/>
      <w:w w:val="100"/>
      <w:position w:val="0"/>
      <w:sz w:val="26"/>
      <w:szCs w:val="26"/>
      <w:lang w:val="zh-CN" w:eastAsia="zh-CN" w:bidi="ar-SA"/>
    </w:rPr>
  </w:style>
  <w:style w:type="character" w:customStyle="1" w:styleId="106">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107">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108">
    <w:name w:val="正文文本 (2) + 间距 2 pt1"/>
    <w:qFormat/>
    <w:uiPriority w:val="0"/>
    <w:rPr>
      <w:rFonts w:ascii="MingLiU" w:hAnsi="MingLiU" w:eastAsia="MingLiU" w:cs="MingLiU"/>
      <w:color w:val="000000"/>
      <w:spacing w:val="50"/>
      <w:w w:val="100"/>
      <w:position w:val="0"/>
      <w:sz w:val="22"/>
      <w:szCs w:val="22"/>
      <w:u w:val="none"/>
      <w:shd w:val="clear" w:color="auto" w:fill="FFFFFF"/>
      <w:lang w:val="zh-CN" w:eastAsia="zh-CN"/>
    </w:rPr>
  </w:style>
  <w:style w:type="character" w:customStyle="1" w:styleId="109">
    <w:name w:val="正文文本 (2) + 间距 7 pt"/>
    <w:qFormat/>
    <w:uiPriority w:val="0"/>
    <w:rPr>
      <w:rFonts w:ascii="MingLiU" w:hAnsi="MingLiU" w:eastAsia="MingLiU" w:cs="MingLiU"/>
      <w:color w:val="000000"/>
      <w:spacing w:val="150"/>
      <w:w w:val="100"/>
      <w:position w:val="0"/>
      <w:sz w:val="22"/>
      <w:szCs w:val="22"/>
      <w:u w:val="none"/>
      <w:shd w:val="clear" w:color="auto" w:fill="FFFFFF"/>
      <w:lang w:val="zh-CN" w:eastAsia="zh-CN"/>
    </w:rPr>
  </w:style>
  <w:style w:type="paragraph" w:customStyle="1" w:styleId="110">
    <w:name w:val="标题 #8"/>
    <w:basedOn w:val="1"/>
    <w:qFormat/>
    <w:uiPriority w:val="0"/>
    <w:pPr>
      <w:shd w:val="clear" w:color="auto" w:fill="FFFFFF"/>
      <w:autoSpaceDE/>
      <w:autoSpaceDN/>
      <w:adjustRightInd/>
      <w:spacing w:before="120" w:after="420" w:line="0" w:lineRule="atLeast"/>
      <w:outlineLvl w:val="7"/>
    </w:pPr>
    <w:rPr>
      <w:rFonts w:hint="default" w:ascii="MingLiU" w:hAnsi="MingLiU" w:eastAsia="MingLiU"/>
      <w:b/>
      <w:bCs/>
      <w:spacing w:val="10"/>
      <w:sz w:val="22"/>
      <w:szCs w:val="22"/>
      <w:shd w:val="clear" w:color="auto" w:fill="FFFFFF"/>
    </w:rPr>
  </w:style>
  <w:style w:type="character" w:customStyle="1" w:styleId="111">
    <w:name w:val="标题 #8 + 间距 0 pt"/>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112">
    <w:name w:val="正文文本 (19) + 间距 0 pt"/>
    <w:qFormat/>
    <w:uiPriority w:val="0"/>
    <w:rPr>
      <w:rFonts w:ascii="MingLiU" w:hAnsi="MingLiU" w:eastAsia="MingLiU" w:cs="MingLiU"/>
      <w:b/>
      <w:bCs/>
      <w:color w:val="000000"/>
      <w:spacing w:val="0"/>
      <w:w w:val="100"/>
      <w:position w:val="0"/>
      <w:sz w:val="22"/>
      <w:szCs w:val="22"/>
      <w:u w:val="none"/>
      <w:lang w:val="zh-CN" w:eastAsia="zh-CN" w:bidi="zh-CN"/>
    </w:rPr>
  </w:style>
  <w:style w:type="paragraph" w:customStyle="1" w:styleId="113">
    <w:name w:val="正文文本 (19)"/>
    <w:basedOn w:val="1"/>
    <w:qFormat/>
    <w:uiPriority w:val="0"/>
    <w:pPr>
      <w:shd w:val="clear" w:color="auto" w:fill="FFFFFF"/>
      <w:autoSpaceDE/>
      <w:autoSpaceDN/>
      <w:adjustRightInd/>
      <w:spacing w:line="559" w:lineRule="exact"/>
    </w:pPr>
    <w:rPr>
      <w:rFonts w:hint="default" w:ascii="MingLiU" w:hAnsi="MingLiU" w:eastAsia="MingLiU"/>
      <w:b/>
      <w:bCs/>
      <w:spacing w:val="10"/>
      <w:sz w:val="22"/>
      <w:szCs w:val="22"/>
      <w:shd w:val="clear" w:color="auto" w:fill="FFFFFF"/>
    </w:rPr>
  </w:style>
  <w:style w:type="character" w:customStyle="1" w:styleId="114">
    <w:name w:val="标题 #7 + 间距 0 pt1"/>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paragraph" w:customStyle="1" w:styleId="115">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广西翔正项目管理有限公司</Company>
  <Pages>107</Pages>
  <Words>62774</Words>
  <Characters>66734</Characters>
  <Lines>485</Lines>
  <Paragraphs>136</Paragraphs>
  <TotalTime>26</TotalTime>
  <ScaleCrop>false</ScaleCrop>
  <LinksUpToDate>false</LinksUpToDate>
  <CharactersWithSpaces>73855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2021-08-17T12:20:00Z</dcterms:created>
  <dc:creator>苏晓英</dc:creator>
  <cp:lastModifiedBy>Boom</cp:lastModifiedBy>
  <cp:lastPrinted>2021-08-26T10:26:00Z</cp:lastPrinted>
  <dcterms:modified xsi:type="dcterms:W3CDTF">2026-08-04T03:22:23Z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0EAE1879EEB04EF886887B80C3DC0C39_13</vt:lpwstr>
  </property>
  <property fmtid="{D5CDD505-2E9C-101B-9397-08002B2CF9AE}" pid="4" name="KSOTemplateDocerSaveRecord">
    <vt:lpwstr>eyJoZGlkIjoiM2QyYjE2ZGNkMGY0OWUxMmQ1MzUwOWUwZjI3NWJkNDYiLCJ1c2VySWQiOiI0MTcwMDE0MTQifQ==</vt:lpwstr>
  </property>
</Properties>
</file>