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9493C">
      <w:pPr>
        <w:spacing w:line="360" w:lineRule="auto"/>
        <w:jc w:val="center"/>
        <w:rPr>
          <w:rFonts w:ascii="宋体" w:hAnsi="宋体" w:cs="宋体"/>
          <w:b/>
          <w:color w:val="auto"/>
          <w:sz w:val="48"/>
          <w:szCs w:val="48"/>
        </w:rPr>
      </w:pPr>
      <w:r>
        <w:rPr>
          <w:rFonts w:hint="eastAsia" w:ascii="宋体" w:hAnsi="宋体" w:cs="宋体"/>
          <w:b/>
          <w:color w:val="auto"/>
          <w:sz w:val="48"/>
          <w:szCs w:val="48"/>
        </w:rPr>
        <w:drawing>
          <wp:inline distT="0" distB="0" distL="114300" distR="114300">
            <wp:extent cx="1207135" cy="1410335"/>
            <wp:effectExtent l="0" t="0" r="12065" b="18415"/>
            <wp:docPr id="2" name="图片 1" descr="微信图片_20200903164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00903164358"/>
                    <pic:cNvPicPr>
                      <a:picLocks noChangeAspect="1"/>
                    </pic:cNvPicPr>
                  </pic:nvPicPr>
                  <pic:blipFill>
                    <a:blip r:embed="rId26"/>
                    <a:stretch>
                      <a:fillRect/>
                    </a:stretch>
                  </pic:blipFill>
                  <pic:spPr>
                    <a:xfrm>
                      <a:off x="0" y="0"/>
                      <a:ext cx="1207135" cy="1410335"/>
                    </a:xfrm>
                    <a:prstGeom prst="rect">
                      <a:avLst/>
                    </a:prstGeom>
                    <a:noFill/>
                    <a:ln>
                      <a:noFill/>
                    </a:ln>
                  </pic:spPr>
                </pic:pic>
              </a:graphicData>
            </a:graphic>
          </wp:inline>
        </w:drawing>
      </w:r>
    </w:p>
    <w:p w14:paraId="472DD51A">
      <w:pPr>
        <w:spacing w:line="360" w:lineRule="auto"/>
        <w:jc w:val="center"/>
        <w:rPr>
          <w:rFonts w:ascii="宋体" w:hAnsi="宋体" w:cs="宋体"/>
          <w:b/>
          <w:color w:val="auto"/>
          <w:sz w:val="48"/>
          <w:szCs w:val="48"/>
        </w:rPr>
      </w:pPr>
    </w:p>
    <w:p w14:paraId="77E1075C">
      <w:pPr>
        <w:spacing w:line="360" w:lineRule="auto"/>
        <w:jc w:val="center"/>
        <w:rPr>
          <w:rFonts w:ascii="宋体" w:hAnsi="宋体" w:cs="宋体"/>
          <w:b/>
          <w:iCs/>
          <w:color w:val="auto"/>
          <w:sz w:val="40"/>
          <w:szCs w:val="40"/>
        </w:rPr>
      </w:pPr>
    </w:p>
    <w:p w14:paraId="2F6CDC6D">
      <w:pPr>
        <w:snapToGrid w:val="0"/>
        <w:spacing w:beforeLines="50" w:line="360" w:lineRule="auto"/>
        <w:jc w:val="center"/>
        <w:rPr>
          <w:rFonts w:ascii="宋体" w:hAnsi="宋体" w:cs="宋体"/>
          <w:color w:val="auto"/>
          <w:sz w:val="96"/>
          <w:szCs w:val="96"/>
        </w:rPr>
      </w:pPr>
      <w:r>
        <w:rPr>
          <w:rFonts w:hint="eastAsia" w:ascii="宋体" w:hAnsi="宋体" w:cs="宋体"/>
          <w:color w:val="auto"/>
          <w:sz w:val="96"/>
          <w:szCs w:val="96"/>
        </w:rPr>
        <w:t>竞争性磋商文件</w:t>
      </w:r>
    </w:p>
    <w:p w14:paraId="780A0BAA">
      <w:pPr>
        <w:snapToGrid w:val="0"/>
        <w:spacing w:beforeLines="50" w:line="360" w:lineRule="auto"/>
        <w:jc w:val="center"/>
        <w:rPr>
          <w:rFonts w:ascii="宋体" w:hAnsi="宋体" w:cs="宋体"/>
          <w:b/>
          <w:color w:val="auto"/>
          <w:sz w:val="32"/>
          <w:szCs w:val="72"/>
        </w:rPr>
      </w:pPr>
      <w:r>
        <w:rPr>
          <w:rFonts w:hint="eastAsia" w:ascii="宋体" w:hAnsi="宋体" w:cs="宋体"/>
          <w:b/>
          <w:color w:val="auto"/>
          <w:sz w:val="52"/>
          <w:szCs w:val="52"/>
        </w:rPr>
        <w:t>（全流程电子化采购）</w:t>
      </w:r>
    </w:p>
    <w:p w14:paraId="6340DDD9">
      <w:pPr>
        <w:pStyle w:val="28"/>
        <w:snapToGrid w:val="0"/>
        <w:spacing w:line="360" w:lineRule="auto"/>
        <w:rPr>
          <w:rFonts w:hAnsi="宋体" w:cs="宋体"/>
          <w:b/>
          <w:bCs/>
          <w:color w:val="auto"/>
          <w:sz w:val="28"/>
          <w:szCs w:val="28"/>
        </w:rPr>
      </w:pPr>
    </w:p>
    <w:p w14:paraId="7C377238">
      <w:pPr>
        <w:pStyle w:val="5"/>
        <w:rPr>
          <w:color w:val="auto"/>
        </w:rPr>
      </w:pPr>
    </w:p>
    <w:p w14:paraId="19CF02C9">
      <w:pPr>
        <w:pStyle w:val="28"/>
        <w:snapToGrid w:val="0"/>
        <w:spacing w:line="360" w:lineRule="auto"/>
        <w:ind w:firstLine="843" w:firstLineChars="300"/>
        <w:rPr>
          <w:rFonts w:hAnsi="宋体" w:cs="宋体"/>
          <w:b/>
          <w:bCs/>
          <w:color w:val="auto"/>
          <w:sz w:val="28"/>
          <w:szCs w:val="28"/>
        </w:rPr>
      </w:pPr>
      <w:r>
        <w:rPr>
          <w:rFonts w:hint="eastAsia" w:hAnsi="宋体" w:cs="宋体"/>
          <w:b/>
          <w:bCs/>
          <w:color w:val="auto"/>
          <w:sz w:val="28"/>
          <w:szCs w:val="28"/>
        </w:rPr>
        <w:t>项目</w:t>
      </w:r>
      <w:r>
        <w:rPr>
          <w:rFonts w:hint="eastAsia" w:hAnsi="宋体" w:cs="宋体"/>
          <w:b/>
          <w:bCs/>
          <w:color w:val="auto"/>
          <w:w w:val="95"/>
          <w:sz w:val="28"/>
          <w:szCs w:val="28"/>
        </w:rPr>
        <w:t>名称</w:t>
      </w:r>
      <w:r>
        <w:rPr>
          <w:rFonts w:hint="eastAsia" w:hAnsi="宋体" w:cs="宋体"/>
          <w:b/>
          <w:bCs/>
          <w:color w:val="auto"/>
          <w:sz w:val="28"/>
          <w:szCs w:val="28"/>
        </w:rPr>
        <w:t>：广西壮族自治区钦州钦北公路养护中心2026年普通国省干线公路安全设施精细化提升工程（G210满都拉至防城港K3543+900～K3552+678段）</w:t>
      </w:r>
    </w:p>
    <w:p w14:paraId="34EDD18A">
      <w:pPr>
        <w:snapToGrid w:val="0"/>
        <w:spacing w:line="360" w:lineRule="auto"/>
        <w:ind w:firstLine="801" w:firstLineChars="300"/>
        <w:rPr>
          <w:rFonts w:hint="eastAsia" w:ascii="宋体" w:hAnsi="宋体" w:eastAsia="宋体" w:cs="宋体"/>
          <w:b/>
          <w:bCs/>
          <w:color w:val="auto"/>
          <w:sz w:val="28"/>
          <w:szCs w:val="28"/>
        </w:rPr>
      </w:pPr>
      <w:r>
        <w:rPr>
          <w:rFonts w:hint="eastAsia" w:ascii="宋体" w:hAnsi="宋体" w:eastAsia="宋体" w:cs="宋体"/>
          <w:b/>
          <w:bCs/>
          <w:color w:val="auto"/>
          <w:w w:val="95"/>
          <w:sz w:val="28"/>
          <w:szCs w:val="28"/>
        </w:rPr>
        <w:t>项目</w:t>
      </w:r>
      <w:r>
        <w:rPr>
          <w:rFonts w:hint="eastAsia" w:ascii="宋体" w:hAnsi="宋体" w:eastAsia="宋体" w:cs="宋体"/>
          <w:b/>
          <w:bCs/>
          <w:color w:val="auto"/>
          <w:sz w:val="28"/>
          <w:szCs w:val="28"/>
        </w:rPr>
        <w:t>编号</w:t>
      </w:r>
      <w:r>
        <w:rPr>
          <w:rFonts w:hint="eastAsia" w:ascii="宋体" w:hAnsi="宋体" w:eastAsia="宋体" w:cs="宋体"/>
          <w:b/>
          <w:bCs/>
          <w:color w:val="auto"/>
          <w:w w:val="95"/>
          <w:sz w:val="28"/>
          <w:szCs w:val="28"/>
        </w:rPr>
        <w:t xml:space="preserve"> ：</w:t>
      </w:r>
      <w:r>
        <w:rPr>
          <w:rFonts w:hint="eastAsia" w:ascii="宋体" w:hAnsi="宋体" w:eastAsia="宋体" w:cs="宋体"/>
          <w:b/>
          <w:bCs/>
          <w:i w:val="0"/>
          <w:iCs w:val="0"/>
          <w:caps w:val="0"/>
          <w:color w:val="auto"/>
          <w:spacing w:val="0"/>
          <w:sz w:val="28"/>
          <w:szCs w:val="28"/>
          <w:shd w:val="clear" w:fill="FFFFFF"/>
        </w:rPr>
        <w:t>GXZC2026-C2-001822-GZJY</w:t>
      </w:r>
    </w:p>
    <w:p w14:paraId="7F913BF3">
      <w:pPr>
        <w:pStyle w:val="28"/>
        <w:snapToGrid w:val="0"/>
        <w:spacing w:line="360" w:lineRule="auto"/>
        <w:ind w:firstLine="843" w:firstLineChars="300"/>
        <w:rPr>
          <w:rFonts w:hAnsi="宋体" w:cs="宋体"/>
          <w:b/>
          <w:bCs/>
          <w:color w:val="auto"/>
          <w:sz w:val="28"/>
          <w:szCs w:val="28"/>
        </w:rPr>
      </w:pPr>
    </w:p>
    <w:p w14:paraId="00721E0C">
      <w:pPr>
        <w:pStyle w:val="28"/>
        <w:snapToGrid w:val="0"/>
        <w:spacing w:line="360" w:lineRule="auto"/>
        <w:ind w:firstLine="843" w:firstLineChars="300"/>
        <w:rPr>
          <w:rFonts w:hAnsi="宋体" w:cs="宋体"/>
          <w:b/>
          <w:bCs/>
          <w:color w:val="auto"/>
          <w:sz w:val="28"/>
          <w:szCs w:val="28"/>
        </w:rPr>
      </w:pPr>
      <w:r>
        <w:rPr>
          <w:rFonts w:hint="eastAsia" w:hAnsi="宋体" w:cs="宋体"/>
          <w:b/>
          <w:bCs/>
          <w:color w:val="auto"/>
          <w:sz w:val="28"/>
          <w:szCs w:val="28"/>
        </w:rPr>
        <w:t>采购人：广西壮族自治区钦州钦北公路养护中心</w:t>
      </w:r>
    </w:p>
    <w:p w14:paraId="1DB45F33">
      <w:pPr>
        <w:pStyle w:val="28"/>
        <w:snapToGrid w:val="0"/>
        <w:spacing w:line="360" w:lineRule="auto"/>
        <w:ind w:firstLine="843" w:firstLineChars="300"/>
        <w:rPr>
          <w:rFonts w:hAnsi="宋体" w:cs="宋体"/>
          <w:b/>
          <w:bCs/>
          <w:color w:val="auto"/>
          <w:sz w:val="28"/>
          <w:szCs w:val="28"/>
        </w:rPr>
      </w:pPr>
    </w:p>
    <w:p w14:paraId="0F5951F2">
      <w:pPr>
        <w:pStyle w:val="28"/>
        <w:snapToGrid w:val="0"/>
        <w:spacing w:line="360" w:lineRule="auto"/>
        <w:ind w:firstLine="843" w:firstLineChars="300"/>
        <w:rPr>
          <w:rFonts w:hAnsi="宋体" w:cs="宋体"/>
          <w:b/>
          <w:bCs/>
          <w:color w:val="auto"/>
          <w:sz w:val="28"/>
          <w:szCs w:val="28"/>
        </w:rPr>
      </w:pPr>
      <w:r>
        <w:rPr>
          <w:rFonts w:hint="eastAsia" w:hAnsi="宋体" w:cs="宋体"/>
          <w:b/>
          <w:bCs/>
          <w:color w:val="auto"/>
          <w:sz w:val="28"/>
          <w:szCs w:val="28"/>
        </w:rPr>
        <w:t xml:space="preserve">采购代理机构：国正聚源工程咨询集团有限公司  </w:t>
      </w:r>
    </w:p>
    <w:p w14:paraId="1CCDFD37">
      <w:pPr>
        <w:pStyle w:val="28"/>
        <w:snapToGrid w:val="0"/>
        <w:spacing w:line="360" w:lineRule="auto"/>
        <w:rPr>
          <w:rFonts w:hAnsi="宋体" w:cs="宋体"/>
          <w:b/>
          <w:bCs/>
          <w:color w:val="auto"/>
          <w:w w:val="95"/>
          <w:sz w:val="30"/>
          <w:szCs w:val="30"/>
        </w:rPr>
      </w:pPr>
    </w:p>
    <w:p w14:paraId="63C7DAB8">
      <w:pPr>
        <w:pStyle w:val="28"/>
        <w:snapToGrid w:val="0"/>
        <w:spacing w:line="360" w:lineRule="auto"/>
        <w:jc w:val="center"/>
        <w:rPr>
          <w:rFonts w:hAnsi="宋体" w:cs="宋体"/>
          <w:b/>
          <w:bCs/>
          <w:color w:val="auto"/>
          <w:szCs w:val="20"/>
        </w:rPr>
      </w:pPr>
      <w:r>
        <w:rPr>
          <w:rFonts w:hint="eastAsia" w:hAnsi="宋体" w:cs="宋体"/>
          <w:b/>
          <w:bCs/>
          <w:color w:val="auto"/>
          <w:w w:val="95"/>
          <w:sz w:val="30"/>
          <w:szCs w:val="30"/>
        </w:rPr>
        <w:t>2026年06月</w:t>
      </w:r>
    </w:p>
    <w:p w14:paraId="63A32FD8">
      <w:pPr>
        <w:spacing w:line="440" w:lineRule="exact"/>
        <w:jc w:val="center"/>
        <w:rPr>
          <w:rFonts w:ascii="宋体" w:hAnsi="宋体" w:cs="宋体"/>
          <w:b/>
          <w:color w:val="auto"/>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587" w:header="851" w:footer="992" w:gutter="0"/>
          <w:pgNumType w:start="0"/>
          <w:cols w:space="720" w:num="1"/>
          <w:titlePg/>
          <w:docGrid w:type="lines" w:linePitch="312" w:charSpace="0"/>
        </w:sectPr>
      </w:pPr>
    </w:p>
    <w:p w14:paraId="2C5FF5A3">
      <w:pPr>
        <w:spacing w:line="440" w:lineRule="exact"/>
        <w:jc w:val="center"/>
        <w:rPr>
          <w:rFonts w:ascii="宋体" w:hAnsi="宋体" w:cs="宋体"/>
          <w:b/>
          <w:color w:val="auto"/>
          <w:sz w:val="44"/>
          <w:szCs w:val="44"/>
        </w:rPr>
      </w:pPr>
      <w:r>
        <w:rPr>
          <w:rFonts w:hint="eastAsia" w:ascii="宋体" w:hAnsi="宋体" w:cs="宋体"/>
          <w:b/>
          <w:color w:val="auto"/>
          <w:sz w:val="44"/>
          <w:szCs w:val="44"/>
        </w:rPr>
        <w:t>目  录</w:t>
      </w:r>
    </w:p>
    <w:p w14:paraId="5A106DA1">
      <w:pPr>
        <w:spacing w:line="360" w:lineRule="auto"/>
        <w:jc w:val="center"/>
        <w:rPr>
          <w:rFonts w:ascii="微软雅黑" w:hAnsi="微软雅黑" w:eastAsia="微软雅黑" w:cs="微软雅黑"/>
          <w:b/>
          <w:color w:val="auto"/>
          <w:sz w:val="28"/>
          <w:szCs w:val="28"/>
        </w:rPr>
      </w:pPr>
    </w:p>
    <w:p w14:paraId="276DBBAB">
      <w:pPr>
        <w:pStyle w:val="35"/>
        <w:tabs>
          <w:tab w:val="right" w:leader="dot" w:pos="8879"/>
        </w:tabs>
        <w:spacing w:line="360" w:lineRule="auto"/>
        <w:rPr>
          <w:rFonts w:ascii="宋体" w:hAnsi="宋体" w:cs="宋体"/>
          <w:b/>
          <w:bCs/>
          <w:color w:val="auto"/>
          <w:sz w:val="28"/>
          <w:szCs w:val="28"/>
        </w:rPr>
      </w:pPr>
      <w:r>
        <w:rPr>
          <w:rFonts w:hint="eastAsia" w:ascii="微软雅黑" w:hAnsi="微软雅黑" w:eastAsia="微软雅黑" w:cs="微软雅黑"/>
          <w:color w:val="auto"/>
          <w:sz w:val="28"/>
          <w:szCs w:val="28"/>
        </w:rPr>
        <w:fldChar w:fldCharType="begin"/>
      </w:r>
      <w:r>
        <w:rPr>
          <w:rFonts w:hint="eastAsia" w:ascii="微软雅黑" w:hAnsi="微软雅黑" w:eastAsia="微软雅黑" w:cs="微软雅黑"/>
          <w:color w:val="auto"/>
          <w:sz w:val="28"/>
          <w:szCs w:val="28"/>
        </w:rPr>
        <w:instrText xml:space="preserve">TOC \o "1-3" \h \z \u</w:instrText>
      </w:r>
      <w:r>
        <w:rPr>
          <w:rFonts w:hint="eastAsia" w:ascii="微软雅黑" w:hAnsi="微软雅黑" w:eastAsia="微软雅黑" w:cs="微软雅黑"/>
          <w:color w:val="auto"/>
          <w:sz w:val="28"/>
          <w:szCs w:val="28"/>
        </w:rPr>
        <w:fldChar w:fldCharType="separate"/>
      </w:r>
      <w:r>
        <w:rPr>
          <w:color w:val="auto"/>
        </w:rPr>
        <w:fldChar w:fldCharType="begin"/>
      </w:r>
      <w:r>
        <w:rPr>
          <w:color w:val="auto"/>
        </w:rPr>
        <w:instrText xml:space="preserve"> HYPERLINK \l "_Toc5863" </w:instrText>
      </w:r>
      <w:r>
        <w:rPr>
          <w:color w:val="auto"/>
        </w:rPr>
        <w:fldChar w:fldCharType="separate"/>
      </w:r>
      <w:r>
        <w:rPr>
          <w:rFonts w:hint="eastAsia" w:ascii="宋体" w:hAnsi="宋体" w:cs="宋体"/>
          <w:b/>
          <w:bCs/>
          <w:color w:val="auto"/>
          <w:sz w:val="28"/>
          <w:szCs w:val="28"/>
        </w:rPr>
        <w:t>第一章</w:t>
      </w:r>
      <w:r>
        <w:rPr>
          <w:rFonts w:hint="eastAsia" w:ascii="宋体" w:hAnsi="宋体" w:cs="宋体"/>
          <w:b/>
          <w:bCs/>
          <w:color w:val="auto"/>
          <w:sz w:val="28"/>
          <w:szCs w:val="28"/>
          <w:lang w:val="en-US" w:eastAsia="zh-CN"/>
        </w:rPr>
        <w:t xml:space="preserve"> </w:t>
      </w:r>
      <w:r>
        <w:rPr>
          <w:rFonts w:hint="eastAsia" w:ascii="宋体" w:hAnsi="宋体" w:cs="宋体"/>
          <w:b/>
          <w:bCs/>
          <w:color w:val="auto"/>
          <w:sz w:val="28"/>
          <w:szCs w:val="28"/>
        </w:rPr>
        <w:t>竞争性磋商公告</w:t>
      </w:r>
      <w:r>
        <w:rPr>
          <w:rFonts w:hint="eastAsia" w:ascii="宋体" w:hAnsi="宋体" w:cs="宋体"/>
          <w:b/>
          <w:bCs/>
          <w:color w:val="auto"/>
          <w:sz w:val="28"/>
          <w:szCs w:val="28"/>
        </w:rPr>
        <w:tab/>
      </w:r>
      <w:r>
        <w:rPr>
          <w:rFonts w:hint="eastAsia" w:ascii="宋体" w:hAnsi="宋体" w:cs="宋体"/>
          <w:b/>
          <w:bCs/>
          <w:color w:val="auto"/>
          <w:sz w:val="28"/>
          <w:szCs w:val="28"/>
        </w:rPr>
        <w:fldChar w:fldCharType="begin"/>
      </w:r>
      <w:r>
        <w:rPr>
          <w:rFonts w:hint="eastAsia" w:ascii="宋体" w:hAnsi="宋体" w:cs="宋体"/>
          <w:b/>
          <w:bCs/>
          <w:color w:val="auto"/>
          <w:sz w:val="28"/>
          <w:szCs w:val="28"/>
        </w:rPr>
        <w:instrText xml:space="preserve"> PAGEREF _Toc5863 \h </w:instrText>
      </w:r>
      <w:r>
        <w:rPr>
          <w:rFonts w:hint="eastAsia" w:ascii="宋体" w:hAnsi="宋体" w:cs="宋体"/>
          <w:b/>
          <w:bCs/>
          <w:color w:val="auto"/>
          <w:sz w:val="28"/>
          <w:szCs w:val="28"/>
        </w:rPr>
        <w:fldChar w:fldCharType="separate"/>
      </w:r>
      <w:r>
        <w:rPr>
          <w:rFonts w:hint="eastAsia" w:ascii="宋体" w:hAnsi="宋体" w:cs="宋体"/>
          <w:b/>
          <w:bCs/>
          <w:color w:val="auto"/>
          <w:sz w:val="28"/>
          <w:szCs w:val="28"/>
        </w:rPr>
        <w:t>2</w:t>
      </w:r>
      <w:r>
        <w:rPr>
          <w:rFonts w:hint="eastAsia" w:ascii="宋体" w:hAnsi="宋体" w:cs="宋体"/>
          <w:b/>
          <w:bCs/>
          <w:color w:val="auto"/>
          <w:sz w:val="28"/>
          <w:szCs w:val="28"/>
        </w:rPr>
        <w:fldChar w:fldCharType="end"/>
      </w:r>
      <w:r>
        <w:rPr>
          <w:rFonts w:hint="eastAsia" w:ascii="宋体" w:hAnsi="宋体" w:cs="宋体"/>
          <w:b/>
          <w:bCs/>
          <w:color w:val="auto"/>
          <w:sz w:val="28"/>
          <w:szCs w:val="28"/>
        </w:rPr>
        <w:fldChar w:fldCharType="end"/>
      </w:r>
    </w:p>
    <w:p w14:paraId="7A6440ED">
      <w:pPr>
        <w:pStyle w:val="35"/>
        <w:tabs>
          <w:tab w:val="right" w:leader="dot" w:pos="8879"/>
        </w:tabs>
        <w:spacing w:line="360" w:lineRule="auto"/>
        <w:rPr>
          <w:rFonts w:ascii="宋体" w:hAnsi="宋体" w:cs="宋体"/>
          <w:b/>
          <w:bCs/>
          <w:color w:val="auto"/>
          <w:sz w:val="28"/>
          <w:szCs w:val="28"/>
        </w:rPr>
      </w:pPr>
      <w:r>
        <w:rPr>
          <w:color w:val="auto"/>
        </w:rPr>
        <w:fldChar w:fldCharType="begin"/>
      </w:r>
      <w:r>
        <w:rPr>
          <w:color w:val="auto"/>
        </w:rPr>
        <w:instrText xml:space="preserve"> HYPERLINK \l "_Toc24459" </w:instrText>
      </w:r>
      <w:r>
        <w:rPr>
          <w:color w:val="auto"/>
        </w:rPr>
        <w:fldChar w:fldCharType="separate"/>
      </w:r>
      <w:r>
        <w:rPr>
          <w:rFonts w:hint="eastAsia" w:ascii="宋体" w:hAnsi="宋体" w:cs="宋体"/>
          <w:b/>
          <w:bCs/>
          <w:color w:val="auto"/>
          <w:sz w:val="28"/>
          <w:szCs w:val="28"/>
        </w:rPr>
        <w:t>第二章</w:t>
      </w:r>
      <w:r>
        <w:rPr>
          <w:rFonts w:hint="eastAsia" w:ascii="宋体" w:hAnsi="宋体" w:cs="宋体"/>
          <w:b/>
          <w:bCs/>
          <w:color w:val="auto"/>
          <w:sz w:val="28"/>
          <w:szCs w:val="28"/>
          <w:lang w:val="en-US" w:eastAsia="zh-CN"/>
        </w:rPr>
        <w:t xml:space="preserve"> </w:t>
      </w:r>
      <w:r>
        <w:rPr>
          <w:rFonts w:hint="eastAsia" w:ascii="宋体" w:hAnsi="宋体" w:cs="宋体"/>
          <w:b/>
          <w:bCs/>
          <w:color w:val="auto"/>
          <w:sz w:val="28"/>
          <w:szCs w:val="28"/>
        </w:rPr>
        <w:t>供应商须知</w:t>
      </w:r>
      <w:r>
        <w:rPr>
          <w:rFonts w:hint="eastAsia" w:ascii="宋体" w:hAnsi="宋体" w:cs="宋体"/>
          <w:b/>
          <w:bCs/>
          <w:color w:val="auto"/>
          <w:sz w:val="28"/>
          <w:szCs w:val="28"/>
        </w:rPr>
        <w:tab/>
      </w:r>
      <w:r>
        <w:rPr>
          <w:rFonts w:hint="eastAsia" w:ascii="宋体" w:hAnsi="宋体" w:cs="宋体"/>
          <w:b/>
          <w:bCs/>
          <w:color w:val="auto"/>
          <w:sz w:val="28"/>
          <w:szCs w:val="28"/>
          <w:lang w:val="en-US" w:eastAsia="zh-CN"/>
        </w:rPr>
        <w:t>6</w:t>
      </w:r>
      <w:r>
        <w:rPr>
          <w:rFonts w:hint="eastAsia" w:ascii="宋体" w:hAnsi="宋体" w:cs="宋体"/>
          <w:b/>
          <w:bCs/>
          <w:color w:val="auto"/>
          <w:sz w:val="28"/>
          <w:szCs w:val="28"/>
        </w:rPr>
        <w:fldChar w:fldCharType="end"/>
      </w:r>
    </w:p>
    <w:p w14:paraId="0B3C3977">
      <w:pPr>
        <w:pStyle w:val="35"/>
        <w:tabs>
          <w:tab w:val="right" w:leader="dot" w:pos="8879"/>
        </w:tabs>
        <w:spacing w:line="360" w:lineRule="auto"/>
        <w:rPr>
          <w:rFonts w:ascii="宋体" w:hAnsi="宋体" w:cs="宋体"/>
          <w:b/>
          <w:bCs/>
          <w:color w:val="auto"/>
          <w:sz w:val="28"/>
          <w:szCs w:val="28"/>
        </w:rPr>
      </w:pPr>
      <w:r>
        <w:rPr>
          <w:color w:val="auto"/>
        </w:rPr>
        <w:fldChar w:fldCharType="begin"/>
      </w:r>
      <w:r>
        <w:rPr>
          <w:color w:val="auto"/>
        </w:rPr>
        <w:instrText xml:space="preserve"> HYPERLINK \l "_Toc21668" </w:instrText>
      </w:r>
      <w:r>
        <w:rPr>
          <w:color w:val="auto"/>
        </w:rPr>
        <w:fldChar w:fldCharType="separate"/>
      </w:r>
      <w:r>
        <w:rPr>
          <w:rFonts w:hint="eastAsia" w:ascii="宋体" w:hAnsi="宋体" w:cs="宋体"/>
          <w:b/>
          <w:bCs/>
          <w:color w:val="auto"/>
          <w:sz w:val="28"/>
          <w:szCs w:val="28"/>
        </w:rPr>
        <w:t>第三章 采购需求</w:t>
      </w:r>
      <w:r>
        <w:rPr>
          <w:rFonts w:hint="eastAsia" w:ascii="宋体" w:hAnsi="宋体" w:cs="宋体"/>
          <w:b/>
          <w:bCs/>
          <w:color w:val="auto"/>
          <w:sz w:val="28"/>
          <w:szCs w:val="28"/>
        </w:rPr>
        <w:tab/>
      </w:r>
      <w:r>
        <w:rPr>
          <w:rFonts w:hint="eastAsia" w:ascii="宋体" w:hAnsi="宋体" w:cs="宋体"/>
          <w:b/>
          <w:bCs/>
          <w:color w:val="auto"/>
          <w:sz w:val="28"/>
          <w:szCs w:val="28"/>
          <w:lang w:val="en-US" w:eastAsia="zh-CN"/>
        </w:rPr>
        <w:t>2</w:t>
      </w:r>
      <w:r>
        <w:rPr>
          <w:rFonts w:hint="eastAsia" w:ascii="宋体" w:hAnsi="宋体" w:cs="宋体"/>
          <w:b/>
          <w:bCs/>
          <w:color w:val="auto"/>
          <w:sz w:val="28"/>
          <w:szCs w:val="28"/>
        </w:rPr>
        <w:fldChar w:fldCharType="end"/>
      </w:r>
      <w:r>
        <w:rPr>
          <w:rFonts w:hint="eastAsia" w:ascii="宋体" w:hAnsi="宋体" w:cs="宋体"/>
          <w:b/>
          <w:bCs/>
          <w:color w:val="auto"/>
          <w:sz w:val="28"/>
          <w:szCs w:val="28"/>
          <w:lang w:val="en-US" w:eastAsia="zh-CN"/>
        </w:rPr>
        <w:t>9</w:t>
      </w:r>
    </w:p>
    <w:p w14:paraId="4AB12968">
      <w:pPr>
        <w:pStyle w:val="35"/>
        <w:tabs>
          <w:tab w:val="right" w:leader="dot" w:pos="8879"/>
        </w:tabs>
        <w:spacing w:line="360" w:lineRule="auto"/>
        <w:rPr>
          <w:rFonts w:hint="eastAsia" w:ascii="宋体" w:hAnsi="宋体" w:eastAsia="宋体" w:cs="宋体"/>
          <w:b/>
          <w:bCs/>
          <w:color w:val="auto"/>
          <w:sz w:val="28"/>
          <w:szCs w:val="28"/>
          <w:lang w:eastAsia="zh-CN"/>
        </w:rPr>
      </w:pPr>
      <w:r>
        <w:rPr>
          <w:color w:val="auto"/>
        </w:rPr>
        <w:fldChar w:fldCharType="begin"/>
      </w:r>
      <w:r>
        <w:rPr>
          <w:color w:val="auto"/>
        </w:rPr>
        <w:instrText xml:space="preserve"> HYPERLINK \l "_Toc28285" </w:instrText>
      </w:r>
      <w:r>
        <w:rPr>
          <w:color w:val="auto"/>
        </w:rPr>
        <w:fldChar w:fldCharType="separate"/>
      </w:r>
      <w:r>
        <w:rPr>
          <w:rFonts w:hint="eastAsia" w:ascii="宋体" w:hAnsi="宋体" w:cs="宋体"/>
          <w:b/>
          <w:bCs/>
          <w:color w:val="auto"/>
          <w:sz w:val="28"/>
          <w:szCs w:val="28"/>
        </w:rPr>
        <w:t>第四章 评审程序、评审方法和评审标准</w:t>
      </w:r>
      <w:r>
        <w:rPr>
          <w:rFonts w:hint="eastAsia" w:ascii="宋体" w:hAnsi="宋体" w:cs="宋体"/>
          <w:b/>
          <w:bCs/>
          <w:color w:val="auto"/>
          <w:sz w:val="28"/>
          <w:szCs w:val="28"/>
        </w:rPr>
        <w:tab/>
      </w:r>
      <w:r>
        <w:rPr>
          <w:rFonts w:hint="eastAsia" w:ascii="宋体" w:hAnsi="宋体" w:cs="宋体"/>
          <w:b/>
          <w:bCs/>
          <w:color w:val="auto"/>
          <w:sz w:val="28"/>
          <w:szCs w:val="28"/>
        </w:rPr>
        <w:t>3</w:t>
      </w:r>
      <w:r>
        <w:rPr>
          <w:rFonts w:hint="eastAsia" w:ascii="宋体" w:hAnsi="宋体" w:cs="宋体"/>
          <w:b/>
          <w:bCs/>
          <w:color w:val="auto"/>
          <w:sz w:val="28"/>
          <w:szCs w:val="28"/>
        </w:rPr>
        <w:fldChar w:fldCharType="end"/>
      </w:r>
      <w:r>
        <w:rPr>
          <w:rFonts w:hint="eastAsia" w:ascii="宋体" w:hAnsi="宋体" w:cs="宋体"/>
          <w:b/>
          <w:bCs/>
          <w:color w:val="auto"/>
          <w:sz w:val="28"/>
          <w:szCs w:val="28"/>
          <w:lang w:val="en-US" w:eastAsia="zh-CN"/>
        </w:rPr>
        <w:t>2</w:t>
      </w:r>
    </w:p>
    <w:p w14:paraId="1ECA820E">
      <w:pPr>
        <w:pStyle w:val="35"/>
        <w:tabs>
          <w:tab w:val="right" w:leader="dot" w:pos="8879"/>
        </w:tabs>
        <w:spacing w:line="360" w:lineRule="auto"/>
        <w:rPr>
          <w:rFonts w:hint="eastAsia" w:ascii="宋体" w:hAnsi="宋体" w:eastAsia="宋体" w:cs="宋体"/>
          <w:b/>
          <w:bCs/>
          <w:color w:val="auto"/>
          <w:sz w:val="28"/>
          <w:szCs w:val="28"/>
          <w:lang w:eastAsia="zh-CN"/>
        </w:rPr>
      </w:pPr>
      <w:r>
        <w:rPr>
          <w:color w:val="auto"/>
        </w:rPr>
        <w:fldChar w:fldCharType="begin"/>
      </w:r>
      <w:r>
        <w:rPr>
          <w:color w:val="auto"/>
        </w:rPr>
        <w:instrText xml:space="preserve"> HYPERLINK \l "_Toc17142" </w:instrText>
      </w:r>
      <w:r>
        <w:rPr>
          <w:color w:val="auto"/>
        </w:rPr>
        <w:fldChar w:fldCharType="separate"/>
      </w:r>
      <w:r>
        <w:rPr>
          <w:rFonts w:hint="eastAsia" w:ascii="宋体" w:hAnsi="宋体" w:cs="宋体"/>
          <w:b/>
          <w:bCs/>
          <w:color w:val="auto"/>
          <w:sz w:val="28"/>
          <w:szCs w:val="28"/>
        </w:rPr>
        <w:t>第五章</w:t>
      </w:r>
      <w:r>
        <w:rPr>
          <w:rFonts w:hint="eastAsia" w:ascii="宋体" w:hAnsi="宋体" w:cs="宋体"/>
          <w:b/>
          <w:bCs/>
          <w:color w:val="auto"/>
          <w:sz w:val="28"/>
          <w:szCs w:val="28"/>
          <w:lang w:val="en-US" w:eastAsia="zh-CN"/>
        </w:rPr>
        <w:t xml:space="preserve"> </w:t>
      </w:r>
      <w:r>
        <w:rPr>
          <w:rFonts w:hint="eastAsia" w:ascii="宋体" w:hAnsi="宋体" w:cs="宋体"/>
          <w:b/>
          <w:bCs/>
          <w:color w:val="auto"/>
          <w:sz w:val="28"/>
          <w:szCs w:val="28"/>
        </w:rPr>
        <w:t>工程量清单及图纸（另附）</w:t>
      </w:r>
      <w:r>
        <w:rPr>
          <w:rFonts w:hint="eastAsia" w:ascii="宋体" w:hAnsi="宋体" w:cs="宋体"/>
          <w:b/>
          <w:bCs/>
          <w:color w:val="auto"/>
          <w:sz w:val="28"/>
          <w:szCs w:val="28"/>
        </w:rPr>
        <w:tab/>
      </w:r>
      <w:r>
        <w:rPr>
          <w:rFonts w:hint="eastAsia" w:ascii="宋体" w:hAnsi="宋体" w:cs="宋体"/>
          <w:b/>
          <w:bCs/>
          <w:color w:val="auto"/>
          <w:sz w:val="28"/>
          <w:szCs w:val="28"/>
        </w:rPr>
        <w:t>4</w:t>
      </w:r>
      <w:r>
        <w:rPr>
          <w:rFonts w:hint="eastAsia" w:ascii="宋体" w:hAnsi="宋体" w:cs="宋体"/>
          <w:b/>
          <w:bCs/>
          <w:color w:val="auto"/>
          <w:sz w:val="28"/>
          <w:szCs w:val="28"/>
        </w:rPr>
        <w:fldChar w:fldCharType="end"/>
      </w:r>
      <w:r>
        <w:rPr>
          <w:rFonts w:hint="eastAsia" w:ascii="宋体" w:hAnsi="宋体" w:cs="宋体"/>
          <w:b/>
          <w:bCs/>
          <w:color w:val="auto"/>
          <w:sz w:val="28"/>
          <w:szCs w:val="28"/>
          <w:lang w:val="en-US" w:eastAsia="zh-CN"/>
        </w:rPr>
        <w:t>4</w:t>
      </w:r>
    </w:p>
    <w:p w14:paraId="43A3340E">
      <w:pPr>
        <w:pStyle w:val="35"/>
        <w:tabs>
          <w:tab w:val="right" w:leader="dot" w:pos="8879"/>
        </w:tabs>
        <w:spacing w:line="360" w:lineRule="auto"/>
        <w:rPr>
          <w:rFonts w:ascii="宋体" w:hAnsi="宋体" w:cs="宋体"/>
          <w:b/>
          <w:bCs/>
          <w:color w:val="auto"/>
          <w:sz w:val="28"/>
          <w:szCs w:val="28"/>
        </w:rPr>
      </w:pPr>
      <w:r>
        <w:rPr>
          <w:color w:val="auto"/>
        </w:rPr>
        <w:fldChar w:fldCharType="begin"/>
      </w:r>
      <w:r>
        <w:rPr>
          <w:color w:val="auto"/>
        </w:rPr>
        <w:instrText xml:space="preserve"> HYPERLINK \l "_Toc30516" </w:instrText>
      </w:r>
      <w:r>
        <w:rPr>
          <w:color w:val="auto"/>
        </w:rPr>
        <w:fldChar w:fldCharType="separate"/>
      </w:r>
      <w:r>
        <w:rPr>
          <w:rFonts w:hint="eastAsia" w:ascii="宋体" w:hAnsi="宋体" w:cs="宋体"/>
          <w:b/>
          <w:bCs/>
          <w:color w:val="auto"/>
          <w:sz w:val="28"/>
          <w:szCs w:val="28"/>
        </w:rPr>
        <w:t>第六章</w:t>
      </w:r>
      <w:r>
        <w:rPr>
          <w:rFonts w:hint="eastAsia" w:ascii="宋体" w:hAnsi="宋体" w:cs="宋体"/>
          <w:b/>
          <w:bCs/>
          <w:color w:val="auto"/>
          <w:sz w:val="28"/>
          <w:szCs w:val="28"/>
          <w:lang w:val="en-US" w:eastAsia="zh-CN"/>
        </w:rPr>
        <w:t xml:space="preserve"> </w:t>
      </w:r>
      <w:r>
        <w:rPr>
          <w:rFonts w:hint="eastAsia" w:ascii="宋体" w:hAnsi="宋体" w:cs="宋体"/>
          <w:b/>
          <w:bCs/>
          <w:color w:val="auto"/>
          <w:sz w:val="28"/>
          <w:szCs w:val="28"/>
        </w:rPr>
        <w:t>响应文件格式</w:t>
      </w:r>
      <w:r>
        <w:rPr>
          <w:rFonts w:hint="eastAsia" w:ascii="宋体" w:hAnsi="宋体" w:cs="宋体"/>
          <w:b/>
          <w:bCs/>
          <w:color w:val="auto"/>
          <w:sz w:val="28"/>
          <w:szCs w:val="28"/>
        </w:rPr>
        <w:tab/>
      </w:r>
      <w:r>
        <w:rPr>
          <w:rFonts w:hint="eastAsia" w:ascii="宋体" w:hAnsi="宋体" w:cs="宋体"/>
          <w:b/>
          <w:bCs/>
          <w:color w:val="auto"/>
          <w:sz w:val="28"/>
          <w:szCs w:val="28"/>
        </w:rPr>
        <w:fldChar w:fldCharType="begin"/>
      </w:r>
      <w:r>
        <w:rPr>
          <w:rFonts w:hint="eastAsia" w:ascii="宋体" w:hAnsi="宋体" w:cs="宋体"/>
          <w:b/>
          <w:bCs/>
          <w:color w:val="auto"/>
          <w:sz w:val="28"/>
          <w:szCs w:val="28"/>
        </w:rPr>
        <w:instrText xml:space="preserve"> PAGEREF _Toc30516 \h </w:instrText>
      </w:r>
      <w:r>
        <w:rPr>
          <w:rFonts w:hint="eastAsia" w:ascii="宋体" w:hAnsi="宋体" w:cs="宋体"/>
          <w:b/>
          <w:bCs/>
          <w:color w:val="auto"/>
          <w:sz w:val="28"/>
          <w:szCs w:val="28"/>
        </w:rPr>
        <w:fldChar w:fldCharType="separate"/>
      </w:r>
      <w:r>
        <w:rPr>
          <w:rFonts w:hint="eastAsia" w:ascii="宋体" w:hAnsi="宋体" w:cs="宋体"/>
          <w:b/>
          <w:bCs/>
          <w:color w:val="auto"/>
          <w:sz w:val="28"/>
          <w:szCs w:val="28"/>
        </w:rPr>
        <w:t>45</w:t>
      </w:r>
      <w:r>
        <w:rPr>
          <w:rFonts w:hint="eastAsia" w:ascii="宋体" w:hAnsi="宋体" w:cs="宋体"/>
          <w:b/>
          <w:bCs/>
          <w:color w:val="auto"/>
          <w:sz w:val="28"/>
          <w:szCs w:val="28"/>
        </w:rPr>
        <w:fldChar w:fldCharType="end"/>
      </w:r>
      <w:r>
        <w:rPr>
          <w:rFonts w:hint="eastAsia" w:ascii="宋体" w:hAnsi="宋体" w:cs="宋体"/>
          <w:b/>
          <w:bCs/>
          <w:color w:val="auto"/>
          <w:sz w:val="28"/>
          <w:szCs w:val="28"/>
        </w:rPr>
        <w:fldChar w:fldCharType="end"/>
      </w:r>
    </w:p>
    <w:p w14:paraId="1D367632">
      <w:pPr>
        <w:pStyle w:val="40"/>
        <w:tabs>
          <w:tab w:val="right" w:leader="dot" w:pos="8879"/>
          <w:tab w:val="clear" w:pos="8296"/>
        </w:tabs>
        <w:spacing w:line="360" w:lineRule="auto"/>
        <w:rPr>
          <w:rFonts w:ascii="宋体" w:hAnsi="宋体" w:cs="宋体"/>
          <w:color w:val="auto"/>
          <w:sz w:val="28"/>
          <w:szCs w:val="28"/>
        </w:rPr>
      </w:pPr>
      <w:r>
        <w:rPr>
          <w:color w:val="auto"/>
        </w:rPr>
        <w:fldChar w:fldCharType="begin"/>
      </w:r>
      <w:r>
        <w:rPr>
          <w:color w:val="auto"/>
        </w:rPr>
        <w:instrText xml:space="preserve"> HYPERLINK \l "_Toc15980" </w:instrText>
      </w:r>
      <w:r>
        <w:rPr>
          <w:color w:val="auto"/>
        </w:rPr>
        <w:fldChar w:fldCharType="separate"/>
      </w:r>
      <w:r>
        <w:rPr>
          <w:rFonts w:hint="eastAsia" w:ascii="宋体" w:hAnsi="宋体" w:cs="宋体"/>
          <w:color w:val="auto"/>
          <w:sz w:val="28"/>
          <w:szCs w:val="28"/>
        </w:rPr>
        <w:t>一、资格证明文件格式</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_Toc15980 \h </w:instrText>
      </w:r>
      <w:r>
        <w:rPr>
          <w:rFonts w:hint="eastAsia" w:ascii="宋体" w:hAnsi="宋体" w:cs="宋体"/>
          <w:color w:val="auto"/>
          <w:sz w:val="28"/>
          <w:szCs w:val="28"/>
        </w:rPr>
        <w:fldChar w:fldCharType="separate"/>
      </w:r>
      <w:r>
        <w:rPr>
          <w:rFonts w:hint="eastAsia" w:ascii="宋体" w:hAnsi="宋体" w:cs="宋体"/>
          <w:color w:val="auto"/>
          <w:sz w:val="28"/>
          <w:szCs w:val="28"/>
        </w:rPr>
        <w:t>45</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4AF67149">
      <w:pPr>
        <w:pStyle w:val="40"/>
        <w:tabs>
          <w:tab w:val="right" w:leader="dot" w:pos="8879"/>
          <w:tab w:val="clear" w:pos="8296"/>
        </w:tabs>
        <w:spacing w:line="360" w:lineRule="auto"/>
        <w:rPr>
          <w:rFonts w:hint="eastAsia" w:ascii="宋体" w:hAnsi="宋体" w:eastAsia="宋体" w:cs="宋体"/>
          <w:color w:val="auto"/>
          <w:sz w:val="28"/>
          <w:szCs w:val="28"/>
          <w:lang w:val="en-US" w:eastAsia="zh-CN"/>
        </w:rPr>
      </w:pPr>
      <w:r>
        <w:rPr>
          <w:color w:val="auto"/>
        </w:rPr>
        <w:fldChar w:fldCharType="begin"/>
      </w:r>
      <w:r>
        <w:rPr>
          <w:color w:val="auto"/>
        </w:rPr>
        <w:instrText xml:space="preserve"> HYPERLINK \l "_Toc4633" </w:instrText>
      </w:r>
      <w:r>
        <w:rPr>
          <w:color w:val="auto"/>
        </w:rPr>
        <w:fldChar w:fldCharType="separate"/>
      </w:r>
      <w:r>
        <w:rPr>
          <w:rFonts w:hint="eastAsia" w:ascii="宋体" w:hAnsi="宋体" w:cs="宋体"/>
          <w:color w:val="auto"/>
          <w:sz w:val="28"/>
          <w:szCs w:val="28"/>
        </w:rPr>
        <w:t>二、报价文件格式</w:t>
      </w:r>
      <w:r>
        <w:rPr>
          <w:rFonts w:hint="eastAsia" w:ascii="宋体" w:hAnsi="宋体" w:cs="宋体"/>
          <w:color w:val="auto"/>
          <w:sz w:val="28"/>
          <w:szCs w:val="28"/>
        </w:rPr>
        <w:tab/>
      </w:r>
      <w:r>
        <w:rPr>
          <w:rFonts w:hint="eastAsia" w:ascii="宋体" w:hAnsi="宋体" w:cs="宋体"/>
          <w:color w:val="auto"/>
          <w:sz w:val="28"/>
          <w:szCs w:val="28"/>
          <w:lang w:val="en-US" w:eastAsia="zh-CN"/>
        </w:rPr>
        <w:t>5</w:t>
      </w:r>
      <w:r>
        <w:rPr>
          <w:rFonts w:hint="eastAsia" w:ascii="宋体" w:hAnsi="宋体" w:cs="宋体"/>
          <w:color w:val="auto"/>
          <w:sz w:val="28"/>
          <w:szCs w:val="28"/>
        </w:rPr>
        <w:fldChar w:fldCharType="end"/>
      </w:r>
      <w:r>
        <w:rPr>
          <w:rFonts w:hint="eastAsia" w:ascii="宋体" w:hAnsi="宋体" w:cs="宋体"/>
          <w:color w:val="auto"/>
          <w:sz w:val="28"/>
          <w:szCs w:val="28"/>
          <w:lang w:val="en-US" w:eastAsia="zh-CN"/>
        </w:rPr>
        <w:t>5</w:t>
      </w:r>
    </w:p>
    <w:p w14:paraId="03A8E0CE">
      <w:pPr>
        <w:pStyle w:val="40"/>
        <w:tabs>
          <w:tab w:val="right" w:leader="dot" w:pos="8879"/>
          <w:tab w:val="clear" w:pos="8296"/>
        </w:tabs>
        <w:spacing w:line="360" w:lineRule="auto"/>
        <w:rPr>
          <w:rFonts w:ascii="宋体" w:hAnsi="宋体" w:cs="宋体"/>
          <w:color w:val="auto"/>
          <w:sz w:val="28"/>
          <w:szCs w:val="28"/>
        </w:rPr>
      </w:pPr>
      <w:r>
        <w:rPr>
          <w:color w:val="auto"/>
        </w:rPr>
        <w:fldChar w:fldCharType="begin"/>
      </w:r>
      <w:r>
        <w:rPr>
          <w:color w:val="auto"/>
        </w:rPr>
        <w:instrText xml:space="preserve"> HYPERLINK \l "_Toc23427" </w:instrText>
      </w:r>
      <w:r>
        <w:rPr>
          <w:color w:val="auto"/>
        </w:rPr>
        <w:fldChar w:fldCharType="separate"/>
      </w:r>
      <w:r>
        <w:rPr>
          <w:rFonts w:hint="eastAsia" w:ascii="宋体" w:hAnsi="宋体" w:cs="宋体"/>
          <w:color w:val="auto"/>
          <w:sz w:val="28"/>
          <w:szCs w:val="28"/>
        </w:rPr>
        <w:t>三、商务技术文件格式</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_Toc23427 \h </w:instrText>
      </w:r>
      <w:r>
        <w:rPr>
          <w:rFonts w:hint="eastAsia" w:ascii="宋体" w:hAnsi="宋体" w:cs="宋体"/>
          <w:color w:val="auto"/>
          <w:sz w:val="28"/>
          <w:szCs w:val="28"/>
        </w:rPr>
        <w:fldChar w:fldCharType="separate"/>
      </w:r>
      <w:r>
        <w:rPr>
          <w:rFonts w:hint="eastAsia" w:ascii="宋体" w:hAnsi="宋体" w:cs="宋体"/>
          <w:color w:val="auto"/>
          <w:sz w:val="28"/>
          <w:szCs w:val="28"/>
        </w:rPr>
        <w:t>61</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61940D34">
      <w:pPr>
        <w:pStyle w:val="35"/>
        <w:tabs>
          <w:tab w:val="right" w:leader="dot" w:pos="8879"/>
        </w:tabs>
        <w:spacing w:line="360" w:lineRule="auto"/>
        <w:rPr>
          <w:rFonts w:hint="default" w:ascii="宋体" w:hAnsi="宋体" w:eastAsia="宋体" w:cs="宋体"/>
          <w:b/>
          <w:bCs/>
          <w:color w:val="auto"/>
          <w:sz w:val="28"/>
          <w:szCs w:val="28"/>
          <w:lang w:val="en-US" w:eastAsia="zh-CN"/>
        </w:rPr>
      </w:pPr>
      <w:r>
        <w:rPr>
          <w:color w:val="auto"/>
        </w:rPr>
        <w:fldChar w:fldCharType="begin"/>
      </w:r>
      <w:r>
        <w:rPr>
          <w:color w:val="auto"/>
        </w:rPr>
        <w:instrText xml:space="preserve"> HYPERLINK \l "_Toc12453" </w:instrText>
      </w:r>
      <w:r>
        <w:rPr>
          <w:color w:val="auto"/>
        </w:rPr>
        <w:fldChar w:fldCharType="separate"/>
      </w:r>
      <w:r>
        <w:rPr>
          <w:rFonts w:hint="eastAsia" w:ascii="宋体" w:hAnsi="宋体" w:cs="宋体"/>
          <w:b/>
          <w:bCs/>
          <w:color w:val="auto"/>
          <w:sz w:val="28"/>
          <w:szCs w:val="28"/>
        </w:rPr>
        <w:t>第七章</w:t>
      </w:r>
      <w:r>
        <w:rPr>
          <w:rFonts w:hint="eastAsia" w:ascii="宋体" w:hAnsi="宋体" w:cs="宋体"/>
          <w:b/>
          <w:bCs/>
          <w:color w:val="auto"/>
          <w:sz w:val="28"/>
          <w:szCs w:val="28"/>
          <w:lang w:val="en-US" w:eastAsia="zh-CN"/>
        </w:rPr>
        <w:t xml:space="preserve"> </w:t>
      </w:r>
      <w:r>
        <w:rPr>
          <w:rFonts w:hint="eastAsia" w:ascii="宋体" w:hAnsi="宋体" w:cs="宋体"/>
          <w:b/>
          <w:bCs/>
          <w:color w:val="auto"/>
          <w:sz w:val="28"/>
          <w:szCs w:val="28"/>
        </w:rPr>
        <w:t>合同条款及格式</w:t>
      </w:r>
      <w:r>
        <w:rPr>
          <w:rFonts w:hint="eastAsia" w:ascii="宋体" w:hAnsi="宋体" w:cs="宋体"/>
          <w:b/>
          <w:bCs/>
          <w:color w:val="auto"/>
          <w:sz w:val="28"/>
          <w:szCs w:val="28"/>
        </w:rPr>
        <w:tab/>
      </w:r>
      <w:r>
        <w:rPr>
          <w:rFonts w:hint="eastAsia" w:ascii="宋体" w:hAnsi="宋体" w:cs="宋体"/>
          <w:b/>
          <w:bCs/>
          <w:color w:val="auto"/>
          <w:sz w:val="28"/>
          <w:szCs w:val="28"/>
        </w:rPr>
        <w:fldChar w:fldCharType="end"/>
      </w:r>
      <w:r>
        <w:rPr>
          <w:rFonts w:hint="eastAsia" w:ascii="宋体" w:hAnsi="宋体" w:cs="宋体"/>
          <w:b/>
          <w:bCs/>
          <w:color w:val="auto"/>
          <w:sz w:val="28"/>
          <w:szCs w:val="28"/>
          <w:lang w:val="en-US" w:eastAsia="zh-CN"/>
        </w:rPr>
        <w:t>79</w:t>
      </w:r>
    </w:p>
    <w:p w14:paraId="1C2AA40A">
      <w:pPr>
        <w:pStyle w:val="35"/>
        <w:tabs>
          <w:tab w:val="right" w:leader="dot" w:pos="8879"/>
        </w:tabs>
        <w:spacing w:line="360" w:lineRule="auto"/>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rPr>
        <w:t>第一节  合同协议书.......................................</w:t>
      </w:r>
      <w:r>
        <w:rPr>
          <w:rFonts w:hint="eastAsia" w:ascii="宋体" w:hAnsi="宋体" w:cs="宋体"/>
          <w:color w:val="auto"/>
          <w:sz w:val="28"/>
          <w:szCs w:val="28"/>
          <w:lang w:val="en-US" w:eastAsia="zh-CN"/>
        </w:rPr>
        <w:t>79</w:t>
      </w:r>
    </w:p>
    <w:p w14:paraId="7A4D21BF">
      <w:pPr>
        <w:pStyle w:val="35"/>
        <w:tabs>
          <w:tab w:val="right" w:leader="dot" w:pos="8879"/>
        </w:tabs>
        <w:spacing w:line="360" w:lineRule="auto"/>
        <w:ind w:firstLine="560" w:firstLineChars="200"/>
        <w:rPr>
          <w:rFonts w:hint="eastAsia" w:ascii="宋体" w:hAnsi="宋体" w:eastAsia="宋体" w:cs="宋体"/>
          <w:color w:val="auto"/>
          <w:sz w:val="28"/>
          <w:szCs w:val="28"/>
          <w:lang w:eastAsia="zh-CN"/>
        </w:rPr>
      </w:pPr>
      <w:r>
        <w:rPr>
          <w:rFonts w:hint="eastAsia" w:ascii="宋体" w:hAnsi="宋体" w:cs="宋体"/>
          <w:color w:val="auto"/>
          <w:sz w:val="28"/>
          <w:szCs w:val="28"/>
        </w:rPr>
        <w:t>第二节  通用合同条款.....................................8</w:t>
      </w:r>
      <w:r>
        <w:rPr>
          <w:rFonts w:hint="eastAsia" w:ascii="宋体" w:hAnsi="宋体" w:cs="宋体"/>
          <w:color w:val="auto"/>
          <w:sz w:val="28"/>
          <w:szCs w:val="28"/>
          <w:lang w:val="en-US" w:eastAsia="zh-CN"/>
        </w:rPr>
        <w:t>1</w:t>
      </w:r>
    </w:p>
    <w:p w14:paraId="4450E573">
      <w:pPr>
        <w:pStyle w:val="35"/>
        <w:tabs>
          <w:tab w:val="right" w:leader="dot" w:pos="8879"/>
        </w:tabs>
        <w:spacing w:line="360" w:lineRule="auto"/>
        <w:ind w:firstLine="560" w:firstLineChars="200"/>
        <w:rPr>
          <w:rFonts w:hint="eastAsia" w:ascii="宋体" w:hAnsi="宋体" w:eastAsia="宋体" w:cs="宋体"/>
          <w:color w:val="auto"/>
          <w:sz w:val="28"/>
          <w:szCs w:val="28"/>
          <w:lang w:eastAsia="zh-CN"/>
        </w:rPr>
      </w:pPr>
      <w:r>
        <w:rPr>
          <w:rFonts w:hint="eastAsia" w:ascii="宋体" w:hAnsi="宋体" w:cs="宋体"/>
          <w:color w:val="auto"/>
          <w:sz w:val="28"/>
          <w:szCs w:val="28"/>
        </w:rPr>
        <w:t>第三节 合同附件格式.....................................12</w:t>
      </w:r>
      <w:r>
        <w:rPr>
          <w:rFonts w:hint="eastAsia" w:ascii="宋体" w:hAnsi="宋体" w:cs="宋体"/>
          <w:color w:val="auto"/>
          <w:sz w:val="28"/>
          <w:szCs w:val="28"/>
          <w:lang w:val="en-US" w:eastAsia="zh-CN"/>
        </w:rPr>
        <w:t>4</w:t>
      </w:r>
    </w:p>
    <w:p w14:paraId="149C91C0">
      <w:pPr>
        <w:pStyle w:val="35"/>
        <w:tabs>
          <w:tab w:val="right" w:leader="dot" w:pos="8879"/>
        </w:tabs>
        <w:spacing w:line="360" w:lineRule="auto"/>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rPr>
        <w:t>第四节 专用合同条款.....................................1</w:t>
      </w:r>
      <w:r>
        <w:rPr>
          <w:rFonts w:hint="eastAsia" w:ascii="宋体" w:hAnsi="宋体" w:cs="宋体"/>
          <w:color w:val="auto"/>
          <w:sz w:val="28"/>
          <w:szCs w:val="28"/>
          <w:lang w:val="en-US" w:eastAsia="zh-CN"/>
        </w:rPr>
        <w:t>36</w:t>
      </w:r>
    </w:p>
    <w:p w14:paraId="662152CD">
      <w:pPr>
        <w:pStyle w:val="35"/>
        <w:tabs>
          <w:tab w:val="right" w:leader="dot" w:pos="8879"/>
        </w:tabs>
        <w:spacing w:line="360" w:lineRule="auto"/>
        <w:rPr>
          <w:rFonts w:hint="eastAsia" w:ascii="微软雅黑" w:hAnsi="微软雅黑" w:eastAsia="宋体" w:cs="微软雅黑"/>
          <w:color w:val="auto"/>
          <w:sz w:val="28"/>
          <w:szCs w:val="28"/>
          <w:lang w:eastAsia="zh-CN"/>
        </w:rPr>
      </w:pPr>
      <w:r>
        <w:rPr>
          <w:color w:val="auto"/>
        </w:rPr>
        <w:fldChar w:fldCharType="begin"/>
      </w:r>
      <w:r>
        <w:rPr>
          <w:color w:val="auto"/>
        </w:rPr>
        <w:instrText xml:space="preserve"> HYPERLINK \l "_Toc13734" </w:instrText>
      </w:r>
      <w:r>
        <w:rPr>
          <w:color w:val="auto"/>
        </w:rPr>
        <w:fldChar w:fldCharType="separate"/>
      </w:r>
      <w:r>
        <w:rPr>
          <w:rFonts w:hint="eastAsia" w:ascii="宋体" w:hAnsi="宋体" w:cs="宋体"/>
          <w:b/>
          <w:bCs/>
          <w:color w:val="auto"/>
          <w:sz w:val="28"/>
          <w:szCs w:val="28"/>
        </w:rPr>
        <w:t>第八章 技术标准、规范......................................1</w:t>
      </w:r>
      <w:r>
        <w:rPr>
          <w:rFonts w:hint="eastAsia" w:ascii="宋体" w:hAnsi="宋体" w:cs="宋体"/>
          <w:b/>
          <w:bCs/>
          <w:color w:val="auto"/>
          <w:sz w:val="28"/>
          <w:szCs w:val="28"/>
        </w:rPr>
        <w:fldChar w:fldCharType="end"/>
      </w:r>
      <w:r>
        <w:rPr>
          <w:rFonts w:hint="eastAsia" w:ascii="宋体" w:hAnsi="宋体" w:cs="宋体"/>
          <w:b/>
          <w:bCs/>
          <w:color w:val="auto"/>
          <w:sz w:val="28"/>
          <w:szCs w:val="28"/>
        </w:rPr>
        <w:t>5</w:t>
      </w:r>
      <w:r>
        <w:rPr>
          <w:rFonts w:hint="eastAsia" w:ascii="宋体" w:hAnsi="宋体" w:cs="宋体"/>
          <w:b/>
          <w:bCs/>
          <w:color w:val="auto"/>
          <w:sz w:val="28"/>
          <w:szCs w:val="28"/>
          <w:lang w:val="en-US" w:eastAsia="zh-CN"/>
        </w:rPr>
        <w:t>9</w:t>
      </w:r>
    </w:p>
    <w:p w14:paraId="0B600FF4">
      <w:pPr>
        <w:pStyle w:val="40"/>
        <w:tabs>
          <w:tab w:val="right" w:leader="dot" w:pos="8931"/>
          <w:tab w:val="clear" w:pos="8296"/>
        </w:tabs>
        <w:snapToGrid w:val="0"/>
        <w:spacing w:line="360" w:lineRule="auto"/>
        <w:ind w:left="0" w:leftChars="0"/>
        <w:rPr>
          <w:rFonts w:ascii="宋体" w:hAnsi="宋体" w:cs="宋体"/>
          <w:b/>
          <w:color w:val="auto"/>
          <w:sz w:val="24"/>
        </w:rPr>
      </w:pPr>
      <w:r>
        <w:rPr>
          <w:rFonts w:hint="eastAsia" w:ascii="微软雅黑" w:hAnsi="微软雅黑" w:eastAsia="微软雅黑" w:cs="微软雅黑"/>
          <w:color w:val="auto"/>
          <w:sz w:val="28"/>
          <w:szCs w:val="28"/>
        </w:rPr>
        <w:fldChar w:fldCharType="end"/>
      </w:r>
    </w:p>
    <w:p w14:paraId="07D6E03D">
      <w:pPr>
        <w:spacing w:line="440" w:lineRule="exact"/>
        <w:jc w:val="left"/>
        <w:rPr>
          <w:rFonts w:ascii="宋体" w:hAnsi="宋体" w:cs="宋体"/>
          <w:b/>
          <w:color w:val="auto"/>
          <w:sz w:val="32"/>
          <w:szCs w:val="32"/>
        </w:rPr>
      </w:pPr>
    </w:p>
    <w:p w14:paraId="3278E618">
      <w:pPr>
        <w:spacing w:line="440" w:lineRule="exact"/>
        <w:jc w:val="center"/>
        <w:rPr>
          <w:rFonts w:ascii="宋体" w:hAnsi="宋体" w:cs="宋体"/>
          <w:b/>
          <w:color w:val="auto"/>
          <w:sz w:val="32"/>
          <w:szCs w:val="32"/>
        </w:rPr>
      </w:pPr>
    </w:p>
    <w:p w14:paraId="3324BF37">
      <w:pPr>
        <w:spacing w:line="440" w:lineRule="exact"/>
        <w:jc w:val="center"/>
        <w:rPr>
          <w:rFonts w:ascii="宋体" w:hAnsi="宋体" w:cs="宋体"/>
          <w:b/>
          <w:color w:val="auto"/>
          <w:sz w:val="32"/>
          <w:szCs w:val="32"/>
        </w:rPr>
      </w:pPr>
    </w:p>
    <w:p w14:paraId="39CB176A">
      <w:pPr>
        <w:spacing w:line="440" w:lineRule="exact"/>
        <w:jc w:val="center"/>
        <w:rPr>
          <w:rFonts w:ascii="宋体" w:hAnsi="宋体" w:cs="宋体"/>
          <w:b/>
          <w:color w:val="auto"/>
          <w:sz w:val="32"/>
          <w:szCs w:val="32"/>
        </w:rPr>
      </w:pPr>
    </w:p>
    <w:p w14:paraId="378C3AC6">
      <w:pPr>
        <w:spacing w:line="440" w:lineRule="exact"/>
        <w:jc w:val="center"/>
        <w:rPr>
          <w:rFonts w:ascii="宋体" w:hAnsi="宋体" w:cs="宋体"/>
          <w:b/>
          <w:color w:val="auto"/>
          <w:sz w:val="32"/>
          <w:szCs w:val="32"/>
        </w:rPr>
      </w:pPr>
    </w:p>
    <w:p w14:paraId="12ED028E">
      <w:pPr>
        <w:spacing w:line="440" w:lineRule="exact"/>
        <w:rPr>
          <w:rFonts w:ascii="宋体" w:hAnsi="宋体" w:cs="宋体"/>
          <w:b/>
          <w:color w:val="auto"/>
          <w:sz w:val="32"/>
          <w:szCs w:val="32"/>
        </w:rPr>
        <w:sectPr>
          <w:footerReference r:id="rId10" w:type="first"/>
          <w:footerReference r:id="rId9" w:type="default"/>
          <w:pgSz w:w="11906" w:h="16838"/>
          <w:pgMar w:top="1440" w:right="1440" w:bottom="1440" w:left="1587" w:header="851" w:footer="1417" w:gutter="0"/>
          <w:pgNumType w:start="1"/>
          <w:cols w:space="720" w:num="1"/>
          <w:titlePg/>
          <w:docGrid w:type="lines" w:linePitch="312" w:charSpace="0"/>
        </w:sectPr>
      </w:pPr>
    </w:p>
    <w:p w14:paraId="7605B2C7">
      <w:pPr>
        <w:pStyle w:val="2"/>
        <w:spacing w:after="340" w:line="440" w:lineRule="exact"/>
        <w:jc w:val="center"/>
        <w:rPr>
          <w:rFonts w:ascii="宋体" w:hAnsi="宋体" w:cs="宋体"/>
          <w:color w:val="auto"/>
          <w:sz w:val="32"/>
          <w:szCs w:val="32"/>
        </w:rPr>
      </w:pPr>
      <w:bookmarkStart w:id="0" w:name="_Toc5863"/>
      <w:r>
        <w:rPr>
          <w:rFonts w:hint="eastAsia" w:ascii="宋体" w:hAnsi="宋体" w:cs="宋体"/>
          <w:color w:val="auto"/>
          <w:sz w:val="32"/>
          <w:szCs w:val="32"/>
        </w:rPr>
        <w:t>第一章</w:t>
      </w:r>
      <w:r>
        <w:rPr>
          <w:rFonts w:hint="eastAsia" w:ascii="宋体" w:hAnsi="宋体" w:cs="宋体"/>
          <w:color w:val="auto"/>
          <w:sz w:val="32"/>
          <w:szCs w:val="32"/>
          <w:lang w:val="en-US" w:eastAsia="zh-CN"/>
        </w:rPr>
        <w:t xml:space="preserve"> </w:t>
      </w:r>
      <w:r>
        <w:rPr>
          <w:rFonts w:hint="eastAsia" w:ascii="宋体" w:hAnsi="宋体" w:cs="宋体"/>
          <w:color w:val="auto"/>
          <w:sz w:val="32"/>
          <w:szCs w:val="32"/>
        </w:rPr>
        <w:t>竞争性磋商公告</w:t>
      </w:r>
      <w:bookmarkEnd w:id="0"/>
    </w:p>
    <w:p w14:paraId="082CBCE2">
      <w:pPr>
        <w:pStyle w:val="28"/>
        <w:spacing w:line="300" w:lineRule="exact"/>
        <w:jc w:val="center"/>
        <w:rPr>
          <w:rFonts w:hAnsi="宋体" w:cs="宋体"/>
          <w:color w:val="auto"/>
          <w:sz w:val="22"/>
          <w:szCs w:val="22"/>
        </w:rPr>
      </w:pPr>
      <w:r>
        <w:rPr>
          <w:rFonts w:hint="eastAsia"/>
          <w:b/>
          <w:color w:val="auto"/>
          <w:sz w:val="24"/>
          <w:szCs w:val="24"/>
        </w:rPr>
        <w:t>国正聚源工程咨询集团有限公司关于广西壮族自治区钦州钦北公路养护中心2026年普通国省干线公路安全设施精细化提升工程（G210满都拉至防城港K3543+900～K3552+678段）</w:t>
      </w:r>
      <w:r>
        <w:rPr>
          <w:rFonts w:hint="eastAsia"/>
          <w:b/>
          <w:bCs/>
          <w:color w:val="auto"/>
          <w:sz w:val="24"/>
          <w:szCs w:val="24"/>
        </w:rPr>
        <w:t>（项目编号：GXZC2026-C2-001822-GZJY）</w:t>
      </w:r>
      <w:r>
        <w:rPr>
          <w:rFonts w:hint="eastAsia"/>
          <w:b/>
          <w:color w:val="auto"/>
          <w:sz w:val="24"/>
          <w:szCs w:val="24"/>
        </w:rPr>
        <w:t>竞争性磋商公告</w:t>
      </w:r>
    </w:p>
    <w:p w14:paraId="7FC3FBC9">
      <w:pPr>
        <w:pBdr>
          <w:top w:val="single" w:color="auto" w:sz="4" w:space="1"/>
          <w:left w:val="single" w:color="auto" w:sz="4" w:space="4"/>
          <w:bottom w:val="single" w:color="auto" w:sz="4" w:space="1"/>
          <w:right w:val="single" w:color="auto" w:sz="4" w:space="4"/>
        </w:pBdr>
        <w:spacing w:line="340" w:lineRule="exact"/>
        <w:rPr>
          <w:rFonts w:ascii="宋体" w:hAnsi="宋体" w:cs="宋体"/>
          <w:b/>
          <w:bCs/>
          <w:color w:val="auto"/>
          <w:szCs w:val="21"/>
        </w:rPr>
      </w:pPr>
      <w:bookmarkStart w:id="1" w:name="_Hlk37430271"/>
      <w:r>
        <w:rPr>
          <w:rFonts w:hint="eastAsia" w:ascii="宋体" w:hAnsi="宋体" w:cs="宋体"/>
          <w:b/>
          <w:bCs/>
          <w:color w:val="auto"/>
          <w:szCs w:val="21"/>
        </w:rPr>
        <w:t>项目概况</w:t>
      </w:r>
    </w:p>
    <w:p w14:paraId="2124EAEB">
      <w:pPr>
        <w:pBdr>
          <w:top w:val="single" w:color="auto" w:sz="4" w:space="1"/>
          <w:left w:val="single" w:color="auto" w:sz="4" w:space="4"/>
          <w:bottom w:val="single" w:color="auto" w:sz="4" w:space="1"/>
          <w:right w:val="single" w:color="auto" w:sz="4" w:space="4"/>
        </w:pBdr>
        <w:spacing w:line="340" w:lineRule="exact"/>
        <w:ind w:firstLine="420" w:firstLineChars="200"/>
        <w:rPr>
          <w:rFonts w:ascii="宋体" w:hAnsi="宋体" w:cs="宋体"/>
          <w:color w:val="auto"/>
          <w:szCs w:val="21"/>
        </w:rPr>
      </w:pPr>
      <w:r>
        <w:rPr>
          <w:rFonts w:hint="eastAsia" w:ascii="宋体" w:hAnsi="宋体" w:cs="宋体"/>
          <w:color w:val="auto"/>
          <w:szCs w:val="21"/>
          <w:u w:val="single"/>
        </w:rPr>
        <w:t>广西壮族自治区钦州钦北公路养护中心2026年普通国省干线公路安全设施精细化提升工程（G210满都拉至防城港K3543+900～K3552+678段）</w:t>
      </w:r>
      <w:r>
        <w:rPr>
          <w:rFonts w:hint="eastAsia" w:ascii="宋体" w:hAnsi="宋体" w:cs="宋体"/>
          <w:color w:val="auto"/>
          <w:szCs w:val="21"/>
        </w:rPr>
        <w:t>采购项目的潜在供应商应在广西政府采购云平台（https://www.gcy.zfcg.gxzf.gov.cn/）获取（下载）竞争性磋商文件，并于</w:t>
      </w:r>
      <w:r>
        <w:rPr>
          <w:rFonts w:hint="eastAsia" w:ascii="宋体" w:hAnsi="宋体" w:cs="宋体"/>
          <w:bCs/>
          <w:color w:val="auto"/>
          <w:szCs w:val="21"/>
          <w:u w:val="single"/>
        </w:rPr>
        <w:t>2026</w:t>
      </w:r>
      <w:r>
        <w:rPr>
          <w:rFonts w:hint="eastAsia" w:ascii="宋体" w:hAnsi="宋体" w:cs="宋体"/>
          <w:bCs/>
          <w:color w:val="auto"/>
          <w:szCs w:val="21"/>
        </w:rPr>
        <w:t>年</w:t>
      </w:r>
      <w:r>
        <w:rPr>
          <w:rFonts w:hint="eastAsia" w:ascii="宋体" w:hAnsi="宋体" w:cs="宋体"/>
          <w:bCs/>
          <w:color w:val="auto"/>
          <w:szCs w:val="21"/>
          <w:u w:val="single"/>
        </w:rPr>
        <w:t xml:space="preserve"> 6 </w:t>
      </w:r>
      <w:r>
        <w:rPr>
          <w:rFonts w:hint="eastAsia" w:ascii="宋体" w:hAnsi="宋体" w:cs="宋体"/>
          <w:bCs/>
          <w:color w:val="auto"/>
          <w:szCs w:val="21"/>
        </w:rPr>
        <w:t>月</w:t>
      </w:r>
      <w:r>
        <w:rPr>
          <w:rFonts w:hint="eastAsia" w:ascii="宋体" w:hAnsi="宋体" w:cs="宋体"/>
          <w:bCs/>
          <w:color w:val="auto"/>
          <w:szCs w:val="21"/>
          <w:lang w:val="en-US" w:eastAsia="zh-CN"/>
        </w:rPr>
        <w:t xml:space="preserve">    </w:t>
      </w:r>
      <w:r>
        <w:rPr>
          <w:rFonts w:hint="eastAsia" w:ascii="宋体" w:hAnsi="宋体" w:cs="宋体"/>
          <w:bCs/>
          <w:color w:val="auto"/>
          <w:szCs w:val="21"/>
          <w:u w:val="single"/>
          <w:lang w:val="en-US" w:eastAsia="zh-CN"/>
        </w:rPr>
        <w:t>26</w:t>
      </w:r>
      <w:r>
        <w:rPr>
          <w:rFonts w:hint="eastAsia" w:ascii="宋体" w:hAnsi="宋体" w:cs="宋体"/>
          <w:bCs/>
          <w:color w:val="auto"/>
          <w:szCs w:val="21"/>
        </w:rPr>
        <w:t>日</w:t>
      </w:r>
      <w:r>
        <w:rPr>
          <w:rFonts w:hint="eastAsia" w:ascii="宋体" w:hAnsi="宋体" w:cs="宋体"/>
          <w:bCs/>
          <w:color w:val="auto"/>
          <w:szCs w:val="21"/>
          <w:u w:val="single"/>
        </w:rPr>
        <w:t>1</w:t>
      </w:r>
      <w:r>
        <w:rPr>
          <w:rFonts w:hint="eastAsia" w:ascii="宋体" w:hAnsi="宋体" w:cs="宋体"/>
          <w:bCs/>
          <w:color w:val="auto"/>
          <w:szCs w:val="21"/>
          <w:u w:val="single"/>
          <w:lang w:val="en-US" w:eastAsia="zh-CN"/>
        </w:rPr>
        <w:t>5</w:t>
      </w:r>
      <w:r>
        <w:rPr>
          <w:rFonts w:hint="eastAsia" w:ascii="宋体" w:hAnsi="宋体" w:cs="宋体"/>
          <w:bCs/>
          <w:color w:val="auto"/>
          <w:szCs w:val="21"/>
        </w:rPr>
        <w:t>时</w:t>
      </w:r>
      <w:r>
        <w:rPr>
          <w:rFonts w:hint="eastAsia" w:ascii="宋体" w:hAnsi="宋体" w:cs="宋体"/>
          <w:bCs/>
          <w:color w:val="auto"/>
          <w:szCs w:val="21"/>
          <w:u w:val="single"/>
        </w:rPr>
        <w:t>30</w:t>
      </w:r>
      <w:r>
        <w:rPr>
          <w:rFonts w:hint="eastAsia" w:ascii="宋体" w:hAnsi="宋体" w:cs="宋体"/>
          <w:bCs/>
          <w:color w:val="auto"/>
          <w:szCs w:val="21"/>
        </w:rPr>
        <w:t>分（北京时间）前提交（上传）</w:t>
      </w:r>
      <w:r>
        <w:rPr>
          <w:rFonts w:hint="eastAsia" w:ascii="宋体" w:hAnsi="宋体" w:cs="宋体"/>
          <w:color w:val="auto"/>
          <w:szCs w:val="21"/>
        </w:rPr>
        <w:t>响应</w:t>
      </w:r>
      <w:r>
        <w:rPr>
          <w:rFonts w:hint="eastAsia" w:ascii="宋体" w:hAnsi="宋体" w:cs="宋体"/>
          <w:bCs/>
          <w:color w:val="auto"/>
          <w:szCs w:val="21"/>
        </w:rPr>
        <w:t>文件</w:t>
      </w:r>
      <w:r>
        <w:rPr>
          <w:rFonts w:hint="eastAsia" w:ascii="宋体" w:hAnsi="宋体" w:cs="宋体"/>
          <w:color w:val="auto"/>
          <w:szCs w:val="21"/>
        </w:rPr>
        <w:t>。</w:t>
      </w:r>
    </w:p>
    <w:p w14:paraId="7C7E0D35">
      <w:pPr>
        <w:spacing w:line="340" w:lineRule="exact"/>
        <w:ind w:firstLine="354" w:firstLineChars="147"/>
        <w:rPr>
          <w:rFonts w:ascii="宋体" w:hAnsi="宋体" w:cs="宋体"/>
          <w:b/>
          <w:color w:val="auto"/>
          <w:sz w:val="24"/>
        </w:rPr>
      </w:pPr>
      <w:bookmarkStart w:id="2" w:name="_Toc28359089"/>
      <w:bookmarkStart w:id="3" w:name="_Toc35393629"/>
      <w:bookmarkStart w:id="4" w:name="_Toc44229878"/>
      <w:bookmarkStart w:id="5" w:name="_Toc28359012"/>
      <w:bookmarkStart w:id="6" w:name="_Toc35393798"/>
      <w:bookmarkStart w:id="7" w:name="_Toc71365905"/>
      <w:r>
        <w:rPr>
          <w:rFonts w:hint="eastAsia" w:ascii="宋体" w:hAnsi="宋体" w:cs="宋体"/>
          <w:b/>
          <w:color w:val="auto"/>
          <w:sz w:val="24"/>
        </w:rPr>
        <w:t>一、项目基本情况</w:t>
      </w:r>
      <w:bookmarkEnd w:id="2"/>
      <w:bookmarkEnd w:id="3"/>
      <w:bookmarkEnd w:id="4"/>
      <w:bookmarkEnd w:id="5"/>
      <w:bookmarkEnd w:id="6"/>
      <w:bookmarkEnd w:id="7"/>
    </w:p>
    <w:p w14:paraId="120D7D0A">
      <w:pPr>
        <w:spacing w:line="340" w:lineRule="exact"/>
        <w:ind w:firstLine="420" w:firstLineChars="200"/>
        <w:rPr>
          <w:rFonts w:ascii="宋体" w:hAnsi="宋体" w:cs="宋体"/>
          <w:color w:val="auto"/>
          <w:szCs w:val="21"/>
        </w:rPr>
      </w:pPr>
      <w:r>
        <w:rPr>
          <w:rFonts w:hint="eastAsia" w:ascii="宋体" w:hAnsi="宋体" w:cs="宋体"/>
          <w:color w:val="auto"/>
          <w:szCs w:val="21"/>
        </w:rPr>
        <w:t>项目编号：GXZC2026-C2-001822-GZJY</w:t>
      </w:r>
    </w:p>
    <w:p w14:paraId="18ADF26D">
      <w:pPr>
        <w:spacing w:line="340" w:lineRule="exact"/>
        <w:ind w:firstLine="420" w:firstLineChars="200"/>
        <w:rPr>
          <w:rFonts w:ascii="宋体" w:hAnsi="宋体" w:cs="宋体"/>
          <w:color w:val="auto"/>
          <w:szCs w:val="21"/>
        </w:rPr>
      </w:pPr>
      <w:r>
        <w:rPr>
          <w:rFonts w:hint="eastAsia" w:ascii="宋体" w:hAnsi="宋体" w:cs="宋体"/>
          <w:color w:val="auto"/>
          <w:szCs w:val="21"/>
        </w:rPr>
        <w:t>项目名称：广西壮族自治区钦州钦北公路养护中心2026年普通国省干线公路安全设施精细化提升工程（G210满都拉至防城港K3543+900～K3552+678段）</w:t>
      </w:r>
    </w:p>
    <w:p w14:paraId="44450356">
      <w:pPr>
        <w:spacing w:line="340" w:lineRule="exact"/>
        <w:ind w:firstLine="420" w:firstLineChars="200"/>
        <w:rPr>
          <w:rFonts w:ascii="宋体" w:hAnsi="宋体" w:cs="宋体"/>
          <w:color w:val="auto"/>
          <w:szCs w:val="21"/>
        </w:rPr>
      </w:pPr>
      <w:r>
        <w:rPr>
          <w:rFonts w:hint="eastAsia" w:ascii="宋体" w:hAnsi="宋体" w:cs="宋体"/>
          <w:color w:val="auto"/>
          <w:szCs w:val="21"/>
        </w:rPr>
        <w:t>采购方式：竞争性磋商</w:t>
      </w:r>
    </w:p>
    <w:p w14:paraId="365D77FE">
      <w:pPr>
        <w:spacing w:line="340" w:lineRule="exact"/>
        <w:ind w:firstLine="420" w:firstLineChars="200"/>
        <w:rPr>
          <w:rFonts w:ascii="宋体" w:hAnsi="宋体" w:cs="宋体"/>
          <w:color w:val="auto"/>
          <w:szCs w:val="21"/>
        </w:rPr>
      </w:pPr>
      <w:r>
        <w:rPr>
          <w:rFonts w:hint="eastAsia" w:ascii="宋体" w:hAnsi="宋体" w:cs="宋体"/>
          <w:color w:val="auto"/>
          <w:szCs w:val="21"/>
        </w:rPr>
        <w:t>总预算金额：2759519.00元</w:t>
      </w:r>
    </w:p>
    <w:p w14:paraId="6EBE1C3E">
      <w:pPr>
        <w:spacing w:line="340" w:lineRule="exact"/>
        <w:ind w:firstLine="420" w:firstLineChars="200"/>
        <w:rPr>
          <w:rFonts w:ascii="宋体" w:hAnsi="宋体" w:cs="宋体"/>
          <w:color w:val="auto"/>
          <w:szCs w:val="21"/>
        </w:rPr>
      </w:pPr>
      <w:r>
        <w:rPr>
          <w:rFonts w:hint="eastAsia" w:ascii="宋体" w:hAnsi="宋体" w:cs="宋体"/>
          <w:color w:val="auto"/>
          <w:szCs w:val="21"/>
        </w:rPr>
        <w:t>采购最高限价（如有）：2759519.00元</w:t>
      </w:r>
    </w:p>
    <w:p w14:paraId="3F8A8E4D">
      <w:pPr>
        <w:spacing w:line="340" w:lineRule="exact"/>
        <w:ind w:firstLine="420" w:firstLineChars="200"/>
        <w:rPr>
          <w:rFonts w:ascii="宋体" w:hAnsi="宋体" w:cs="宋体"/>
          <w:color w:val="auto"/>
          <w:szCs w:val="21"/>
        </w:rPr>
      </w:pPr>
      <w:r>
        <w:rPr>
          <w:rFonts w:hint="eastAsia" w:ascii="宋体" w:hAnsi="宋体" w:cs="宋体"/>
          <w:color w:val="auto"/>
          <w:szCs w:val="21"/>
        </w:rPr>
        <w:t>采购需求：详见采购文件。</w:t>
      </w:r>
    </w:p>
    <w:tbl>
      <w:tblPr>
        <w:tblStyle w:val="47"/>
        <w:tblW w:w="93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338"/>
        <w:gridCol w:w="1230"/>
        <w:gridCol w:w="750"/>
        <w:gridCol w:w="4187"/>
      </w:tblGrid>
      <w:tr w14:paraId="60AE29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97BD7D1">
            <w:pPr>
              <w:snapToGrid w:val="0"/>
              <w:spacing w:line="340" w:lineRule="exact"/>
              <w:jc w:val="center"/>
              <w:rPr>
                <w:rFonts w:ascii="宋体" w:hAnsi="宋体" w:cs="宋体"/>
                <w:color w:val="auto"/>
                <w:szCs w:val="21"/>
              </w:rPr>
            </w:pPr>
            <w:r>
              <w:rPr>
                <w:rFonts w:hint="eastAsia" w:ascii="宋体" w:hAnsi="宋体" w:cs="宋体"/>
                <w:color w:val="auto"/>
                <w:szCs w:val="21"/>
              </w:rPr>
              <w:t>序号</w:t>
            </w:r>
          </w:p>
        </w:tc>
        <w:tc>
          <w:tcPr>
            <w:tcW w:w="2338" w:type="dxa"/>
            <w:tcBorders>
              <w:top w:val="single" w:color="auto" w:sz="4" w:space="0"/>
              <w:left w:val="single" w:color="auto" w:sz="4" w:space="0"/>
              <w:bottom w:val="single" w:color="auto" w:sz="4" w:space="0"/>
              <w:right w:val="single" w:color="auto" w:sz="4" w:space="0"/>
            </w:tcBorders>
            <w:vAlign w:val="center"/>
          </w:tcPr>
          <w:p w14:paraId="0C627553">
            <w:pPr>
              <w:snapToGrid w:val="0"/>
              <w:spacing w:line="340" w:lineRule="exact"/>
              <w:jc w:val="center"/>
              <w:rPr>
                <w:rFonts w:ascii="宋体" w:hAnsi="宋体" w:cs="宋体"/>
                <w:color w:val="auto"/>
                <w:szCs w:val="21"/>
              </w:rPr>
            </w:pPr>
            <w:r>
              <w:rPr>
                <w:rFonts w:hint="eastAsia" w:ascii="宋体" w:hAnsi="宋体" w:cs="宋体"/>
                <w:color w:val="auto"/>
                <w:szCs w:val="21"/>
              </w:rPr>
              <w:t>标的的名称</w:t>
            </w:r>
          </w:p>
        </w:tc>
        <w:tc>
          <w:tcPr>
            <w:tcW w:w="1230" w:type="dxa"/>
            <w:tcBorders>
              <w:top w:val="single" w:color="auto" w:sz="4" w:space="0"/>
              <w:left w:val="single" w:color="auto" w:sz="4" w:space="0"/>
              <w:bottom w:val="single" w:color="auto" w:sz="4" w:space="0"/>
              <w:right w:val="single" w:color="auto" w:sz="4" w:space="0"/>
            </w:tcBorders>
            <w:vAlign w:val="center"/>
          </w:tcPr>
          <w:p w14:paraId="49B9688B">
            <w:pPr>
              <w:snapToGrid w:val="0"/>
              <w:spacing w:line="340" w:lineRule="exact"/>
              <w:jc w:val="center"/>
              <w:rPr>
                <w:rFonts w:ascii="宋体" w:hAnsi="宋体" w:cs="宋体"/>
                <w:color w:val="auto"/>
                <w:szCs w:val="21"/>
              </w:rPr>
            </w:pPr>
            <w:r>
              <w:rPr>
                <w:rFonts w:hint="eastAsia" w:ascii="宋体" w:hAnsi="宋体" w:cs="宋体"/>
                <w:color w:val="auto"/>
                <w:szCs w:val="21"/>
              </w:rPr>
              <w:t>单位</w:t>
            </w:r>
          </w:p>
        </w:tc>
        <w:tc>
          <w:tcPr>
            <w:tcW w:w="750" w:type="dxa"/>
            <w:tcBorders>
              <w:top w:val="single" w:color="auto" w:sz="4" w:space="0"/>
              <w:left w:val="single" w:color="auto" w:sz="4" w:space="0"/>
              <w:bottom w:val="single" w:color="auto" w:sz="4" w:space="0"/>
              <w:right w:val="single" w:color="auto" w:sz="4" w:space="0"/>
            </w:tcBorders>
            <w:vAlign w:val="center"/>
          </w:tcPr>
          <w:p w14:paraId="248F4D20">
            <w:pPr>
              <w:snapToGrid w:val="0"/>
              <w:spacing w:line="340" w:lineRule="exact"/>
              <w:jc w:val="center"/>
              <w:rPr>
                <w:rFonts w:ascii="宋体" w:hAnsi="宋体" w:cs="宋体"/>
                <w:color w:val="auto"/>
                <w:szCs w:val="21"/>
              </w:rPr>
            </w:pPr>
            <w:r>
              <w:rPr>
                <w:rFonts w:hint="eastAsia" w:ascii="宋体" w:hAnsi="宋体" w:cs="宋体"/>
                <w:color w:val="auto"/>
                <w:szCs w:val="21"/>
              </w:rPr>
              <w:t>数量</w:t>
            </w:r>
          </w:p>
        </w:tc>
        <w:tc>
          <w:tcPr>
            <w:tcW w:w="4187" w:type="dxa"/>
            <w:tcBorders>
              <w:top w:val="single" w:color="auto" w:sz="4" w:space="0"/>
              <w:left w:val="single" w:color="auto" w:sz="4" w:space="0"/>
              <w:bottom w:val="single" w:color="auto" w:sz="4" w:space="0"/>
              <w:right w:val="single" w:color="auto" w:sz="4" w:space="0"/>
            </w:tcBorders>
            <w:vAlign w:val="center"/>
          </w:tcPr>
          <w:p w14:paraId="0969DA2D">
            <w:pPr>
              <w:snapToGrid w:val="0"/>
              <w:spacing w:line="340" w:lineRule="exact"/>
              <w:jc w:val="center"/>
              <w:rPr>
                <w:rFonts w:ascii="宋体" w:hAnsi="宋体" w:cs="宋体"/>
                <w:color w:val="auto"/>
                <w:szCs w:val="21"/>
              </w:rPr>
            </w:pPr>
            <w:r>
              <w:rPr>
                <w:rFonts w:hint="eastAsia" w:ascii="宋体" w:hAnsi="宋体" w:cs="宋体"/>
                <w:color w:val="auto"/>
                <w:szCs w:val="21"/>
              </w:rPr>
              <w:t>采购范围</w:t>
            </w:r>
          </w:p>
        </w:tc>
      </w:tr>
      <w:tr w14:paraId="5CD684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643D915A">
            <w:pPr>
              <w:snapToGrid w:val="0"/>
              <w:spacing w:line="340" w:lineRule="exact"/>
              <w:jc w:val="center"/>
              <w:rPr>
                <w:rFonts w:ascii="宋体" w:hAnsi="宋体" w:cs="宋体"/>
                <w:color w:val="auto"/>
                <w:szCs w:val="21"/>
              </w:rPr>
            </w:pPr>
            <w:r>
              <w:rPr>
                <w:rFonts w:hint="eastAsia" w:ascii="宋体" w:hAnsi="宋体" w:cs="宋体"/>
                <w:color w:val="auto"/>
                <w:szCs w:val="21"/>
              </w:rPr>
              <w:t>1</w:t>
            </w:r>
          </w:p>
        </w:tc>
        <w:tc>
          <w:tcPr>
            <w:tcW w:w="2338" w:type="dxa"/>
            <w:tcBorders>
              <w:top w:val="single" w:color="auto" w:sz="4" w:space="0"/>
              <w:left w:val="single" w:color="auto" w:sz="4" w:space="0"/>
              <w:bottom w:val="single" w:color="auto" w:sz="4" w:space="0"/>
              <w:right w:val="single" w:color="auto" w:sz="4" w:space="0"/>
            </w:tcBorders>
            <w:vAlign w:val="center"/>
          </w:tcPr>
          <w:p w14:paraId="2D755317">
            <w:pPr>
              <w:snapToGrid w:val="0"/>
              <w:spacing w:line="340" w:lineRule="exact"/>
              <w:jc w:val="center"/>
              <w:rPr>
                <w:rFonts w:ascii="宋体" w:hAnsi="宋体" w:cs="宋体"/>
                <w:color w:val="auto"/>
                <w:szCs w:val="21"/>
              </w:rPr>
            </w:pPr>
            <w:r>
              <w:rPr>
                <w:rFonts w:hint="eastAsia" w:ascii="宋体" w:hAnsi="宋体" w:cs="宋体"/>
                <w:color w:val="auto"/>
                <w:szCs w:val="21"/>
              </w:rPr>
              <w:t>广西壮族自治区钦州钦北公路养护中心2026年普通国省干线公路安全设施精细化提升工程（G210满都拉至防城港K3543+900～K3552+678段）</w:t>
            </w:r>
          </w:p>
        </w:tc>
        <w:tc>
          <w:tcPr>
            <w:tcW w:w="1230" w:type="dxa"/>
            <w:tcBorders>
              <w:top w:val="single" w:color="auto" w:sz="4" w:space="0"/>
              <w:left w:val="single" w:color="auto" w:sz="4" w:space="0"/>
              <w:bottom w:val="single" w:color="auto" w:sz="4" w:space="0"/>
              <w:right w:val="single" w:color="auto" w:sz="4" w:space="0"/>
            </w:tcBorders>
            <w:vAlign w:val="center"/>
          </w:tcPr>
          <w:p w14:paraId="68DB8004">
            <w:pPr>
              <w:snapToGrid w:val="0"/>
              <w:spacing w:line="340" w:lineRule="exact"/>
              <w:jc w:val="center"/>
              <w:rPr>
                <w:rFonts w:ascii="宋体" w:hAnsi="宋体" w:cs="宋体"/>
                <w:color w:val="auto"/>
                <w:szCs w:val="21"/>
              </w:rPr>
            </w:pPr>
            <w:r>
              <w:rPr>
                <w:rFonts w:hint="eastAsia" w:ascii="宋体" w:hAnsi="宋体" w:cs="宋体"/>
                <w:color w:val="auto"/>
                <w:szCs w:val="21"/>
              </w:rPr>
              <w:t>1</w:t>
            </w:r>
          </w:p>
        </w:tc>
        <w:tc>
          <w:tcPr>
            <w:tcW w:w="750" w:type="dxa"/>
            <w:tcBorders>
              <w:top w:val="single" w:color="auto" w:sz="4" w:space="0"/>
              <w:left w:val="single" w:color="auto" w:sz="4" w:space="0"/>
              <w:bottom w:val="single" w:color="auto" w:sz="4" w:space="0"/>
              <w:right w:val="single" w:color="auto" w:sz="4" w:space="0"/>
            </w:tcBorders>
            <w:vAlign w:val="center"/>
          </w:tcPr>
          <w:p w14:paraId="01FBD6E0">
            <w:pPr>
              <w:snapToGrid w:val="0"/>
              <w:spacing w:line="340" w:lineRule="exact"/>
              <w:jc w:val="center"/>
              <w:rPr>
                <w:rFonts w:ascii="宋体" w:hAnsi="宋体" w:cs="宋体"/>
                <w:color w:val="auto"/>
                <w:szCs w:val="21"/>
              </w:rPr>
            </w:pPr>
            <w:r>
              <w:rPr>
                <w:rFonts w:hint="eastAsia" w:ascii="宋体" w:hAnsi="宋体" w:cs="宋体"/>
                <w:color w:val="auto"/>
                <w:szCs w:val="21"/>
              </w:rPr>
              <w:t>项</w:t>
            </w:r>
          </w:p>
        </w:tc>
        <w:tc>
          <w:tcPr>
            <w:tcW w:w="4187" w:type="dxa"/>
            <w:tcBorders>
              <w:top w:val="single" w:color="auto" w:sz="4" w:space="0"/>
              <w:left w:val="single" w:color="auto" w:sz="4" w:space="0"/>
              <w:bottom w:val="single" w:color="auto" w:sz="4" w:space="0"/>
              <w:right w:val="single" w:color="auto" w:sz="4" w:space="0"/>
            </w:tcBorders>
            <w:vAlign w:val="center"/>
          </w:tcPr>
          <w:p w14:paraId="72A3E0D3">
            <w:pPr>
              <w:snapToGrid w:val="0"/>
              <w:spacing w:line="340" w:lineRule="exact"/>
              <w:jc w:val="left"/>
              <w:rPr>
                <w:rFonts w:ascii="宋体" w:hAnsi="宋体" w:cs="宋体"/>
                <w:color w:val="auto"/>
                <w:szCs w:val="21"/>
              </w:rPr>
            </w:pPr>
            <w:r>
              <w:rPr>
                <w:rFonts w:hint="eastAsia" w:ascii="宋体" w:hAnsi="宋体" w:cs="宋体"/>
                <w:color w:val="auto"/>
                <w:szCs w:val="21"/>
              </w:rPr>
              <w:t>本项目起点K3543+900位于钦州市钦北区大直镇G210与桃源路十字路口附近终点K3552+678 位于那他村至山松村之间，道路总长8.778Km ，道路路面为沥青混凝土路面。G210 满都拉至防城港3543+900~K3552+678 段，主要内容包括平交路口提升、完善平面交叉路口，弯道改善以及沿线交安设施。具体以图纸和工程量清单为准。</w:t>
            </w:r>
          </w:p>
        </w:tc>
      </w:tr>
    </w:tbl>
    <w:p w14:paraId="307BB4B9">
      <w:pPr>
        <w:spacing w:line="340" w:lineRule="exact"/>
        <w:ind w:firstLine="420" w:firstLineChars="200"/>
        <w:rPr>
          <w:rFonts w:ascii="宋体" w:hAnsi="宋体" w:cs="宋体"/>
          <w:color w:val="auto"/>
          <w:szCs w:val="21"/>
        </w:rPr>
      </w:pPr>
      <w:r>
        <w:rPr>
          <w:rFonts w:hint="eastAsia" w:ascii="宋体" w:hAnsi="宋体" w:cs="宋体"/>
          <w:color w:val="auto"/>
          <w:szCs w:val="21"/>
        </w:rPr>
        <w:t>合同工期履行期限：自签订合同之日起至工程质量保修期结束（其中工期90日历天）。</w:t>
      </w:r>
    </w:p>
    <w:p w14:paraId="2BE43ADE">
      <w:pPr>
        <w:spacing w:line="340" w:lineRule="exact"/>
        <w:ind w:firstLine="420" w:firstLineChars="200"/>
        <w:rPr>
          <w:rFonts w:ascii="宋体" w:hAnsi="宋体" w:cs="宋体"/>
          <w:b/>
          <w:color w:val="auto"/>
          <w:sz w:val="24"/>
        </w:rPr>
      </w:pPr>
      <w:r>
        <w:rPr>
          <w:rFonts w:hint="eastAsia" w:ascii="宋体" w:hAnsi="宋体" w:cs="宋体"/>
          <w:color w:val="auto"/>
          <w:szCs w:val="21"/>
        </w:rPr>
        <w:t>本项目</w:t>
      </w:r>
      <w:r>
        <w:rPr>
          <w:rFonts w:hint="eastAsia" w:ascii="宋体" w:hAnsi="宋体" w:cs="宋体"/>
          <w:b/>
          <w:bCs/>
          <w:color w:val="auto"/>
          <w:szCs w:val="21"/>
        </w:rPr>
        <w:t>不接受</w:t>
      </w:r>
      <w:r>
        <w:rPr>
          <w:rFonts w:hint="eastAsia" w:ascii="宋体" w:hAnsi="宋体" w:cs="宋体"/>
          <w:color w:val="auto"/>
          <w:sz w:val="21"/>
          <w:szCs w:val="21"/>
        </w:rPr>
        <w:t>联合体</w:t>
      </w:r>
      <w:r>
        <w:rPr>
          <w:rFonts w:hint="eastAsia" w:ascii="宋体" w:hAnsi="宋体" w:cs="宋体"/>
          <w:color w:val="auto"/>
          <w:szCs w:val="21"/>
          <w:lang w:val="en-US" w:eastAsia="zh-CN"/>
        </w:rPr>
        <w:t>竞标</w:t>
      </w:r>
      <w:r>
        <w:rPr>
          <w:rFonts w:hint="eastAsia" w:ascii="宋体" w:hAnsi="宋体" w:cs="宋体"/>
          <w:color w:val="auto"/>
          <w:szCs w:val="21"/>
        </w:rPr>
        <w:t>。</w:t>
      </w:r>
      <w:bookmarkStart w:id="8" w:name="_Toc35393630"/>
      <w:bookmarkStart w:id="9" w:name="_Toc28359090"/>
      <w:bookmarkStart w:id="10" w:name="_Toc35393799"/>
      <w:bookmarkStart w:id="11" w:name="_Toc71365906"/>
      <w:bookmarkStart w:id="12" w:name="_Toc28359013"/>
      <w:bookmarkStart w:id="13" w:name="_Toc44229879"/>
    </w:p>
    <w:p w14:paraId="64330F13">
      <w:pPr>
        <w:spacing w:line="340" w:lineRule="exact"/>
        <w:ind w:firstLine="354" w:firstLineChars="147"/>
        <w:rPr>
          <w:rFonts w:ascii="宋体" w:hAnsi="宋体" w:cs="宋体"/>
          <w:b/>
          <w:color w:val="auto"/>
          <w:sz w:val="24"/>
        </w:rPr>
      </w:pPr>
      <w:r>
        <w:rPr>
          <w:rFonts w:hint="eastAsia" w:ascii="宋体" w:hAnsi="宋体" w:cs="宋体"/>
          <w:b/>
          <w:color w:val="auto"/>
          <w:sz w:val="24"/>
        </w:rPr>
        <w:t>二、申请人的资格条件：</w:t>
      </w:r>
      <w:bookmarkEnd w:id="8"/>
      <w:bookmarkEnd w:id="9"/>
      <w:bookmarkEnd w:id="10"/>
      <w:bookmarkEnd w:id="11"/>
      <w:bookmarkEnd w:id="12"/>
      <w:bookmarkEnd w:id="13"/>
    </w:p>
    <w:p w14:paraId="15839EC8">
      <w:pPr>
        <w:spacing w:line="340" w:lineRule="exact"/>
        <w:ind w:firstLine="420" w:firstLineChars="200"/>
        <w:rPr>
          <w:rFonts w:ascii="宋体" w:hAnsi="宋体" w:cs="宋体"/>
          <w:color w:val="auto"/>
          <w:szCs w:val="21"/>
        </w:rPr>
      </w:pPr>
      <w:bookmarkStart w:id="14" w:name="_Toc28359014"/>
      <w:bookmarkStart w:id="15" w:name="_Toc44229880"/>
      <w:bookmarkStart w:id="16" w:name="_Toc35393631"/>
      <w:bookmarkStart w:id="17" w:name="_Toc35393800"/>
      <w:bookmarkStart w:id="18" w:name="_Toc28359091"/>
      <w:r>
        <w:rPr>
          <w:rFonts w:hint="eastAsia" w:ascii="宋体" w:hAnsi="宋体" w:cs="宋体"/>
          <w:color w:val="auto"/>
          <w:szCs w:val="21"/>
        </w:rPr>
        <w:t>1.满足《中华人民共和国政府采购法》第二十二条规定；</w:t>
      </w:r>
    </w:p>
    <w:p w14:paraId="63FC1D87">
      <w:pPr>
        <w:spacing w:line="340" w:lineRule="exact"/>
        <w:ind w:firstLine="420" w:firstLineChars="200"/>
        <w:rPr>
          <w:rFonts w:ascii="宋体" w:hAnsi="宋体" w:cs="宋体"/>
          <w:color w:val="auto"/>
          <w:szCs w:val="21"/>
        </w:rPr>
      </w:pPr>
      <w:r>
        <w:rPr>
          <w:rFonts w:hint="eastAsia" w:ascii="宋体" w:hAnsi="宋体" w:cs="宋体"/>
          <w:color w:val="auto"/>
          <w:szCs w:val="21"/>
        </w:rPr>
        <w:t>2.落实政府采购政策需满足的资格要求：本项目属于专门面向中小企业采购的项目（供应商应为中小微企业或监狱企业或残疾人福利性单位)。</w:t>
      </w:r>
    </w:p>
    <w:p w14:paraId="2CCC9119">
      <w:pPr>
        <w:spacing w:line="340" w:lineRule="exact"/>
        <w:ind w:firstLine="420" w:firstLineChars="200"/>
        <w:rPr>
          <w:rFonts w:ascii="宋体" w:hAnsi="宋体" w:cs="宋体"/>
          <w:color w:val="auto"/>
          <w:szCs w:val="21"/>
        </w:rPr>
      </w:pPr>
      <w:r>
        <w:rPr>
          <w:rFonts w:hint="eastAsia" w:ascii="宋体" w:hAnsi="宋体" w:cs="宋体"/>
          <w:color w:val="auto"/>
          <w:szCs w:val="21"/>
        </w:rPr>
        <w:t>3.本项目的特定资格要求：</w:t>
      </w:r>
    </w:p>
    <w:p w14:paraId="35125B16">
      <w:pPr>
        <w:spacing w:line="340" w:lineRule="exact"/>
        <w:ind w:firstLine="420" w:firstLineChars="200"/>
        <w:rPr>
          <w:rFonts w:ascii="宋体" w:hAnsi="宋体"/>
          <w:color w:val="auto"/>
        </w:rPr>
      </w:pPr>
      <w:r>
        <w:rPr>
          <w:rFonts w:hint="eastAsia" w:ascii="宋体" w:hAnsi="宋体" w:cs="宋体"/>
          <w:color w:val="auto"/>
          <w:szCs w:val="21"/>
        </w:rPr>
        <w:t>3.1供应商资质条件：</w:t>
      </w:r>
      <w:r>
        <w:rPr>
          <w:rFonts w:hint="eastAsia" w:ascii="宋体" w:hAnsi="宋体" w:cs="宋体"/>
          <w:color w:val="auto"/>
          <w:szCs w:val="21"/>
          <w:highlight w:val="none"/>
        </w:rPr>
        <w:t>供应商具备有效的公路养护作业单位路基路面养护乙级以上（含乙级）资质和</w:t>
      </w:r>
      <w:r>
        <w:rPr>
          <w:rFonts w:hint="eastAsia" w:ascii="宋体" w:hAnsi="宋体" w:cs="宋体"/>
          <w:color w:val="auto"/>
          <w:szCs w:val="21"/>
        </w:rPr>
        <w:t>交通安全设施养护资质，且具有省级或以上建设行政主管部门颁发的建筑施工企业安全生产许可证，并在人员、设备、资金等方面具有相应的施工能力；</w:t>
      </w:r>
    </w:p>
    <w:p w14:paraId="0136192D">
      <w:pPr>
        <w:pStyle w:val="281"/>
        <w:spacing w:line="340" w:lineRule="exact"/>
        <w:ind w:firstLine="420" w:firstLineChars="200"/>
        <w:rPr>
          <w:rFonts w:hint="eastAsia" w:ascii="宋体" w:hAnsi="宋体"/>
          <w:color w:val="auto"/>
        </w:rPr>
      </w:pPr>
    </w:p>
    <w:p w14:paraId="76109625">
      <w:pPr>
        <w:pStyle w:val="281"/>
        <w:spacing w:line="340" w:lineRule="exact"/>
        <w:ind w:firstLine="420" w:firstLineChars="200"/>
        <w:rPr>
          <w:rFonts w:ascii="宋体" w:hAnsi="宋体"/>
          <w:color w:val="auto"/>
        </w:rPr>
      </w:pPr>
      <w:r>
        <w:rPr>
          <w:rFonts w:hint="eastAsia" w:ascii="宋体" w:hAnsi="宋体"/>
          <w:color w:val="auto"/>
        </w:rPr>
        <w:t>3.</w:t>
      </w:r>
      <w:r>
        <w:rPr>
          <w:rFonts w:hint="eastAsia" w:ascii="宋体" w:hAnsi="宋体"/>
          <w:color w:val="auto"/>
          <w:lang w:val="en-US" w:eastAsia="zh-CN"/>
        </w:rPr>
        <w:t>2</w:t>
      </w:r>
      <w:r>
        <w:rPr>
          <w:rFonts w:hint="eastAsia" w:ascii="宋体" w:hAnsi="宋体"/>
          <w:color w:val="auto"/>
        </w:rPr>
        <w:t>信誉最低要求：</w:t>
      </w:r>
    </w:p>
    <w:p w14:paraId="26DCBFB3">
      <w:pPr>
        <w:pStyle w:val="281"/>
        <w:spacing w:line="340" w:lineRule="exact"/>
        <w:ind w:firstLine="420" w:firstLineChars="200"/>
        <w:rPr>
          <w:rFonts w:ascii="宋体" w:hAnsi="宋体"/>
          <w:color w:val="auto"/>
        </w:rPr>
      </w:pPr>
      <w:r>
        <w:rPr>
          <w:rFonts w:ascii="宋体" w:hAnsi="宋体"/>
          <w:color w:val="auto"/>
        </w:rPr>
        <w:t>（1）</w:t>
      </w:r>
      <w:r>
        <w:rPr>
          <w:rFonts w:hint="eastAsia" w:ascii="宋体" w:hAnsi="宋体"/>
          <w:color w:val="auto"/>
        </w:rPr>
        <w:t>供应商</w:t>
      </w:r>
      <w:r>
        <w:rPr>
          <w:rFonts w:ascii="宋体" w:hAnsi="宋体"/>
          <w:color w:val="auto"/>
        </w:rPr>
        <w:t xml:space="preserve">未被“信用中国”（http://www.creditchina.gov.cn）或“中国执行信息公开网”（https://zxgk.court.gov.cn/）列入失信被执行人名单；   </w:t>
      </w:r>
    </w:p>
    <w:p w14:paraId="555CD94B">
      <w:pPr>
        <w:pStyle w:val="281"/>
        <w:spacing w:line="340" w:lineRule="exact"/>
        <w:ind w:firstLine="420" w:firstLineChars="200"/>
        <w:rPr>
          <w:rFonts w:ascii="宋体" w:hAnsi="宋体"/>
          <w:color w:val="auto"/>
        </w:rPr>
      </w:pPr>
      <w:r>
        <w:rPr>
          <w:rFonts w:ascii="宋体" w:hAnsi="宋体"/>
          <w:color w:val="auto"/>
        </w:rPr>
        <w:t>（2）</w:t>
      </w:r>
      <w:r>
        <w:rPr>
          <w:rFonts w:hint="eastAsia" w:ascii="宋体" w:hAnsi="宋体"/>
          <w:color w:val="auto"/>
        </w:rPr>
        <w:t>供应商</w:t>
      </w:r>
      <w:r>
        <w:rPr>
          <w:rFonts w:ascii="宋体" w:hAnsi="宋体"/>
          <w:color w:val="auto"/>
        </w:rPr>
        <w:t xml:space="preserve">未被省级及以上交通行政主管部门在全国范围内取消投标资格或禁止进入广西公路建设市场且处于有效期内的行政处罚或禁止进入广西公路养护工程市场且处于有效期内的行政处罚；  </w:t>
      </w:r>
    </w:p>
    <w:p w14:paraId="7B5DA2BB">
      <w:pPr>
        <w:pStyle w:val="281"/>
        <w:spacing w:line="340" w:lineRule="exact"/>
        <w:ind w:firstLine="420" w:firstLineChars="200"/>
        <w:rPr>
          <w:rFonts w:ascii="宋体" w:hAnsi="宋体"/>
          <w:color w:val="auto"/>
        </w:rPr>
      </w:pPr>
      <w:r>
        <w:rPr>
          <w:rFonts w:ascii="宋体" w:hAnsi="宋体"/>
          <w:color w:val="auto"/>
        </w:rPr>
        <w:t>（3）</w:t>
      </w:r>
      <w:r>
        <w:rPr>
          <w:rFonts w:hint="eastAsia" w:ascii="宋体" w:hAnsi="宋体"/>
          <w:color w:val="auto"/>
        </w:rPr>
        <w:t>供应商</w:t>
      </w:r>
      <w:r>
        <w:rPr>
          <w:rFonts w:ascii="宋体" w:hAnsi="宋体"/>
          <w:color w:val="auto"/>
        </w:rPr>
        <w:t>或其法定代表人、拟委任的项目经理在近三年内无行贿犯罪行为(以“中国裁判文书网”查询结果为准)。</w:t>
      </w:r>
    </w:p>
    <w:p w14:paraId="295CC565">
      <w:pPr>
        <w:pStyle w:val="281"/>
        <w:spacing w:line="340" w:lineRule="exact"/>
        <w:ind w:firstLine="420" w:firstLineChars="200"/>
        <w:rPr>
          <w:rFonts w:ascii="宋体" w:hAnsi="宋体"/>
          <w:color w:val="auto"/>
        </w:rPr>
      </w:pPr>
      <w:r>
        <w:rPr>
          <w:rFonts w:hint="eastAsia" w:ascii="宋体" w:hAnsi="宋体"/>
          <w:color w:val="auto"/>
        </w:rPr>
        <w:t>3.</w:t>
      </w:r>
      <w:r>
        <w:rPr>
          <w:rFonts w:hint="eastAsia" w:ascii="宋体" w:hAnsi="宋体"/>
          <w:color w:val="auto"/>
          <w:lang w:val="en-US" w:eastAsia="zh-CN"/>
        </w:rPr>
        <w:t>3</w:t>
      </w:r>
      <w:r>
        <w:rPr>
          <w:rFonts w:hint="eastAsia" w:ascii="宋体" w:hAnsi="宋体"/>
          <w:color w:val="auto"/>
        </w:rPr>
        <w:t>项目经理和项目总工最低要求</w:t>
      </w:r>
    </w:p>
    <w:p w14:paraId="47FCB128">
      <w:pPr>
        <w:pStyle w:val="281"/>
        <w:spacing w:line="340" w:lineRule="exact"/>
        <w:ind w:firstLine="420" w:firstLineChars="200"/>
        <w:rPr>
          <w:rFonts w:hint="eastAsia" w:ascii="宋体" w:hAnsi="宋体"/>
          <w:color w:val="auto"/>
        </w:rPr>
      </w:pPr>
      <w:r>
        <w:rPr>
          <w:rFonts w:hint="eastAsia" w:ascii="宋体" w:hAnsi="宋体"/>
          <w:color w:val="auto"/>
        </w:rPr>
        <w:t>3.</w:t>
      </w:r>
      <w:r>
        <w:rPr>
          <w:rFonts w:hint="eastAsia" w:ascii="宋体" w:hAnsi="宋体"/>
          <w:color w:val="auto"/>
          <w:lang w:val="en-US" w:eastAsia="zh-CN"/>
        </w:rPr>
        <w:t>3</w:t>
      </w:r>
      <w:r>
        <w:rPr>
          <w:rFonts w:hint="eastAsia" w:ascii="宋体" w:hAnsi="宋体"/>
          <w:color w:val="auto"/>
        </w:rPr>
        <w:t>.1项目经理最低要求：</w:t>
      </w:r>
    </w:p>
    <w:p w14:paraId="50A83466">
      <w:pPr>
        <w:pStyle w:val="281"/>
        <w:spacing w:line="340" w:lineRule="exact"/>
        <w:ind w:firstLine="420" w:firstLineChars="200"/>
        <w:rPr>
          <w:rFonts w:ascii="宋体" w:hAnsi="宋体"/>
          <w:color w:val="auto"/>
        </w:rPr>
      </w:pPr>
      <w:r>
        <w:rPr>
          <w:rFonts w:hint="eastAsia" w:ascii="宋体" w:hAnsi="宋体"/>
          <w:color w:val="auto"/>
        </w:rPr>
        <w:t>（1）具有公路工程专业二级或以上建造师注册证书和省级或以上交通运输行政主管部门颁发的安全生产考核合格证（“三类人员”B类证书）；</w:t>
      </w:r>
    </w:p>
    <w:p w14:paraId="0D2FEC4F">
      <w:pPr>
        <w:pStyle w:val="281"/>
        <w:spacing w:line="340" w:lineRule="exact"/>
        <w:ind w:firstLine="420" w:firstLineChars="200"/>
        <w:rPr>
          <w:rFonts w:ascii="宋体" w:hAnsi="宋体"/>
          <w:color w:val="auto"/>
        </w:rPr>
      </w:pPr>
      <w:r>
        <w:rPr>
          <w:rFonts w:hint="eastAsia" w:ascii="宋体" w:hAnsi="宋体"/>
          <w:color w:val="auto"/>
        </w:rPr>
        <w:t>（2）具有工程师（或以上）职称；</w:t>
      </w:r>
    </w:p>
    <w:p w14:paraId="3B78BCD6">
      <w:pPr>
        <w:pStyle w:val="281"/>
        <w:spacing w:line="340" w:lineRule="exact"/>
        <w:ind w:firstLine="420" w:firstLineChars="200"/>
        <w:rPr>
          <w:rFonts w:ascii="宋体" w:hAnsi="宋体"/>
          <w:color w:val="auto"/>
        </w:rPr>
      </w:pPr>
      <w:r>
        <w:rPr>
          <w:rFonts w:hint="eastAsia" w:ascii="宋体" w:hAnsi="宋体"/>
          <w:color w:val="auto"/>
        </w:rPr>
        <w:t>3.</w:t>
      </w:r>
      <w:r>
        <w:rPr>
          <w:rFonts w:hint="eastAsia" w:ascii="宋体" w:hAnsi="宋体"/>
          <w:color w:val="auto"/>
          <w:lang w:val="en-US" w:eastAsia="zh-CN"/>
        </w:rPr>
        <w:t>3</w:t>
      </w:r>
      <w:r>
        <w:rPr>
          <w:rFonts w:hint="eastAsia" w:ascii="宋体" w:hAnsi="宋体"/>
          <w:color w:val="auto"/>
        </w:rPr>
        <w:t>.2 项目总工最低要求：</w:t>
      </w:r>
    </w:p>
    <w:p w14:paraId="68CF397F">
      <w:pPr>
        <w:pStyle w:val="281"/>
        <w:spacing w:line="340" w:lineRule="exact"/>
        <w:ind w:firstLine="420" w:firstLineChars="200"/>
        <w:rPr>
          <w:rFonts w:ascii="宋体" w:hAnsi="宋体"/>
          <w:color w:val="auto"/>
        </w:rPr>
      </w:pPr>
      <w:r>
        <w:rPr>
          <w:rFonts w:hint="eastAsia" w:ascii="宋体" w:hAnsi="宋体"/>
          <w:color w:val="auto"/>
        </w:rPr>
        <w:t>具有工程师（或以上）职称（路桥类专业）；</w:t>
      </w:r>
    </w:p>
    <w:p w14:paraId="16CE5C1F">
      <w:pPr>
        <w:pStyle w:val="281"/>
        <w:spacing w:line="340" w:lineRule="exact"/>
        <w:ind w:firstLine="420" w:firstLineChars="200"/>
        <w:rPr>
          <w:rFonts w:ascii="宋体" w:hAnsi="宋体"/>
          <w:color w:val="auto"/>
        </w:rPr>
      </w:pPr>
      <w:r>
        <w:rPr>
          <w:rFonts w:hint="eastAsia" w:ascii="宋体" w:hAnsi="宋体"/>
          <w:color w:val="auto"/>
        </w:rPr>
        <w:t>注：①“路桥类”专业是指职称证上的专业，为路桥、公路工程、桥梁工程、交通土建、交通工程、铁路、土木工程、隧道工程、市政桥梁工程等专业均可。</w:t>
      </w:r>
      <w:r>
        <w:rPr>
          <w:rFonts w:hint="eastAsia" w:ascii="宋体" w:hAnsi="宋体" w:cs="宋体"/>
          <w:color w:val="auto"/>
          <w:szCs w:val="21"/>
        </w:rPr>
        <w:t>②项目经理及总工必须是本单位的在职人员【在岗要求：无在岗项目，指目前未在其他项目上任职，或有在建项目任职的；供应商</w:t>
      </w:r>
      <w:r>
        <w:rPr>
          <w:rFonts w:hint="eastAsia" w:ascii="宋体" w:hAnsi="宋体" w:cs="宋体"/>
          <w:color w:val="auto"/>
          <w:szCs w:val="21"/>
          <w:lang w:val="en-US" w:eastAsia="zh-CN"/>
        </w:rPr>
        <w:t>须提供《项目经理、项目总工到岗任职承诺书》</w:t>
      </w:r>
      <w:r>
        <w:rPr>
          <w:rFonts w:hint="eastAsia" w:ascii="宋体" w:hAnsi="宋体" w:cs="宋体"/>
          <w:color w:val="auto"/>
          <w:szCs w:val="21"/>
        </w:rPr>
        <w:t>】。</w:t>
      </w:r>
    </w:p>
    <w:p w14:paraId="23C53476">
      <w:pPr>
        <w:pStyle w:val="281"/>
        <w:spacing w:line="340" w:lineRule="exact"/>
        <w:ind w:firstLine="420" w:firstLineChars="200"/>
        <w:rPr>
          <w:rFonts w:ascii="宋体" w:hAnsi="宋体"/>
          <w:color w:val="auto"/>
        </w:rPr>
      </w:pPr>
      <w:r>
        <w:rPr>
          <w:rFonts w:hint="eastAsia" w:ascii="宋体" w:hAnsi="宋体"/>
          <w:color w:val="auto"/>
        </w:rPr>
        <w:t>3.</w:t>
      </w:r>
      <w:r>
        <w:rPr>
          <w:rFonts w:hint="eastAsia" w:ascii="宋体" w:hAnsi="宋体"/>
          <w:color w:val="auto"/>
          <w:lang w:val="en-US" w:eastAsia="zh-CN"/>
        </w:rPr>
        <w:t>4</w:t>
      </w:r>
      <w:r>
        <w:rPr>
          <w:rFonts w:hint="eastAsia" w:ascii="宋体" w:hAnsi="宋体"/>
          <w:color w:val="auto"/>
        </w:rPr>
        <w:t>其他主要管理人员和技术人员最低要求</w:t>
      </w:r>
    </w:p>
    <w:p w14:paraId="1B1E91A2">
      <w:pPr>
        <w:spacing w:line="340" w:lineRule="exact"/>
        <w:ind w:firstLine="420" w:firstLineChars="200"/>
        <w:rPr>
          <w:rFonts w:ascii="宋体" w:hAnsi="宋体" w:cs="宋体"/>
          <w:color w:val="auto"/>
          <w:szCs w:val="21"/>
        </w:rPr>
      </w:pPr>
      <w:r>
        <w:rPr>
          <w:rFonts w:hint="eastAsia" w:ascii="宋体" w:hAnsi="宋体" w:cs="宋体"/>
          <w:color w:val="auto"/>
          <w:szCs w:val="21"/>
        </w:rPr>
        <w:t>供应商拟派至少1名专职安全生产管理人员且具有省级或以上交通运输行政主管部门颁发的安全生产考核合格证（C类）。</w:t>
      </w:r>
    </w:p>
    <w:p w14:paraId="7470FCE7">
      <w:pPr>
        <w:spacing w:line="340" w:lineRule="exact"/>
        <w:ind w:firstLine="420" w:firstLineChars="200"/>
        <w:rPr>
          <w:rFonts w:ascii="宋体" w:hAnsi="宋体" w:cs="宋体"/>
          <w:color w:val="auto"/>
          <w:kern w:val="0"/>
          <w:szCs w:val="21"/>
        </w:rPr>
      </w:pPr>
      <w:bookmarkStart w:id="19" w:name="_Toc71365907"/>
      <w:r>
        <w:rPr>
          <w:rFonts w:hint="eastAsia" w:ascii="宋体" w:hAnsi="宋体" w:cs="宋体"/>
          <w:color w:val="auto"/>
          <w:kern w:val="0"/>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DC3A8A0">
      <w:pPr>
        <w:spacing w:line="340" w:lineRule="exact"/>
        <w:ind w:firstLine="354" w:firstLineChars="147"/>
        <w:rPr>
          <w:rFonts w:ascii="宋体" w:hAnsi="宋体" w:cs="宋体"/>
          <w:b/>
          <w:color w:val="auto"/>
          <w:sz w:val="24"/>
        </w:rPr>
      </w:pPr>
      <w:r>
        <w:rPr>
          <w:rFonts w:hint="eastAsia" w:ascii="宋体" w:hAnsi="宋体" w:cs="宋体"/>
          <w:b/>
          <w:color w:val="auto"/>
          <w:sz w:val="24"/>
        </w:rPr>
        <w:t>三、获取竞争性磋商文件</w:t>
      </w:r>
      <w:bookmarkEnd w:id="14"/>
      <w:bookmarkEnd w:id="15"/>
      <w:bookmarkEnd w:id="16"/>
      <w:bookmarkEnd w:id="17"/>
      <w:bookmarkEnd w:id="18"/>
      <w:bookmarkEnd w:id="19"/>
    </w:p>
    <w:p w14:paraId="278FC1E3">
      <w:pPr>
        <w:spacing w:line="340" w:lineRule="exact"/>
        <w:ind w:firstLine="420" w:firstLineChars="200"/>
        <w:rPr>
          <w:rFonts w:ascii="宋体" w:hAnsi="宋体" w:cs="宋体"/>
          <w:bCs/>
          <w:color w:val="auto"/>
          <w:kern w:val="0"/>
          <w:szCs w:val="21"/>
        </w:rPr>
      </w:pPr>
      <w:bookmarkStart w:id="20" w:name="_Toc28359092"/>
      <w:bookmarkStart w:id="21" w:name="_Toc35393801"/>
      <w:bookmarkStart w:id="22" w:name="_Toc28359015"/>
      <w:bookmarkStart w:id="23" w:name="_Toc44229881"/>
      <w:bookmarkStart w:id="24" w:name="_Toc35393632"/>
      <w:r>
        <w:rPr>
          <w:rFonts w:hint="eastAsia" w:ascii="宋体" w:hAnsi="宋体" w:cs="宋体"/>
          <w:bCs/>
          <w:color w:val="auto"/>
          <w:kern w:val="0"/>
          <w:szCs w:val="21"/>
        </w:rPr>
        <w:t>时间：</w:t>
      </w:r>
      <w:r>
        <w:rPr>
          <w:rFonts w:hint="eastAsia" w:ascii="宋体" w:hAnsi="宋体" w:cs="宋体"/>
          <w:bCs/>
          <w:color w:val="auto"/>
          <w:szCs w:val="21"/>
          <w:u w:val="single"/>
        </w:rPr>
        <w:t>2026</w:t>
      </w:r>
      <w:r>
        <w:rPr>
          <w:rFonts w:hint="eastAsia" w:ascii="宋体" w:hAnsi="宋体" w:cs="宋体"/>
          <w:bCs/>
          <w:color w:val="auto"/>
          <w:szCs w:val="21"/>
        </w:rPr>
        <w:t>年</w:t>
      </w:r>
      <w:r>
        <w:rPr>
          <w:rFonts w:hint="eastAsia" w:ascii="宋体" w:hAnsi="宋体" w:cs="宋体"/>
          <w:bCs/>
          <w:color w:val="auto"/>
          <w:szCs w:val="21"/>
          <w:u w:val="single"/>
        </w:rPr>
        <w:t xml:space="preserve"> 6 </w:t>
      </w:r>
      <w:r>
        <w:rPr>
          <w:rFonts w:hint="eastAsia" w:ascii="宋体" w:hAnsi="宋体" w:cs="宋体"/>
          <w:bCs/>
          <w:color w:val="auto"/>
          <w:szCs w:val="21"/>
        </w:rPr>
        <w:t>月</w:t>
      </w:r>
      <w:r>
        <w:rPr>
          <w:rFonts w:hint="eastAsia" w:ascii="宋体" w:hAnsi="宋体" w:cs="宋体"/>
          <w:bCs/>
          <w:color w:val="auto"/>
          <w:szCs w:val="21"/>
          <w:u w:val="single"/>
          <w:lang w:val="en-US" w:eastAsia="zh-CN"/>
        </w:rPr>
        <w:t>15</w:t>
      </w:r>
      <w:r>
        <w:rPr>
          <w:rFonts w:hint="eastAsia" w:ascii="宋体" w:hAnsi="宋体" w:cs="宋体"/>
          <w:bCs/>
          <w:color w:val="auto"/>
          <w:szCs w:val="21"/>
        </w:rPr>
        <w:t>日</w:t>
      </w:r>
      <w:r>
        <w:rPr>
          <w:rFonts w:hint="eastAsia" w:ascii="宋体" w:hAnsi="宋体" w:cs="宋体"/>
          <w:bCs/>
          <w:color w:val="auto"/>
          <w:kern w:val="0"/>
          <w:szCs w:val="21"/>
        </w:rPr>
        <w:t>至</w:t>
      </w:r>
      <w:r>
        <w:rPr>
          <w:rFonts w:hint="eastAsia" w:ascii="宋体" w:hAnsi="宋体" w:cs="宋体"/>
          <w:bCs/>
          <w:color w:val="auto"/>
          <w:szCs w:val="21"/>
          <w:u w:val="single"/>
        </w:rPr>
        <w:t>2026</w:t>
      </w:r>
      <w:r>
        <w:rPr>
          <w:rFonts w:hint="eastAsia" w:ascii="宋体" w:hAnsi="宋体" w:cs="宋体"/>
          <w:bCs/>
          <w:color w:val="auto"/>
          <w:szCs w:val="21"/>
        </w:rPr>
        <w:t>年</w:t>
      </w:r>
      <w:r>
        <w:rPr>
          <w:rFonts w:hint="eastAsia" w:ascii="宋体" w:hAnsi="宋体" w:cs="宋体"/>
          <w:bCs/>
          <w:color w:val="auto"/>
          <w:szCs w:val="21"/>
          <w:u w:val="single"/>
        </w:rPr>
        <w:t xml:space="preserve"> 6 </w:t>
      </w:r>
      <w:r>
        <w:rPr>
          <w:rFonts w:hint="eastAsia" w:ascii="宋体" w:hAnsi="宋体" w:cs="宋体"/>
          <w:bCs/>
          <w:color w:val="auto"/>
          <w:szCs w:val="21"/>
        </w:rPr>
        <w:t>月</w:t>
      </w:r>
      <w:r>
        <w:rPr>
          <w:rFonts w:hint="eastAsia" w:ascii="宋体" w:hAnsi="宋体" w:cs="宋体"/>
          <w:bCs/>
          <w:color w:val="auto"/>
          <w:szCs w:val="21"/>
          <w:u w:val="single"/>
          <w:lang w:val="en-US" w:eastAsia="zh-CN"/>
        </w:rPr>
        <w:t>25</w:t>
      </w:r>
      <w:r>
        <w:rPr>
          <w:rFonts w:hint="eastAsia" w:ascii="宋体" w:hAnsi="宋体" w:cs="宋体"/>
          <w:bCs/>
          <w:color w:val="auto"/>
          <w:szCs w:val="21"/>
        </w:rPr>
        <w:t>日</w:t>
      </w:r>
      <w:r>
        <w:rPr>
          <w:rFonts w:hint="eastAsia" w:ascii="宋体" w:hAnsi="宋体" w:cs="宋体"/>
          <w:bCs/>
          <w:color w:val="auto"/>
          <w:kern w:val="0"/>
          <w:szCs w:val="21"/>
        </w:rPr>
        <w:t>，每天上午</w:t>
      </w:r>
      <w:r>
        <w:rPr>
          <w:rFonts w:hint="eastAsia" w:ascii="宋体" w:hAnsi="宋体" w:cs="宋体"/>
          <w:bCs/>
          <w:color w:val="auto"/>
          <w:kern w:val="0"/>
          <w:szCs w:val="21"/>
          <w:u w:val="single"/>
        </w:rPr>
        <w:t>0时00分</w:t>
      </w:r>
      <w:r>
        <w:rPr>
          <w:rFonts w:hint="eastAsia" w:ascii="宋体" w:hAnsi="宋体" w:cs="宋体"/>
          <w:bCs/>
          <w:color w:val="auto"/>
          <w:kern w:val="0"/>
          <w:szCs w:val="21"/>
        </w:rPr>
        <w:t>至</w:t>
      </w:r>
      <w:r>
        <w:rPr>
          <w:rFonts w:hint="eastAsia" w:ascii="宋体" w:hAnsi="宋体" w:cs="宋体"/>
          <w:bCs/>
          <w:color w:val="auto"/>
          <w:kern w:val="0"/>
          <w:szCs w:val="21"/>
          <w:u w:val="single"/>
        </w:rPr>
        <w:t>1</w:t>
      </w:r>
      <w:r>
        <w:rPr>
          <w:rFonts w:hint="eastAsia" w:ascii="宋体" w:hAnsi="宋体" w:cs="宋体"/>
          <w:bCs/>
          <w:color w:val="auto"/>
          <w:kern w:val="0"/>
          <w:szCs w:val="21"/>
          <w:u w:val="single"/>
          <w:lang w:val="en-US" w:eastAsia="zh-CN"/>
        </w:rPr>
        <w:t>2</w:t>
      </w:r>
      <w:r>
        <w:rPr>
          <w:rFonts w:hint="eastAsia" w:ascii="宋体" w:hAnsi="宋体" w:cs="宋体"/>
          <w:bCs/>
          <w:color w:val="auto"/>
          <w:kern w:val="0"/>
          <w:szCs w:val="21"/>
          <w:u w:val="single"/>
        </w:rPr>
        <w:t>时</w:t>
      </w:r>
      <w:r>
        <w:rPr>
          <w:rFonts w:hint="eastAsia" w:ascii="宋体" w:hAnsi="宋体" w:cs="宋体"/>
          <w:bCs/>
          <w:color w:val="auto"/>
          <w:kern w:val="0"/>
          <w:szCs w:val="21"/>
          <w:u w:val="single"/>
          <w:lang w:val="en-US" w:eastAsia="zh-CN"/>
        </w:rPr>
        <w:t>00</w:t>
      </w:r>
      <w:r>
        <w:rPr>
          <w:rFonts w:hint="eastAsia" w:ascii="宋体" w:hAnsi="宋体" w:cs="宋体"/>
          <w:bCs/>
          <w:color w:val="auto"/>
          <w:kern w:val="0"/>
          <w:szCs w:val="21"/>
          <w:u w:val="single"/>
        </w:rPr>
        <w:t>分</w:t>
      </w:r>
      <w:r>
        <w:rPr>
          <w:rFonts w:hint="eastAsia" w:ascii="宋体" w:hAnsi="宋体" w:cs="宋体"/>
          <w:bCs/>
          <w:color w:val="auto"/>
          <w:kern w:val="0"/>
          <w:szCs w:val="21"/>
        </w:rPr>
        <w:t>，下午</w:t>
      </w:r>
      <w:r>
        <w:rPr>
          <w:rFonts w:hint="eastAsia" w:ascii="宋体" w:hAnsi="宋体" w:cs="宋体"/>
          <w:bCs/>
          <w:color w:val="auto"/>
          <w:kern w:val="0"/>
          <w:szCs w:val="21"/>
          <w:u w:val="single"/>
        </w:rPr>
        <w:t>12时00分</w:t>
      </w:r>
      <w:r>
        <w:rPr>
          <w:rFonts w:hint="eastAsia" w:ascii="宋体" w:hAnsi="宋体" w:cs="宋体"/>
          <w:bCs/>
          <w:color w:val="auto"/>
          <w:kern w:val="0"/>
          <w:szCs w:val="21"/>
        </w:rPr>
        <w:t>至</w:t>
      </w:r>
      <w:r>
        <w:rPr>
          <w:rFonts w:hint="eastAsia" w:ascii="宋体" w:hAnsi="宋体" w:cs="宋体"/>
          <w:bCs/>
          <w:color w:val="auto"/>
          <w:kern w:val="0"/>
          <w:szCs w:val="21"/>
          <w:u w:val="single"/>
        </w:rPr>
        <w:t>23时59分</w:t>
      </w:r>
      <w:r>
        <w:rPr>
          <w:rFonts w:hint="eastAsia" w:ascii="宋体" w:hAnsi="宋体" w:cs="宋体"/>
          <w:bCs/>
          <w:color w:val="auto"/>
          <w:kern w:val="0"/>
          <w:szCs w:val="21"/>
        </w:rPr>
        <w:t>（北京时间，法定节假日除外）</w:t>
      </w:r>
    </w:p>
    <w:p w14:paraId="0C4BC0B1">
      <w:pPr>
        <w:spacing w:line="340" w:lineRule="exact"/>
        <w:ind w:firstLine="420" w:firstLineChars="200"/>
        <w:rPr>
          <w:rFonts w:ascii="宋体" w:hAnsi="宋体" w:cs="宋体"/>
          <w:bCs/>
          <w:color w:val="auto"/>
          <w:kern w:val="0"/>
          <w:szCs w:val="21"/>
        </w:rPr>
      </w:pPr>
      <w:r>
        <w:rPr>
          <w:rFonts w:hint="eastAsia" w:ascii="宋体" w:hAnsi="宋体" w:cs="宋体"/>
          <w:bCs/>
          <w:color w:val="auto"/>
          <w:kern w:val="0"/>
          <w:szCs w:val="21"/>
        </w:rPr>
        <w:t xml:space="preserve">地点：广西政府采购云平台（https://www.gcy.zfcg.gxzf.gov.cn/）  </w:t>
      </w:r>
    </w:p>
    <w:p w14:paraId="0D3D4680">
      <w:pPr>
        <w:spacing w:line="340" w:lineRule="exact"/>
        <w:ind w:firstLine="420" w:firstLineChars="200"/>
        <w:rPr>
          <w:rFonts w:ascii="宋体" w:hAnsi="宋体" w:cs="宋体"/>
          <w:bCs/>
          <w:color w:val="auto"/>
          <w:kern w:val="0"/>
          <w:szCs w:val="21"/>
        </w:rPr>
      </w:pPr>
      <w:r>
        <w:rPr>
          <w:rFonts w:hint="eastAsia" w:ascii="宋体" w:hAnsi="宋体" w:cs="宋体"/>
          <w:bCs/>
          <w:color w:val="auto"/>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s="宋体"/>
          <w:color w:val="auto"/>
          <w:szCs w:val="21"/>
        </w:rPr>
        <w:t>电子</w:t>
      </w:r>
      <w:r>
        <w:rPr>
          <w:rFonts w:hint="eastAsia" w:ascii="宋体" w:hAnsi="宋体" w:cs="宋体"/>
          <w:color w:val="auto"/>
        </w:rPr>
        <w:t>响应文件</w:t>
      </w:r>
      <w:r>
        <w:rPr>
          <w:rFonts w:hint="eastAsia" w:ascii="宋体" w:hAnsi="宋体" w:cs="宋体"/>
          <w:color w:val="auto"/>
          <w:szCs w:val="21"/>
        </w:rPr>
        <w:t>制作需要基于广西政府采购云平台获取的磋商文件编制，</w:t>
      </w:r>
      <w:r>
        <w:rPr>
          <w:rFonts w:hint="eastAsia" w:ascii="宋体" w:hAnsi="宋体" w:cs="宋体"/>
          <w:bCs/>
          <w:color w:val="auto"/>
          <w:kern w:val="0"/>
          <w:szCs w:val="21"/>
        </w:rPr>
        <w:t>通过其他方式获取磋商文件的，将有可能导致供应商无法在广西政府采购云平台编制及上传响应文件。</w:t>
      </w:r>
    </w:p>
    <w:p w14:paraId="2D6DB398">
      <w:pPr>
        <w:spacing w:line="340" w:lineRule="exact"/>
        <w:ind w:firstLine="420" w:firstLineChars="200"/>
        <w:rPr>
          <w:rFonts w:ascii="宋体" w:hAnsi="宋体" w:cs="宋体"/>
          <w:color w:val="auto"/>
          <w:szCs w:val="21"/>
        </w:rPr>
      </w:pPr>
      <w:r>
        <w:rPr>
          <w:rFonts w:hint="eastAsia" w:ascii="宋体" w:hAnsi="宋体" w:cs="宋体"/>
          <w:bCs/>
          <w:color w:val="auto"/>
          <w:kern w:val="0"/>
          <w:szCs w:val="21"/>
        </w:rPr>
        <w:t>售价：</w:t>
      </w:r>
      <w:r>
        <w:rPr>
          <w:rFonts w:hint="eastAsia" w:ascii="宋体" w:hAnsi="宋体" w:cs="宋体"/>
          <w:color w:val="auto"/>
          <w:szCs w:val="21"/>
          <w:u w:val="single"/>
        </w:rPr>
        <w:t>0</w:t>
      </w:r>
      <w:r>
        <w:rPr>
          <w:rFonts w:hint="eastAsia" w:ascii="宋体" w:hAnsi="宋体" w:cs="宋体"/>
          <w:color w:val="auto"/>
          <w:szCs w:val="21"/>
        </w:rPr>
        <w:t>元。</w:t>
      </w:r>
    </w:p>
    <w:p w14:paraId="0566C02A">
      <w:pPr>
        <w:spacing w:line="340" w:lineRule="exact"/>
        <w:ind w:firstLine="354" w:firstLineChars="147"/>
        <w:rPr>
          <w:rFonts w:ascii="宋体" w:hAnsi="宋体" w:cs="宋体"/>
          <w:b/>
          <w:color w:val="auto"/>
          <w:sz w:val="24"/>
        </w:rPr>
      </w:pPr>
      <w:bookmarkStart w:id="25" w:name="_Toc71365908"/>
      <w:r>
        <w:rPr>
          <w:rFonts w:hint="eastAsia" w:ascii="宋体" w:hAnsi="宋体" w:cs="宋体"/>
          <w:b/>
          <w:color w:val="auto"/>
          <w:sz w:val="24"/>
        </w:rPr>
        <w:t>四、响应文件提交</w:t>
      </w:r>
      <w:bookmarkEnd w:id="20"/>
      <w:bookmarkEnd w:id="21"/>
      <w:bookmarkEnd w:id="22"/>
      <w:bookmarkEnd w:id="23"/>
      <w:bookmarkEnd w:id="24"/>
      <w:bookmarkEnd w:id="25"/>
    </w:p>
    <w:p w14:paraId="46B0BA3D">
      <w:pPr>
        <w:spacing w:line="340" w:lineRule="exact"/>
        <w:ind w:firstLine="420" w:firstLineChars="200"/>
        <w:rPr>
          <w:rFonts w:ascii="宋体" w:hAnsi="宋体" w:cs="宋体"/>
          <w:bCs/>
          <w:color w:val="auto"/>
          <w:szCs w:val="21"/>
        </w:rPr>
      </w:pPr>
      <w:bookmarkStart w:id="26" w:name="_Toc44229882"/>
      <w:bookmarkStart w:id="27" w:name="_Toc28359016"/>
      <w:bookmarkStart w:id="28" w:name="_Toc35393633"/>
      <w:bookmarkStart w:id="29" w:name="_Toc28359093"/>
      <w:bookmarkStart w:id="30" w:name="_Toc35393802"/>
      <w:r>
        <w:rPr>
          <w:rFonts w:hint="eastAsia" w:ascii="宋体" w:hAnsi="宋体" w:cs="宋体"/>
          <w:color w:val="auto"/>
          <w:szCs w:val="21"/>
        </w:rPr>
        <w:t>截止时间：</w:t>
      </w:r>
      <w:r>
        <w:rPr>
          <w:rFonts w:hint="eastAsia" w:ascii="宋体" w:hAnsi="宋体" w:cs="宋体"/>
          <w:bCs/>
          <w:color w:val="auto"/>
          <w:szCs w:val="21"/>
          <w:u w:val="single"/>
        </w:rPr>
        <w:t>2026</w:t>
      </w:r>
      <w:r>
        <w:rPr>
          <w:rFonts w:hint="eastAsia" w:ascii="宋体" w:hAnsi="宋体" w:cs="宋体"/>
          <w:bCs/>
          <w:color w:val="auto"/>
          <w:szCs w:val="21"/>
        </w:rPr>
        <w:t>年</w:t>
      </w:r>
      <w:r>
        <w:rPr>
          <w:rFonts w:hint="eastAsia" w:ascii="宋体" w:hAnsi="宋体" w:cs="宋体"/>
          <w:bCs/>
          <w:color w:val="auto"/>
          <w:szCs w:val="21"/>
          <w:u w:val="single"/>
        </w:rPr>
        <w:t xml:space="preserve"> 6 </w:t>
      </w:r>
      <w:r>
        <w:rPr>
          <w:rFonts w:hint="eastAsia" w:ascii="宋体" w:hAnsi="宋体" w:cs="宋体"/>
          <w:bCs/>
          <w:color w:val="auto"/>
          <w:szCs w:val="21"/>
        </w:rPr>
        <w:t>月</w:t>
      </w:r>
      <w:r>
        <w:rPr>
          <w:rFonts w:hint="eastAsia" w:ascii="宋体" w:hAnsi="宋体" w:cs="宋体"/>
          <w:bCs/>
          <w:color w:val="auto"/>
          <w:szCs w:val="21"/>
          <w:u w:val="single"/>
          <w:lang w:val="en-US" w:eastAsia="zh-CN"/>
        </w:rPr>
        <w:t>26</w:t>
      </w:r>
      <w:r>
        <w:rPr>
          <w:rFonts w:hint="eastAsia" w:ascii="宋体" w:hAnsi="宋体" w:cs="宋体"/>
          <w:bCs/>
          <w:color w:val="auto"/>
          <w:szCs w:val="21"/>
        </w:rPr>
        <w:t>日</w:t>
      </w:r>
      <w:r>
        <w:rPr>
          <w:rFonts w:hint="eastAsia" w:ascii="宋体" w:hAnsi="宋体" w:cs="宋体"/>
          <w:bCs/>
          <w:color w:val="auto"/>
          <w:szCs w:val="21"/>
          <w:u w:val="single"/>
        </w:rPr>
        <w:t xml:space="preserve"> 1</w:t>
      </w:r>
      <w:r>
        <w:rPr>
          <w:rFonts w:hint="eastAsia" w:ascii="宋体" w:hAnsi="宋体" w:cs="宋体"/>
          <w:bCs/>
          <w:color w:val="auto"/>
          <w:szCs w:val="21"/>
          <w:u w:val="single"/>
          <w:lang w:val="en-US" w:eastAsia="zh-CN"/>
        </w:rPr>
        <w:t>5</w:t>
      </w:r>
      <w:r>
        <w:rPr>
          <w:rFonts w:hint="eastAsia" w:ascii="宋体" w:hAnsi="宋体" w:cs="宋体"/>
          <w:bCs/>
          <w:color w:val="auto"/>
          <w:szCs w:val="21"/>
          <w:u w:val="single"/>
        </w:rPr>
        <w:t xml:space="preserve"> </w:t>
      </w:r>
      <w:r>
        <w:rPr>
          <w:rFonts w:hint="eastAsia" w:ascii="宋体" w:hAnsi="宋体" w:cs="宋体"/>
          <w:bCs/>
          <w:color w:val="auto"/>
          <w:szCs w:val="21"/>
        </w:rPr>
        <w:t>时</w:t>
      </w:r>
      <w:r>
        <w:rPr>
          <w:rFonts w:hint="eastAsia" w:ascii="宋体" w:hAnsi="宋体" w:cs="宋体"/>
          <w:bCs/>
          <w:color w:val="auto"/>
          <w:szCs w:val="21"/>
          <w:u w:val="single"/>
        </w:rPr>
        <w:t xml:space="preserve"> 30 </w:t>
      </w:r>
      <w:r>
        <w:rPr>
          <w:rFonts w:hint="eastAsia" w:ascii="宋体" w:hAnsi="宋体" w:cs="宋体"/>
          <w:bCs/>
          <w:color w:val="auto"/>
          <w:szCs w:val="21"/>
        </w:rPr>
        <w:t>分（北京时间）</w:t>
      </w:r>
    </w:p>
    <w:p w14:paraId="74AF019B">
      <w:pPr>
        <w:spacing w:line="340" w:lineRule="exact"/>
        <w:ind w:firstLine="420" w:firstLineChars="200"/>
        <w:rPr>
          <w:rFonts w:ascii="宋体" w:hAnsi="宋体" w:cs="宋体"/>
          <w:color w:val="auto"/>
          <w:szCs w:val="21"/>
        </w:rPr>
      </w:pPr>
      <w:r>
        <w:rPr>
          <w:rFonts w:hint="eastAsia" w:ascii="宋体" w:hAnsi="宋体" w:cs="宋体"/>
          <w:color w:val="auto"/>
          <w:szCs w:val="21"/>
        </w:rPr>
        <w:t xml:space="preserve">地点：广西政府采购云平台（https://www.gcy.zfcg.gxzf.gov.cn/）  </w:t>
      </w:r>
    </w:p>
    <w:p w14:paraId="6C77997C">
      <w:pPr>
        <w:spacing w:line="340" w:lineRule="exact"/>
        <w:ind w:firstLine="354" w:firstLineChars="147"/>
        <w:rPr>
          <w:rFonts w:ascii="宋体" w:hAnsi="宋体" w:cs="宋体"/>
          <w:b/>
          <w:color w:val="auto"/>
          <w:sz w:val="24"/>
        </w:rPr>
      </w:pPr>
      <w:bookmarkStart w:id="31" w:name="_Toc71365909"/>
      <w:r>
        <w:rPr>
          <w:rFonts w:hint="eastAsia" w:ascii="宋体" w:hAnsi="宋体" w:cs="宋体"/>
          <w:b/>
          <w:color w:val="auto"/>
          <w:sz w:val="24"/>
        </w:rPr>
        <w:t>五、开启</w:t>
      </w:r>
      <w:bookmarkEnd w:id="26"/>
      <w:bookmarkEnd w:id="27"/>
      <w:bookmarkEnd w:id="28"/>
      <w:bookmarkEnd w:id="29"/>
      <w:bookmarkEnd w:id="30"/>
      <w:bookmarkEnd w:id="31"/>
    </w:p>
    <w:p w14:paraId="2AFB9AF6">
      <w:pPr>
        <w:spacing w:line="340" w:lineRule="exact"/>
        <w:ind w:firstLine="420" w:firstLineChars="200"/>
        <w:rPr>
          <w:rFonts w:ascii="宋体" w:hAnsi="宋体" w:cs="宋体"/>
          <w:bCs/>
          <w:color w:val="auto"/>
          <w:szCs w:val="21"/>
          <w:u w:val="single"/>
        </w:rPr>
      </w:pPr>
      <w:r>
        <w:rPr>
          <w:rFonts w:hint="eastAsia" w:ascii="宋体" w:hAnsi="宋体" w:cs="宋体"/>
          <w:color w:val="auto"/>
          <w:szCs w:val="21"/>
        </w:rPr>
        <w:t>1.时间：</w:t>
      </w:r>
      <w:r>
        <w:rPr>
          <w:rFonts w:hint="eastAsia" w:ascii="宋体" w:hAnsi="宋体" w:cs="宋体"/>
          <w:bCs/>
          <w:color w:val="auto"/>
          <w:szCs w:val="21"/>
          <w:u w:val="single"/>
        </w:rPr>
        <w:t>2026</w:t>
      </w:r>
      <w:r>
        <w:rPr>
          <w:rFonts w:hint="eastAsia" w:ascii="宋体" w:hAnsi="宋体" w:cs="宋体"/>
          <w:bCs/>
          <w:color w:val="auto"/>
          <w:szCs w:val="21"/>
        </w:rPr>
        <w:t>年</w:t>
      </w:r>
      <w:r>
        <w:rPr>
          <w:rFonts w:hint="eastAsia" w:ascii="宋体" w:hAnsi="宋体" w:cs="宋体"/>
          <w:bCs/>
          <w:color w:val="auto"/>
          <w:szCs w:val="21"/>
          <w:u w:val="single"/>
        </w:rPr>
        <w:t xml:space="preserve"> 6 </w:t>
      </w:r>
      <w:r>
        <w:rPr>
          <w:rFonts w:hint="eastAsia" w:ascii="宋体" w:hAnsi="宋体" w:cs="宋体"/>
          <w:bCs/>
          <w:color w:val="auto"/>
          <w:szCs w:val="21"/>
        </w:rPr>
        <w:t>月</w:t>
      </w:r>
      <w:r>
        <w:rPr>
          <w:rFonts w:hint="eastAsia" w:ascii="宋体" w:hAnsi="宋体" w:cs="宋体"/>
          <w:bCs/>
          <w:color w:val="auto"/>
          <w:szCs w:val="21"/>
          <w:u w:val="single"/>
          <w:lang w:val="en-US" w:eastAsia="zh-CN"/>
        </w:rPr>
        <w:t>26</w:t>
      </w:r>
      <w:r>
        <w:rPr>
          <w:rFonts w:hint="eastAsia" w:ascii="宋体" w:hAnsi="宋体" w:cs="宋体"/>
          <w:bCs/>
          <w:color w:val="auto"/>
          <w:szCs w:val="21"/>
        </w:rPr>
        <w:t>日</w:t>
      </w:r>
      <w:r>
        <w:rPr>
          <w:rFonts w:hint="eastAsia" w:ascii="宋体" w:hAnsi="宋体" w:cs="宋体"/>
          <w:bCs/>
          <w:color w:val="auto"/>
          <w:szCs w:val="21"/>
          <w:u w:val="single"/>
        </w:rPr>
        <w:t xml:space="preserve"> 1</w:t>
      </w:r>
      <w:r>
        <w:rPr>
          <w:rFonts w:hint="eastAsia" w:ascii="宋体" w:hAnsi="宋体" w:cs="宋体"/>
          <w:bCs/>
          <w:color w:val="auto"/>
          <w:szCs w:val="21"/>
          <w:u w:val="single"/>
          <w:lang w:val="en-US" w:eastAsia="zh-CN"/>
        </w:rPr>
        <w:t>5</w:t>
      </w:r>
      <w:r>
        <w:rPr>
          <w:rFonts w:hint="eastAsia" w:ascii="宋体" w:hAnsi="宋体" w:cs="宋体"/>
          <w:bCs/>
          <w:color w:val="auto"/>
          <w:szCs w:val="21"/>
        </w:rPr>
        <w:t>时</w:t>
      </w:r>
      <w:r>
        <w:rPr>
          <w:rFonts w:hint="eastAsia" w:ascii="宋体" w:hAnsi="宋体" w:cs="宋体"/>
          <w:bCs/>
          <w:color w:val="auto"/>
          <w:szCs w:val="21"/>
          <w:u w:val="single"/>
        </w:rPr>
        <w:t>30</w:t>
      </w:r>
      <w:r>
        <w:rPr>
          <w:rFonts w:hint="eastAsia" w:ascii="宋体" w:hAnsi="宋体" w:cs="宋体"/>
          <w:bCs/>
          <w:color w:val="auto"/>
          <w:szCs w:val="21"/>
        </w:rPr>
        <w:t>分（北京时间）</w:t>
      </w:r>
    </w:p>
    <w:p w14:paraId="629AEB1B">
      <w:pPr>
        <w:spacing w:line="340" w:lineRule="exact"/>
        <w:ind w:firstLine="420" w:firstLineChars="200"/>
        <w:rPr>
          <w:rFonts w:ascii="宋体" w:hAnsi="宋体" w:cs="宋体"/>
          <w:bCs/>
          <w:color w:val="auto"/>
          <w:szCs w:val="21"/>
          <w:u w:val="single"/>
        </w:rPr>
      </w:pPr>
      <w:r>
        <w:rPr>
          <w:rFonts w:hint="eastAsia" w:ascii="宋体" w:hAnsi="宋体" w:cs="宋体"/>
          <w:color w:val="auto"/>
          <w:szCs w:val="21"/>
        </w:rPr>
        <w:t xml:space="preserve">2.地点：广西政府采购云平台（https://www.gcy.zfcg.gxzf.gov.cn/）  </w:t>
      </w:r>
    </w:p>
    <w:p w14:paraId="455077ED">
      <w:pPr>
        <w:spacing w:line="340" w:lineRule="exact"/>
        <w:ind w:firstLine="354" w:firstLineChars="147"/>
        <w:rPr>
          <w:rFonts w:ascii="宋体" w:hAnsi="宋体" w:cs="宋体"/>
          <w:b/>
          <w:color w:val="auto"/>
          <w:sz w:val="24"/>
        </w:rPr>
      </w:pPr>
      <w:bookmarkStart w:id="32" w:name="_Toc71365910"/>
      <w:bookmarkStart w:id="33" w:name="_Toc35393803"/>
      <w:bookmarkStart w:id="34" w:name="_Toc35393634"/>
      <w:bookmarkStart w:id="35" w:name="_Toc28359094"/>
      <w:bookmarkStart w:id="36" w:name="_Toc44229883"/>
      <w:bookmarkStart w:id="37" w:name="_Toc28359017"/>
      <w:r>
        <w:rPr>
          <w:rFonts w:hint="eastAsia" w:ascii="宋体" w:hAnsi="宋体" w:cs="宋体"/>
          <w:b/>
          <w:color w:val="auto"/>
          <w:sz w:val="24"/>
        </w:rPr>
        <w:t>六、公告期限</w:t>
      </w:r>
      <w:bookmarkEnd w:id="32"/>
      <w:bookmarkEnd w:id="33"/>
      <w:bookmarkEnd w:id="34"/>
      <w:bookmarkEnd w:id="35"/>
      <w:bookmarkEnd w:id="36"/>
      <w:bookmarkEnd w:id="37"/>
    </w:p>
    <w:p w14:paraId="642E64B5">
      <w:pPr>
        <w:spacing w:line="340" w:lineRule="exact"/>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3CED47E3">
      <w:pPr>
        <w:spacing w:line="340" w:lineRule="exact"/>
        <w:ind w:firstLine="354" w:firstLineChars="147"/>
        <w:rPr>
          <w:rFonts w:ascii="宋体" w:hAnsi="宋体" w:cs="宋体"/>
          <w:b/>
          <w:color w:val="auto"/>
          <w:sz w:val="24"/>
        </w:rPr>
      </w:pPr>
      <w:bookmarkStart w:id="38" w:name="_Toc71365911"/>
      <w:bookmarkStart w:id="39" w:name="_Toc35393635"/>
      <w:bookmarkStart w:id="40" w:name="_Toc35393804"/>
      <w:bookmarkStart w:id="41" w:name="_Toc44229884"/>
      <w:r>
        <w:rPr>
          <w:rFonts w:hint="eastAsia" w:ascii="宋体" w:hAnsi="宋体" w:cs="宋体"/>
          <w:b/>
          <w:color w:val="auto"/>
          <w:sz w:val="24"/>
        </w:rPr>
        <w:t>七、其他补充事宜</w:t>
      </w:r>
      <w:bookmarkEnd w:id="38"/>
      <w:bookmarkEnd w:id="39"/>
      <w:bookmarkEnd w:id="40"/>
      <w:bookmarkEnd w:id="41"/>
    </w:p>
    <w:p w14:paraId="5C26CEAD">
      <w:pPr>
        <w:spacing w:line="340" w:lineRule="exact"/>
        <w:ind w:firstLine="420" w:firstLineChars="200"/>
        <w:rPr>
          <w:rFonts w:ascii="宋体" w:hAnsi="宋体" w:cs="宋体"/>
          <w:color w:val="auto"/>
          <w:kern w:val="0"/>
          <w:szCs w:val="21"/>
        </w:rPr>
      </w:pPr>
      <w:r>
        <w:rPr>
          <w:rFonts w:hint="eastAsia" w:ascii="宋体" w:hAnsi="宋体" w:cs="宋体"/>
          <w:color w:val="auto"/>
          <w:kern w:val="0"/>
          <w:szCs w:val="21"/>
        </w:rPr>
        <w:t>1.磋商保证金（人民币）：</w:t>
      </w:r>
      <w:r>
        <w:rPr>
          <w:rFonts w:hint="eastAsia" w:ascii="宋体" w:hAnsi="宋体" w:eastAsia="宋体" w:cs="宋体"/>
          <w:color w:val="auto"/>
          <w:kern w:val="0"/>
          <w:szCs w:val="21"/>
          <w:highlight w:val="none"/>
        </w:rPr>
        <w:t>本项目不收取</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保证金</w:t>
      </w:r>
      <w:r>
        <w:rPr>
          <w:rFonts w:hint="eastAsia" w:ascii="宋体" w:hAnsi="宋体" w:cs="宋体"/>
          <w:color w:val="auto"/>
          <w:kern w:val="0"/>
          <w:szCs w:val="21"/>
        </w:rPr>
        <w:t>。</w:t>
      </w:r>
    </w:p>
    <w:p w14:paraId="0CF101AD">
      <w:pPr>
        <w:wordWrap w:val="0"/>
        <w:spacing w:line="340" w:lineRule="exact"/>
        <w:ind w:firstLine="420" w:firstLineChars="200"/>
        <w:jc w:val="left"/>
        <w:rPr>
          <w:rFonts w:hint="eastAsia" w:ascii="宋体" w:hAnsi="宋体" w:cs="宋体"/>
          <w:color w:val="auto"/>
          <w:kern w:val="0"/>
          <w:szCs w:val="21"/>
          <w:u w:val="none"/>
        </w:rPr>
      </w:pPr>
      <w:r>
        <w:rPr>
          <w:rFonts w:hint="eastAsia" w:ascii="宋体" w:hAnsi="宋体" w:cs="宋体"/>
          <w:color w:val="auto"/>
          <w:kern w:val="0"/>
          <w:szCs w:val="21"/>
          <w:u w:val="none"/>
        </w:rPr>
        <w:t>2.网上查询地址：中国政府采购网（http://www.ccgp.gov.cn）、广西壮族自治区政府采购网（</w:t>
      </w:r>
      <w:r>
        <w:rPr>
          <w:color w:val="auto"/>
          <w:u w:val="none"/>
        </w:rPr>
        <w:fldChar w:fldCharType="begin"/>
      </w:r>
      <w:r>
        <w:rPr>
          <w:color w:val="auto"/>
          <w:u w:val="none"/>
        </w:rPr>
        <w:instrText xml:space="preserve"> HYPERLINK "http://www.ccgp-guangxi.gov.cn/" </w:instrText>
      </w:r>
      <w:r>
        <w:rPr>
          <w:color w:val="auto"/>
          <w:u w:val="none"/>
        </w:rPr>
        <w:fldChar w:fldCharType="separate"/>
      </w:r>
      <w:r>
        <w:rPr>
          <w:rStyle w:val="58"/>
          <w:rFonts w:hint="eastAsia" w:ascii="宋体" w:hAnsi="宋体" w:cs="宋体"/>
          <w:color w:val="auto"/>
          <w:kern w:val="0"/>
          <w:szCs w:val="21"/>
          <w:u w:val="none"/>
        </w:rPr>
        <w:t>http://www.ccgp-guangxi.gov.cn/</w:t>
      </w:r>
      <w:r>
        <w:rPr>
          <w:rStyle w:val="58"/>
          <w:rFonts w:hint="eastAsia" w:ascii="宋体" w:hAnsi="宋体" w:cs="宋体"/>
          <w:color w:val="auto"/>
          <w:kern w:val="0"/>
          <w:szCs w:val="21"/>
          <w:u w:val="none"/>
        </w:rPr>
        <w:fldChar w:fldCharType="end"/>
      </w:r>
      <w:r>
        <w:rPr>
          <w:rFonts w:hint="eastAsia" w:ascii="宋体" w:hAnsi="宋体" w:cs="宋体"/>
          <w:color w:val="auto"/>
          <w:kern w:val="0"/>
          <w:szCs w:val="21"/>
          <w:u w:val="none"/>
        </w:rPr>
        <w:t>）。</w:t>
      </w:r>
      <w:bookmarkStart w:id="42" w:name="_Hlk37429674"/>
      <w:bookmarkStart w:id="43" w:name="_Toc35393636"/>
      <w:bookmarkStart w:id="44" w:name="_Toc28359018"/>
      <w:bookmarkStart w:id="45" w:name="_Toc44229885"/>
      <w:bookmarkStart w:id="46" w:name="_Toc35393805"/>
      <w:bookmarkStart w:id="47" w:name="_Toc28359095"/>
    </w:p>
    <w:p w14:paraId="42E14C58">
      <w:pPr>
        <w:spacing w:line="340" w:lineRule="exact"/>
        <w:ind w:firstLine="424" w:firstLineChars="202"/>
        <w:rPr>
          <w:rFonts w:ascii="宋体" w:hAnsi="宋体" w:cs="宋体"/>
          <w:color w:val="auto"/>
          <w:kern w:val="0"/>
          <w:szCs w:val="21"/>
        </w:rPr>
      </w:pPr>
      <w:r>
        <w:rPr>
          <w:rFonts w:hint="eastAsia" w:ascii="宋体" w:hAnsi="宋体" w:cs="宋体"/>
          <w:color w:val="auto"/>
          <w:szCs w:val="21"/>
          <w:lang w:val="en-US" w:eastAsia="zh-CN"/>
        </w:rPr>
        <w:t>3</w:t>
      </w:r>
      <w:r>
        <w:rPr>
          <w:rFonts w:hint="eastAsia" w:ascii="宋体" w:hAnsi="宋体" w:cs="宋体"/>
          <w:color w:val="auto"/>
          <w:szCs w:val="21"/>
        </w:rPr>
        <w:t>.</w:t>
      </w:r>
      <w:r>
        <w:rPr>
          <w:rFonts w:hint="eastAsia" w:ascii="宋体" w:hAnsi="宋体" w:cs="宋体"/>
          <w:color w:val="auto"/>
          <w:kern w:val="0"/>
          <w:szCs w:val="21"/>
        </w:rPr>
        <w:t>本项目需要落实的政府采购政策</w:t>
      </w:r>
    </w:p>
    <w:p w14:paraId="1407E287">
      <w:pPr>
        <w:spacing w:line="340" w:lineRule="exact"/>
        <w:ind w:firstLine="424" w:firstLineChars="202"/>
        <w:rPr>
          <w:rFonts w:ascii="宋体" w:hAnsi="宋体" w:cs="宋体"/>
          <w:color w:val="auto"/>
          <w:kern w:val="0"/>
          <w:szCs w:val="21"/>
        </w:rPr>
      </w:pPr>
      <w:r>
        <w:rPr>
          <w:rFonts w:hint="eastAsia" w:ascii="宋体" w:hAnsi="宋体" w:cs="宋体"/>
          <w:color w:val="auto"/>
          <w:kern w:val="0"/>
          <w:szCs w:val="21"/>
        </w:rPr>
        <w:t>（1）政府采购促进中小企业发展。</w:t>
      </w:r>
    </w:p>
    <w:p w14:paraId="15D1B365">
      <w:pPr>
        <w:spacing w:line="340" w:lineRule="exact"/>
        <w:ind w:firstLine="424" w:firstLineChars="202"/>
        <w:rPr>
          <w:rFonts w:ascii="宋体" w:hAnsi="宋体" w:cs="宋体"/>
          <w:color w:val="auto"/>
          <w:kern w:val="0"/>
          <w:szCs w:val="21"/>
        </w:rPr>
      </w:pPr>
      <w:r>
        <w:rPr>
          <w:rFonts w:hint="eastAsia" w:ascii="宋体" w:hAnsi="宋体" w:cs="宋体"/>
          <w:color w:val="auto"/>
          <w:kern w:val="0"/>
          <w:szCs w:val="21"/>
        </w:rPr>
        <w:t>（2）政府采购支持采用本国产品的政策。</w:t>
      </w:r>
    </w:p>
    <w:p w14:paraId="78C9778C">
      <w:pPr>
        <w:spacing w:line="340" w:lineRule="exact"/>
        <w:ind w:firstLine="424" w:firstLineChars="202"/>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5783D853">
      <w:pPr>
        <w:spacing w:line="340" w:lineRule="exact"/>
        <w:ind w:firstLine="424" w:firstLineChars="202"/>
        <w:rPr>
          <w:rFonts w:ascii="宋体" w:hAnsi="宋体" w:cs="宋体"/>
          <w:color w:val="auto"/>
          <w:kern w:val="0"/>
          <w:szCs w:val="21"/>
        </w:rPr>
      </w:pPr>
      <w:r>
        <w:rPr>
          <w:rFonts w:hint="eastAsia" w:ascii="宋体" w:hAnsi="宋体" w:cs="宋体"/>
          <w:color w:val="auto"/>
          <w:kern w:val="0"/>
          <w:szCs w:val="21"/>
        </w:rPr>
        <w:t>（4）政府采购促进残疾人就业政策。</w:t>
      </w:r>
    </w:p>
    <w:p w14:paraId="68749AA8">
      <w:pPr>
        <w:spacing w:line="340" w:lineRule="exact"/>
        <w:ind w:firstLine="424" w:firstLineChars="202"/>
        <w:rPr>
          <w:rFonts w:ascii="宋体" w:hAnsi="宋体" w:cs="宋体"/>
          <w:color w:val="auto"/>
          <w:kern w:val="0"/>
          <w:szCs w:val="21"/>
        </w:rPr>
      </w:pPr>
      <w:r>
        <w:rPr>
          <w:rFonts w:hint="eastAsia" w:ascii="宋体" w:hAnsi="宋体" w:cs="宋体"/>
          <w:color w:val="auto"/>
          <w:kern w:val="0"/>
          <w:szCs w:val="21"/>
        </w:rPr>
        <w:t>（5）政府采购支持监狱企业发展。</w:t>
      </w:r>
    </w:p>
    <w:bookmarkEnd w:id="42"/>
    <w:p w14:paraId="540EC8FF">
      <w:pPr>
        <w:widowControl/>
        <w:spacing w:line="340" w:lineRule="exact"/>
        <w:ind w:firstLine="420" w:firstLineChars="200"/>
        <w:jc w:val="left"/>
        <w:rPr>
          <w:rFonts w:ascii="宋体" w:hAnsi="宋体" w:cs="宋体"/>
          <w:color w:val="auto"/>
          <w:szCs w:val="21"/>
        </w:rPr>
      </w:pPr>
      <w:r>
        <w:rPr>
          <w:rFonts w:hint="eastAsia" w:ascii="宋体" w:hAnsi="宋体" w:cs="宋体"/>
          <w:color w:val="auto"/>
          <w:kern w:val="0"/>
          <w:szCs w:val="21"/>
          <w:lang w:val="en-US" w:eastAsia="zh-CN"/>
        </w:rPr>
        <w:t>4</w:t>
      </w:r>
      <w:r>
        <w:rPr>
          <w:rFonts w:hint="eastAsia" w:ascii="宋体" w:hAnsi="宋体" w:cs="宋体"/>
          <w:color w:val="auto"/>
          <w:kern w:val="0"/>
          <w:szCs w:val="21"/>
        </w:rPr>
        <w:t>.供应商</w:t>
      </w:r>
      <w:r>
        <w:rPr>
          <w:rFonts w:hint="eastAsia" w:ascii="宋体" w:hAnsi="宋体" w:cs="宋体"/>
          <w:color w:val="auto"/>
          <w:szCs w:val="21"/>
        </w:rPr>
        <w:t>竞标注意事项</w:t>
      </w:r>
    </w:p>
    <w:p w14:paraId="38930EFE">
      <w:pPr>
        <w:spacing w:line="340" w:lineRule="exact"/>
        <w:ind w:firstLine="424" w:firstLineChars="202"/>
        <w:rPr>
          <w:rFonts w:ascii="宋体" w:hAnsi="宋体" w:cs="宋体"/>
          <w:color w:val="auto"/>
          <w:kern w:val="0"/>
          <w:szCs w:val="21"/>
        </w:rPr>
      </w:pPr>
      <w:r>
        <w:rPr>
          <w:rFonts w:hint="eastAsia" w:ascii="宋体" w:hAnsi="宋体" w:cs="宋体"/>
          <w:color w:val="auto"/>
          <w:kern w:val="0"/>
          <w:szCs w:val="21"/>
        </w:rPr>
        <w:t>（1）响应文件提交方式：本项目为全流程电子化政府采购项目，通过广西政府采购云平台（https://www.gcy.zfcg.gxzf.gov.cn/)实行在线电子磋商采购，供应商应先安装“广西政府采购云平台新版客户端”（请自行前往广西政府采购云平台进行下载），并按照本项目竞争性磋商文件和广西政府采购云平台的要求编制、加密后在首次响应文件提交截止时间前通过网络上传至广西政府采购云平台，供应商在广西政府采购云平台提交电子版响应文件时，请填写参加远程开标活动经办人联系方式。</w:t>
      </w:r>
    </w:p>
    <w:p w14:paraId="454E1356">
      <w:pPr>
        <w:spacing w:line="340" w:lineRule="exact"/>
        <w:ind w:firstLine="424" w:firstLineChars="202"/>
        <w:rPr>
          <w:rFonts w:ascii="宋体" w:hAnsi="宋体" w:cs="宋体"/>
          <w:color w:val="auto"/>
          <w:kern w:val="0"/>
          <w:szCs w:val="21"/>
        </w:rPr>
      </w:pPr>
      <w:r>
        <w:rPr>
          <w:rFonts w:hint="eastAsia" w:ascii="宋体" w:hAnsi="宋体" w:cs="宋体"/>
          <w:color w:val="auto"/>
          <w:kern w:val="0"/>
          <w:szCs w:val="21"/>
        </w:rPr>
        <w:t>（2）供应商应及时熟悉掌握电子标系统操作指南（见广西政府采购云平台电子卖场首页右上角—服务中心—帮助中心—项目采购）：https://helpcenter.zcygov.cn/document/#/document/dashboard?siteCode=gx；及时完成CA申领和绑定（见广西壮族自治区政府采购网—办事服务—下载专区-政采云CA证书办理操作指南）。</w:t>
      </w:r>
    </w:p>
    <w:p w14:paraId="4C57DF6A">
      <w:pPr>
        <w:spacing w:line="340" w:lineRule="exact"/>
        <w:ind w:firstLine="424" w:firstLineChars="202"/>
        <w:rPr>
          <w:rFonts w:ascii="宋体" w:hAnsi="宋体" w:cs="宋体"/>
          <w:color w:val="auto"/>
          <w:kern w:val="0"/>
          <w:szCs w:val="21"/>
        </w:rPr>
      </w:pPr>
      <w:r>
        <w:rPr>
          <w:rFonts w:hint="eastAsia" w:ascii="宋体" w:hAnsi="宋体" w:cs="宋体"/>
          <w:color w:val="auto"/>
          <w:kern w:val="0"/>
          <w:szCs w:val="21"/>
        </w:rPr>
        <w:t>（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p>
    <w:p w14:paraId="37B3B3BF">
      <w:pPr>
        <w:spacing w:line="340" w:lineRule="exact"/>
        <w:ind w:firstLine="424" w:firstLineChars="202"/>
        <w:rPr>
          <w:rFonts w:ascii="宋体" w:hAnsi="宋体" w:cs="宋体"/>
          <w:color w:val="auto"/>
          <w:kern w:val="0"/>
          <w:szCs w:val="21"/>
        </w:rPr>
      </w:pPr>
      <w:r>
        <w:rPr>
          <w:rFonts w:hint="eastAsia" w:ascii="宋体" w:hAnsi="宋体" w:cs="宋体"/>
          <w:color w:val="auto"/>
          <w:kern w:val="0"/>
          <w:szCs w:val="21"/>
        </w:rPr>
        <w:t>（4）为确保网上操作合法、有效和安全，请供应商确保在电子竞标过程中能够对相关数据电文进行加密和使用电子签章，妥善保管CA数字证书并使用有效的CA数字证书参与整个采购活动。</w:t>
      </w:r>
    </w:p>
    <w:p w14:paraId="0445F92D">
      <w:pPr>
        <w:spacing w:line="340" w:lineRule="exact"/>
        <w:ind w:firstLine="424" w:firstLineChars="202"/>
        <w:rPr>
          <w:rFonts w:ascii="宋体" w:hAnsi="宋体" w:cs="宋体"/>
          <w:color w:val="auto"/>
          <w:kern w:val="0"/>
          <w:szCs w:val="21"/>
        </w:rPr>
      </w:pPr>
      <w:r>
        <w:rPr>
          <w:rFonts w:hint="eastAsia" w:ascii="宋体" w:hAnsi="宋体" w:cs="宋体"/>
          <w:color w:val="auto"/>
          <w:kern w:val="0"/>
          <w:szCs w:val="21"/>
        </w:rPr>
        <w:t>注：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21992D99">
      <w:pPr>
        <w:spacing w:line="340" w:lineRule="exact"/>
        <w:ind w:firstLine="424" w:firstLineChars="202"/>
        <w:rPr>
          <w:rFonts w:ascii="宋体" w:hAnsi="宋体" w:cs="宋体"/>
          <w:color w:val="auto"/>
          <w:kern w:val="0"/>
          <w:szCs w:val="21"/>
        </w:rPr>
      </w:pPr>
      <w:r>
        <w:rPr>
          <w:rFonts w:hint="eastAsia" w:ascii="宋体" w:hAnsi="宋体" w:cs="宋体"/>
          <w:color w:val="auto"/>
          <w:kern w:val="0"/>
          <w:szCs w:val="21"/>
          <w:lang w:val="en-US" w:eastAsia="zh-CN"/>
        </w:rPr>
        <w:t>5</w:t>
      </w:r>
      <w:r>
        <w:rPr>
          <w:rFonts w:hint="eastAsia" w:ascii="宋体" w:hAnsi="宋体" w:cs="宋体"/>
          <w:color w:val="auto"/>
          <w:kern w:val="0"/>
          <w:szCs w:val="21"/>
        </w:rPr>
        <w:t>.CA证书在线解密：首次响应文件开启时，须要供应商携带制作响应文件时用来加密的有效数字证书（CA认证）登录广西政府采购云平台电子开标大厅现场按规定时间对加密的响应文件进行解密，否则后果自负。</w:t>
      </w:r>
    </w:p>
    <w:p w14:paraId="3CB9FD78">
      <w:pPr>
        <w:spacing w:line="340" w:lineRule="exact"/>
        <w:ind w:firstLine="424" w:firstLineChars="202"/>
        <w:rPr>
          <w:rFonts w:ascii="宋体" w:hAnsi="宋体" w:cs="宋体"/>
          <w:color w:val="auto"/>
          <w:kern w:val="0"/>
          <w:szCs w:val="21"/>
        </w:rPr>
      </w:pPr>
      <w:r>
        <w:rPr>
          <w:rFonts w:hint="eastAsia" w:ascii="宋体" w:hAnsi="宋体" w:cs="宋体"/>
          <w:color w:val="auto"/>
          <w:kern w:val="0"/>
          <w:szCs w:val="21"/>
          <w:lang w:val="en-US" w:eastAsia="zh-CN"/>
        </w:rPr>
        <w:t>6</w:t>
      </w:r>
      <w:r>
        <w:rPr>
          <w:rFonts w:hint="eastAsia" w:ascii="宋体" w:hAnsi="宋体" w:cs="宋体"/>
          <w:color w:val="auto"/>
          <w:kern w:val="0"/>
          <w:szCs w:val="21"/>
        </w:rPr>
        <w:t>.供应商需要在具备有摄像头及语音功能且互联网网络状况良好的电脑登录广西政府采购云平台远程开标大厅参与本次磋商，否则后果自负。</w:t>
      </w:r>
    </w:p>
    <w:p w14:paraId="450A4897">
      <w:pPr>
        <w:spacing w:line="340" w:lineRule="exact"/>
        <w:ind w:firstLine="424" w:firstLineChars="202"/>
        <w:rPr>
          <w:rFonts w:ascii="宋体" w:hAnsi="宋体" w:cs="宋体"/>
          <w:color w:val="auto"/>
          <w:szCs w:val="21"/>
          <w:u w:val="single"/>
        </w:rPr>
      </w:pPr>
      <w:r>
        <w:rPr>
          <w:rFonts w:hint="eastAsia" w:ascii="宋体" w:hAnsi="宋体" w:cs="宋体"/>
          <w:color w:val="auto"/>
          <w:kern w:val="0"/>
          <w:szCs w:val="21"/>
          <w:lang w:val="en-US" w:eastAsia="zh-CN"/>
        </w:rPr>
        <w:t>7</w:t>
      </w:r>
      <w:r>
        <w:rPr>
          <w:rFonts w:hint="eastAsia" w:ascii="宋体" w:hAnsi="宋体" w:cs="宋体"/>
          <w:color w:val="auto"/>
          <w:kern w:val="0"/>
          <w:szCs w:val="21"/>
        </w:rPr>
        <w:t>.若对项目采购电子交易系统操作有疑问，可登录广西政府采购云平台（https://www.gcy.zfcg.gxzf.gov.cn/），点击右侧咨询小采，获取采小蜜智能服务管家帮助，或拨打广西政府采购云平台服务热线95763获取热线服务帮助。</w:t>
      </w:r>
    </w:p>
    <w:p w14:paraId="3BF78491">
      <w:pPr>
        <w:spacing w:line="340" w:lineRule="exact"/>
        <w:ind w:firstLine="354" w:firstLineChars="147"/>
        <w:rPr>
          <w:rFonts w:ascii="宋体" w:hAnsi="宋体" w:cs="宋体"/>
          <w:b/>
          <w:color w:val="auto"/>
          <w:sz w:val="24"/>
        </w:rPr>
      </w:pPr>
      <w:r>
        <w:rPr>
          <w:rFonts w:hint="eastAsia" w:ascii="宋体" w:hAnsi="宋体" w:cs="宋体"/>
          <w:b/>
          <w:color w:val="auto"/>
          <w:sz w:val="24"/>
        </w:rPr>
        <w:t>八、凡对本次采购提出询问，请按以下方式联系。</w:t>
      </w:r>
      <w:bookmarkEnd w:id="43"/>
      <w:bookmarkEnd w:id="44"/>
      <w:bookmarkEnd w:id="45"/>
      <w:bookmarkEnd w:id="46"/>
      <w:bookmarkEnd w:id="47"/>
    </w:p>
    <w:p w14:paraId="3B4AE267">
      <w:pPr>
        <w:spacing w:line="340" w:lineRule="exact"/>
        <w:ind w:firstLine="420" w:firstLineChars="200"/>
        <w:rPr>
          <w:rFonts w:ascii="宋体" w:hAnsi="宋体" w:cs="宋体"/>
          <w:color w:val="auto"/>
          <w:kern w:val="0"/>
          <w:szCs w:val="21"/>
        </w:rPr>
      </w:pPr>
      <w:bookmarkStart w:id="48" w:name="_Toc28359096"/>
      <w:bookmarkStart w:id="49" w:name="_Toc35393806"/>
      <w:bookmarkStart w:id="50" w:name="_Toc28359019"/>
      <w:bookmarkStart w:id="51" w:name="_Toc35393637"/>
      <w:r>
        <w:rPr>
          <w:rFonts w:hint="eastAsia" w:ascii="宋体" w:hAnsi="宋体" w:cs="宋体"/>
          <w:color w:val="auto"/>
          <w:kern w:val="0"/>
          <w:szCs w:val="21"/>
        </w:rPr>
        <w:t>1.采购人信息</w:t>
      </w:r>
      <w:bookmarkEnd w:id="48"/>
      <w:bookmarkEnd w:id="49"/>
      <w:bookmarkEnd w:id="50"/>
      <w:bookmarkEnd w:id="51"/>
    </w:p>
    <w:p w14:paraId="1D746EDE">
      <w:pPr>
        <w:spacing w:line="340" w:lineRule="exact"/>
        <w:ind w:firstLine="420" w:firstLineChars="200"/>
        <w:jc w:val="left"/>
        <w:rPr>
          <w:rFonts w:ascii="宋体" w:hAnsi="宋体" w:cs="宋体"/>
          <w:color w:val="auto"/>
          <w:szCs w:val="21"/>
        </w:rPr>
      </w:pPr>
      <w:r>
        <w:rPr>
          <w:rFonts w:hint="eastAsia" w:ascii="宋体" w:hAnsi="宋体" w:cs="宋体"/>
          <w:color w:val="auto"/>
          <w:szCs w:val="21"/>
        </w:rPr>
        <w:t xml:space="preserve">名称：广西壮族自治区钦州钦北公路养护中心 </w:t>
      </w:r>
    </w:p>
    <w:p w14:paraId="2C21D304">
      <w:pPr>
        <w:spacing w:line="340" w:lineRule="exact"/>
        <w:ind w:firstLine="420" w:firstLineChars="200"/>
        <w:jc w:val="left"/>
        <w:rPr>
          <w:rFonts w:ascii="宋体" w:hAnsi="宋体" w:cs="宋体"/>
          <w:color w:val="auto"/>
          <w:szCs w:val="21"/>
        </w:rPr>
      </w:pPr>
      <w:r>
        <w:rPr>
          <w:rFonts w:hint="eastAsia" w:ascii="宋体" w:hAnsi="宋体" w:cs="宋体"/>
          <w:color w:val="auto"/>
          <w:szCs w:val="21"/>
        </w:rPr>
        <w:t>地址：钦州市钦南区南珠西大街65号</w:t>
      </w:r>
    </w:p>
    <w:p w14:paraId="4666C77F">
      <w:pPr>
        <w:spacing w:line="340" w:lineRule="exact"/>
        <w:ind w:firstLine="420" w:firstLineChars="200"/>
        <w:jc w:val="left"/>
        <w:rPr>
          <w:rFonts w:ascii="宋体" w:hAnsi="宋体" w:cs="宋体"/>
          <w:color w:val="auto"/>
          <w:szCs w:val="21"/>
        </w:rPr>
      </w:pPr>
      <w:r>
        <w:rPr>
          <w:rFonts w:hint="eastAsia" w:ascii="宋体" w:hAnsi="宋体" w:cs="宋体"/>
          <w:color w:val="auto"/>
          <w:szCs w:val="21"/>
        </w:rPr>
        <w:t>联系方式：覃强</w:t>
      </w:r>
    </w:p>
    <w:p w14:paraId="17D21A97">
      <w:pPr>
        <w:spacing w:line="340" w:lineRule="exact"/>
        <w:ind w:firstLine="420" w:firstLineChars="200"/>
        <w:jc w:val="left"/>
        <w:rPr>
          <w:rFonts w:ascii="宋体" w:hAnsi="宋体" w:cs="宋体"/>
          <w:color w:val="auto"/>
          <w:kern w:val="0"/>
          <w:szCs w:val="21"/>
        </w:rPr>
      </w:pPr>
      <w:r>
        <w:rPr>
          <w:rFonts w:hint="eastAsia" w:ascii="宋体" w:hAnsi="宋体" w:cs="宋体"/>
          <w:color w:val="auto"/>
          <w:szCs w:val="21"/>
        </w:rPr>
        <w:t>联系电话：</w:t>
      </w:r>
      <w:bookmarkStart w:id="52" w:name="_Toc28359020"/>
      <w:bookmarkStart w:id="53" w:name="_Toc28359097"/>
      <w:bookmarkStart w:id="54" w:name="_Toc35393807"/>
      <w:bookmarkStart w:id="55" w:name="_Toc35393638"/>
      <w:r>
        <w:rPr>
          <w:rFonts w:hint="eastAsia" w:ascii="宋体" w:hAnsi="宋体" w:cs="宋体"/>
          <w:color w:val="auto"/>
          <w:szCs w:val="21"/>
        </w:rPr>
        <w:t>0777-2831901</w:t>
      </w:r>
    </w:p>
    <w:p w14:paraId="34751FF9">
      <w:pPr>
        <w:spacing w:line="340" w:lineRule="exact"/>
        <w:ind w:firstLine="420" w:firstLineChars="200"/>
        <w:rPr>
          <w:rFonts w:ascii="宋体" w:hAnsi="宋体" w:cs="宋体"/>
          <w:color w:val="auto"/>
          <w:kern w:val="0"/>
          <w:szCs w:val="21"/>
        </w:rPr>
      </w:pPr>
      <w:r>
        <w:rPr>
          <w:rFonts w:hint="eastAsia" w:ascii="宋体" w:hAnsi="宋体" w:cs="宋体"/>
          <w:color w:val="auto"/>
          <w:kern w:val="0"/>
          <w:szCs w:val="21"/>
        </w:rPr>
        <w:t>2.采购代理机构信息</w:t>
      </w:r>
      <w:bookmarkEnd w:id="52"/>
      <w:bookmarkEnd w:id="53"/>
      <w:bookmarkEnd w:id="54"/>
      <w:bookmarkEnd w:id="55"/>
    </w:p>
    <w:bookmarkEnd w:id="1"/>
    <w:p w14:paraId="79207629">
      <w:pPr>
        <w:spacing w:line="340" w:lineRule="exact"/>
        <w:ind w:firstLine="420" w:firstLineChars="200"/>
        <w:rPr>
          <w:rFonts w:ascii="宋体" w:hAnsi="宋体" w:cs="宋体"/>
          <w:color w:val="auto"/>
          <w:szCs w:val="21"/>
        </w:rPr>
      </w:pPr>
      <w:r>
        <w:rPr>
          <w:rFonts w:hint="eastAsia" w:ascii="宋体" w:hAnsi="宋体" w:cs="宋体"/>
          <w:color w:val="auto"/>
          <w:szCs w:val="21"/>
        </w:rPr>
        <w:t>名称：国正聚源工程咨询集团有限公司</w:t>
      </w:r>
    </w:p>
    <w:p w14:paraId="119801C1">
      <w:pPr>
        <w:spacing w:line="340" w:lineRule="exact"/>
        <w:ind w:firstLine="420" w:firstLineChars="200"/>
        <w:rPr>
          <w:rFonts w:ascii="宋体" w:hAnsi="宋体" w:cs="宋体"/>
          <w:color w:val="auto"/>
          <w:szCs w:val="21"/>
        </w:rPr>
      </w:pPr>
      <w:r>
        <w:rPr>
          <w:rFonts w:hint="eastAsia" w:ascii="宋体" w:hAnsi="宋体" w:cs="宋体"/>
          <w:color w:val="auto"/>
          <w:szCs w:val="21"/>
        </w:rPr>
        <w:t>地址：钦州市钦南区东泉街88号宇佳厂区4号楼第3层</w:t>
      </w:r>
    </w:p>
    <w:p w14:paraId="71265F98">
      <w:pPr>
        <w:spacing w:line="340" w:lineRule="exact"/>
        <w:ind w:firstLine="420" w:firstLineChars="200"/>
        <w:rPr>
          <w:rFonts w:ascii="宋体" w:hAnsi="宋体" w:cs="宋体"/>
          <w:color w:val="auto"/>
          <w:szCs w:val="21"/>
        </w:rPr>
      </w:pPr>
      <w:r>
        <w:rPr>
          <w:rFonts w:hint="eastAsia" w:ascii="宋体" w:hAnsi="宋体" w:cs="宋体"/>
          <w:color w:val="auto"/>
          <w:szCs w:val="21"/>
        </w:rPr>
        <w:t>联系方式：0777-8889633</w:t>
      </w:r>
    </w:p>
    <w:p w14:paraId="40AE09C1">
      <w:pPr>
        <w:spacing w:line="340" w:lineRule="exact"/>
        <w:ind w:firstLine="420" w:firstLineChars="200"/>
        <w:rPr>
          <w:rFonts w:ascii="宋体" w:hAnsi="宋体" w:cs="宋体"/>
          <w:color w:val="auto"/>
          <w:szCs w:val="21"/>
        </w:rPr>
      </w:pPr>
      <w:r>
        <w:rPr>
          <w:rFonts w:hint="eastAsia" w:ascii="宋体" w:hAnsi="宋体" w:cs="宋体"/>
          <w:color w:val="auto"/>
          <w:szCs w:val="21"/>
        </w:rPr>
        <w:t>3.项目联系方式</w:t>
      </w:r>
    </w:p>
    <w:p w14:paraId="76B1A3CF">
      <w:pPr>
        <w:spacing w:line="340" w:lineRule="exact"/>
        <w:ind w:firstLine="420" w:firstLineChars="200"/>
        <w:rPr>
          <w:rFonts w:ascii="宋体" w:hAnsi="宋体" w:cs="宋体"/>
          <w:color w:val="auto"/>
          <w:szCs w:val="21"/>
        </w:rPr>
      </w:pPr>
      <w:r>
        <w:rPr>
          <w:rFonts w:hint="eastAsia" w:ascii="宋体" w:hAnsi="宋体" w:cs="宋体"/>
          <w:color w:val="auto"/>
          <w:szCs w:val="21"/>
        </w:rPr>
        <w:t xml:space="preserve">项目联系人：雷保琴     </w:t>
      </w:r>
    </w:p>
    <w:p w14:paraId="43AF01BA">
      <w:pPr>
        <w:spacing w:line="340" w:lineRule="exact"/>
        <w:ind w:firstLine="420" w:firstLineChars="200"/>
        <w:rPr>
          <w:rFonts w:ascii="宋体" w:hAnsi="宋体" w:cs="宋体"/>
          <w:color w:val="auto"/>
          <w:szCs w:val="21"/>
        </w:rPr>
      </w:pPr>
      <w:r>
        <w:rPr>
          <w:rFonts w:hint="eastAsia" w:ascii="宋体" w:hAnsi="宋体" w:cs="宋体"/>
          <w:color w:val="auto"/>
          <w:szCs w:val="21"/>
        </w:rPr>
        <w:t>电话：0777-8889633</w:t>
      </w:r>
    </w:p>
    <w:p w14:paraId="1756E014">
      <w:pPr>
        <w:spacing w:line="340" w:lineRule="exact"/>
        <w:ind w:firstLine="420" w:firstLineChars="200"/>
        <w:rPr>
          <w:rFonts w:ascii="宋体" w:hAnsi="宋体" w:cs="宋体"/>
          <w:color w:val="auto"/>
          <w:szCs w:val="21"/>
        </w:rPr>
      </w:pPr>
    </w:p>
    <w:p w14:paraId="27206D50">
      <w:pPr>
        <w:spacing w:line="340" w:lineRule="exact"/>
        <w:ind w:firstLine="420" w:firstLineChars="200"/>
        <w:rPr>
          <w:rFonts w:ascii="宋体" w:hAnsi="宋体" w:cs="宋体"/>
          <w:color w:val="auto"/>
          <w:szCs w:val="21"/>
        </w:rPr>
      </w:pPr>
    </w:p>
    <w:p w14:paraId="260D699C">
      <w:pPr>
        <w:spacing w:line="340" w:lineRule="exact"/>
        <w:ind w:firstLine="420" w:firstLineChars="200"/>
        <w:jc w:val="center"/>
        <w:rPr>
          <w:rFonts w:ascii="宋体" w:hAnsi="宋体" w:cs="宋体"/>
          <w:color w:val="auto"/>
        </w:rPr>
      </w:pPr>
      <w:r>
        <w:rPr>
          <w:rFonts w:hint="eastAsia" w:ascii="宋体" w:hAnsi="宋体" w:cs="宋体"/>
          <w:color w:val="auto"/>
        </w:rPr>
        <w:br w:type="page"/>
      </w:r>
    </w:p>
    <w:p w14:paraId="012A59E7">
      <w:pPr>
        <w:pStyle w:val="2"/>
        <w:spacing w:before="300" w:after="300" w:line="440" w:lineRule="exact"/>
        <w:jc w:val="center"/>
        <w:rPr>
          <w:rFonts w:ascii="宋体" w:hAnsi="宋体" w:cs="宋体"/>
          <w:color w:val="auto"/>
          <w:sz w:val="32"/>
          <w:szCs w:val="32"/>
        </w:rPr>
      </w:pPr>
      <w:bookmarkStart w:id="56" w:name="_Toc24459"/>
      <w:r>
        <w:rPr>
          <w:rFonts w:hint="eastAsia" w:ascii="宋体" w:hAnsi="宋体" w:cs="宋体"/>
          <w:color w:val="auto"/>
          <w:sz w:val="32"/>
          <w:szCs w:val="32"/>
        </w:rPr>
        <w:t>第二章供应商须知</w:t>
      </w:r>
      <w:bookmarkEnd w:id="56"/>
    </w:p>
    <w:p w14:paraId="5593488D">
      <w:pPr>
        <w:spacing w:line="440" w:lineRule="exact"/>
        <w:jc w:val="center"/>
        <w:rPr>
          <w:rFonts w:ascii="宋体" w:hAnsi="宋体" w:cs="宋体"/>
          <w:b/>
          <w:color w:val="auto"/>
          <w:sz w:val="32"/>
          <w:szCs w:val="32"/>
        </w:rPr>
      </w:pPr>
      <w:r>
        <w:rPr>
          <w:rFonts w:hint="eastAsia" w:ascii="宋体" w:hAnsi="宋体" w:cs="宋体"/>
          <w:b/>
          <w:color w:val="auto"/>
          <w:sz w:val="32"/>
          <w:szCs w:val="32"/>
        </w:rPr>
        <w:t>供应商须知前附表</w:t>
      </w:r>
    </w:p>
    <w:p w14:paraId="51BBA905">
      <w:pPr>
        <w:spacing w:line="440" w:lineRule="exact"/>
        <w:jc w:val="center"/>
        <w:rPr>
          <w:rFonts w:ascii="宋体" w:hAnsi="宋体" w:cs="宋体"/>
          <w:b/>
          <w:color w:val="auto"/>
          <w:sz w:val="32"/>
          <w:szCs w:val="32"/>
        </w:rPr>
      </w:pPr>
    </w:p>
    <w:tbl>
      <w:tblPr>
        <w:tblStyle w:val="47"/>
        <w:tblW w:w="90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097"/>
      </w:tblGrid>
      <w:tr w14:paraId="41762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21CD8657">
            <w:pPr>
              <w:spacing w:line="440" w:lineRule="exact"/>
              <w:jc w:val="center"/>
              <w:rPr>
                <w:rFonts w:ascii="宋体" w:hAnsi="宋体" w:cs="宋体"/>
                <w:b/>
                <w:color w:val="auto"/>
                <w:szCs w:val="21"/>
              </w:rPr>
            </w:pPr>
            <w:r>
              <w:rPr>
                <w:rFonts w:hint="eastAsia" w:ascii="宋体" w:hAnsi="宋体" w:cs="宋体"/>
                <w:b/>
                <w:color w:val="auto"/>
                <w:szCs w:val="21"/>
              </w:rPr>
              <w:t>条款号</w:t>
            </w:r>
          </w:p>
        </w:tc>
        <w:tc>
          <w:tcPr>
            <w:tcW w:w="8097" w:type="dxa"/>
          </w:tcPr>
          <w:p w14:paraId="37A6585B">
            <w:pPr>
              <w:spacing w:line="440" w:lineRule="exact"/>
              <w:jc w:val="center"/>
              <w:rPr>
                <w:rFonts w:ascii="宋体" w:hAnsi="宋体" w:cs="宋体"/>
                <w:b/>
                <w:color w:val="auto"/>
                <w:szCs w:val="21"/>
              </w:rPr>
            </w:pPr>
            <w:r>
              <w:rPr>
                <w:rFonts w:hint="eastAsia" w:ascii="宋体" w:hAnsi="宋体" w:cs="宋体"/>
                <w:b/>
                <w:color w:val="auto"/>
                <w:szCs w:val="21"/>
              </w:rPr>
              <w:t>内    容</w:t>
            </w:r>
          </w:p>
        </w:tc>
      </w:tr>
      <w:tr w14:paraId="43B94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B42EC0F">
            <w:pPr>
              <w:spacing w:line="440" w:lineRule="exact"/>
              <w:jc w:val="center"/>
              <w:rPr>
                <w:rFonts w:ascii="宋体" w:hAnsi="宋体" w:cs="宋体"/>
                <w:color w:val="auto"/>
                <w:szCs w:val="21"/>
              </w:rPr>
            </w:pPr>
            <w:r>
              <w:rPr>
                <w:rFonts w:hint="eastAsia" w:ascii="宋体" w:hAnsi="宋体" w:cs="宋体"/>
                <w:color w:val="auto"/>
                <w:szCs w:val="21"/>
              </w:rPr>
              <w:t>3</w:t>
            </w:r>
          </w:p>
        </w:tc>
        <w:tc>
          <w:tcPr>
            <w:tcW w:w="8097" w:type="dxa"/>
            <w:vAlign w:val="center"/>
          </w:tcPr>
          <w:p w14:paraId="45673EFD">
            <w:pPr>
              <w:spacing w:line="440" w:lineRule="exact"/>
              <w:rPr>
                <w:rFonts w:ascii="宋体" w:hAnsi="宋体" w:cs="宋体"/>
                <w:color w:val="auto"/>
                <w:szCs w:val="21"/>
              </w:rPr>
            </w:pPr>
            <w:r>
              <w:rPr>
                <w:rFonts w:hint="eastAsia" w:ascii="宋体" w:hAnsi="宋体" w:cs="宋体"/>
                <w:bCs/>
                <w:color w:val="auto"/>
                <w:szCs w:val="21"/>
              </w:rPr>
              <w:t>1.供应商的资格条件</w:t>
            </w:r>
            <w:r>
              <w:rPr>
                <w:rFonts w:hint="eastAsia" w:ascii="宋体" w:hAnsi="宋体" w:cs="宋体"/>
                <w:color w:val="auto"/>
                <w:szCs w:val="21"/>
              </w:rPr>
              <w:t>：详见竞争性磋商公告</w:t>
            </w:r>
          </w:p>
          <w:p w14:paraId="33299370">
            <w:pPr>
              <w:spacing w:line="44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bCs/>
                <w:color w:val="auto"/>
                <w:szCs w:val="21"/>
              </w:rPr>
              <w:t>供应商</w:t>
            </w:r>
            <w:r>
              <w:rPr>
                <w:rFonts w:hint="eastAsia" w:ascii="宋体" w:hAnsi="宋体" w:cs="宋体"/>
                <w:color w:val="auto"/>
                <w:szCs w:val="21"/>
              </w:rPr>
              <w:t>出现下列情形之一的，不得参加政府采购活动：</w:t>
            </w:r>
          </w:p>
          <w:p w14:paraId="047A33E1">
            <w:pPr>
              <w:spacing w:line="440" w:lineRule="exact"/>
              <w:rPr>
                <w:rFonts w:ascii="宋体" w:hAnsi="宋体" w:cs="宋体"/>
                <w:color w:val="auto"/>
                <w:szCs w:val="21"/>
              </w:rPr>
            </w:pPr>
            <w:r>
              <w:rPr>
                <w:rFonts w:hint="eastAsia" w:ascii="宋体" w:hAnsi="宋体" w:cs="宋体"/>
                <w:color w:val="auto"/>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0E74802">
            <w:pPr>
              <w:spacing w:line="440" w:lineRule="exact"/>
              <w:rPr>
                <w:rFonts w:ascii="宋体" w:hAnsi="宋体" w:cs="宋体"/>
                <w:color w:val="auto"/>
                <w:szCs w:val="21"/>
              </w:rPr>
            </w:pPr>
            <w:r>
              <w:rPr>
                <w:rFonts w:hint="eastAsia" w:ascii="宋体" w:hAnsi="宋体" w:cs="宋体"/>
                <w:color w:val="auto"/>
                <w:szCs w:val="21"/>
              </w:rPr>
              <w:t>2.2对在“信用中国”网站（www.creditchina.gov.cn） 、中国政府采购网（www.ccgp.gov.cn）、“中国执行信息公开网”（https://zxgk.court.gov.cn/）被列入失信被执行人、重大税收违法失信主体、政府采购严重违法失信行为记录名单及其他不符合《中华人民共和国政府采购法》第二十二条规定条件的供应商，不得参与政府采购活动。</w:t>
            </w:r>
          </w:p>
        </w:tc>
      </w:tr>
      <w:tr w14:paraId="683A5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238DEB7">
            <w:pPr>
              <w:spacing w:line="440" w:lineRule="exact"/>
              <w:jc w:val="center"/>
              <w:rPr>
                <w:rFonts w:ascii="宋体" w:hAnsi="宋体" w:cs="宋体"/>
                <w:color w:val="auto"/>
                <w:szCs w:val="21"/>
              </w:rPr>
            </w:pPr>
            <w:r>
              <w:rPr>
                <w:rFonts w:hint="eastAsia" w:ascii="宋体" w:hAnsi="宋体" w:cs="宋体"/>
                <w:color w:val="auto"/>
                <w:szCs w:val="21"/>
              </w:rPr>
              <w:t>5.1</w:t>
            </w:r>
          </w:p>
        </w:tc>
        <w:tc>
          <w:tcPr>
            <w:tcW w:w="8097" w:type="dxa"/>
            <w:vAlign w:val="center"/>
          </w:tcPr>
          <w:p w14:paraId="113A6233">
            <w:pPr>
              <w:spacing w:line="440" w:lineRule="exact"/>
              <w:rPr>
                <w:rFonts w:hint="eastAsia" w:ascii="宋体" w:hAnsi="宋体" w:eastAsia="宋体" w:cs="宋体"/>
                <w:color w:val="auto"/>
                <w:szCs w:val="21"/>
                <w:lang w:eastAsia="zh-CN"/>
              </w:rPr>
            </w:pPr>
            <w:r>
              <w:rPr>
                <w:rFonts w:hint="eastAsia" w:ascii="宋体" w:hAnsi="宋体" w:cs="宋体"/>
                <w:b w:val="0"/>
                <w:bCs w:val="0"/>
                <w:color w:val="auto"/>
                <w:szCs w:val="21"/>
              </w:rPr>
              <w:t>是否接受联合体竞标：不接受联合体竞标</w:t>
            </w:r>
            <w:r>
              <w:rPr>
                <w:rFonts w:hint="eastAsia" w:ascii="宋体" w:hAnsi="宋体" w:cs="宋体"/>
                <w:b w:val="0"/>
                <w:bCs w:val="0"/>
                <w:color w:val="auto"/>
                <w:szCs w:val="21"/>
                <w:lang w:eastAsia="zh-CN"/>
              </w:rPr>
              <w:t>。</w:t>
            </w:r>
          </w:p>
        </w:tc>
      </w:tr>
      <w:tr w14:paraId="59C23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1914C54">
            <w:pPr>
              <w:spacing w:line="440" w:lineRule="exact"/>
              <w:jc w:val="center"/>
              <w:rPr>
                <w:rFonts w:ascii="宋体" w:hAnsi="宋体" w:cs="宋体"/>
                <w:color w:val="auto"/>
                <w:szCs w:val="21"/>
              </w:rPr>
            </w:pPr>
            <w:r>
              <w:rPr>
                <w:rFonts w:hint="eastAsia" w:ascii="宋体" w:hAnsi="宋体" w:cs="宋体"/>
                <w:color w:val="auto"/>
                <w:szCs w:val="21"/>
              </w:rPr>
              <w:t>5.2</w:t>
            </w:r>
          </w:p>
        </w:tc>
        <w:tc>
          <w:tcPr>
            <w:tcW w:w="8097" w:type="dxa"/>
            <w:vAlign w:val="center"/>
          </w:tcPr>
          <w:p w14:paraId="0F42B082">
            <w:pPr>
              <w:spacing w:line="440" w:lineRule="exact"/>
              <w:rPr>
                <w:rFonts w:ascii="宋体" w:hAnsi="宋体" w:cs="宋体"/>
                <w:color w:val="auto"/>
                <w:szCs w:val="21"/>
              </w:rPr>
            </w:pPr>
            <w:r>
              <w:rPr>
                <w:rFonts w:hint="eastAsia" w:ascii="宋体" w:hAnsi="宋体" w:cs="宋体"/>
                <w:color w:val="auto"/>
                <w:szCs w:val="21"/>
              </w:rPr>
              <w:t>如接受联合体竞标，联合体竞标要求如下：</w:t>
            </w:r>
          </w:p>
          <w:p w14:paraId="286A7202">
            <w:pPr>
              <w:spacing w:line="440" w:lineRule="exact"/>
              <w:rPr>
                <w:rFonts w:ascii="宋体" w:hAnsi="宋体" w:cs="宋体"/>
                <w:color w:val="auto"/>
                <w:szCs w:val="21"/>
              </w:rPr>
            </w:pPr>
            <w:r>
              <w:rPr>
                <w:rFonts w:hint="eastAsia" w:ascii="宋体" w:hAnsi="宋体" w:cs="宋体"/>
                <w:color w:val="auto"/>
                <w:szCs w:val="21"/>
              </w:rPr>
              <w:t>1.两个以上供应商可以组成一个竞标联合体，以一个供应商的身份共同参加竞标。联合体竞标的，须提供《联合体竞标协议书》（格式后附）。</w:t>
            </w:r>
          </w:p>
          <w:p w14:paraId="4471F48B">
            <w:pPr>
              <w:spacing w:line="440" w:lineRule="exact"/>
              <w:rPr>
                <w:rFonts w:ascii="宋体" w:hAnsi="宋体" w:cs="宋体"/>
                <w:color w:val="auto"/>
                <w:szCs w:val="21"/>
              </w:rPr>
            </w:pPr>
            <w:r>
              <w:rPr>
                <w:rFonts w:hint="eastAsia" w:ascii="宋体" w:hAnsi="宋体" w:cs="宋体"/>
                <w:color w:val="auto"/>
                <w:szCs w:val="21"/>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05118209">
            <w:pPr>
              <w:spacing w:line="440" w:lineRule="exact"/>
              <w:rPr>
                <w:rFonts w:ascii="宋体" w:hAnsi="宋体" w:cs="宋体"/>
                <w:color w:val="auto"/>
                <w:szCs w:val="21"/>
              </w:rPr>
            </w:pPr>
            <w:r>
              <w:rPr>
                <w:rFonts w:hint="eastAsia" w:ascii="宋体" w:hAnsi="宋体" w:cs="宋体"/>
                <w:color w:val="auto"/>
                <w:szCs w:val="21"/>
              </w:rPr>
              <w:t>3.联合体各方之间必须签订联合竞标协议，协议书必须明确主体方（或者牵头方）并明确约定联合体各方承担的工作和相应的责任（</w:t>
            </w:r>
            <w:r>
              <w:rPr>
                <w:rFonts w:hint="eastAsia" w:ascii="宋体" w:hAnsi="宋体" w:cs="宋体"/>
                <w:b/>
                <w:color w:val="auto"/>
                <w:szCs w:val="21"/>
              </w:rPr>
              <w:t>各方承担责任与义务的分工必须符合采购需求，否则，联合体竞标无效</w:t>
            </w:r>
            <w:r>
              <w:rPr>
                <w:rFonts w:hint="eastAsia" w:ascii="宋体" w:hAnsi="宋体" w:cs="宋体"/>
                <w:color w:val="auto"/>
                <w:szCs w:val="21"/>
              </w:rPr>
              <w:t>），并将联合竞标协议放入响应文件。联合体各方必须共同与采购人签订采购合同，就采购合同约定的事项对采购人承担连带责任。</w:t>
            </w:r>
          </w:p>
          <w:p w14:paraId="38F023F2">
            <w:pPr>
              <w:spacing w:line="440" w:lineRule="exact"/>
              <w:rPr>
                <w:rFonts w:ascii="宋体" w:hAnsi="宋体" w:cs="宋体"/>
                <w:color w:val="auto"/>
                <w:szCs w:val="21"/>
              </w:rPr>
            </w:pPr>
            <w:r>
              <w:rPr>
                <w:rFonts w:hint="eastAsia" w:ascii="宋体" w:hAnsi="宋体" w:cs="宋体"/>
                <w:color w:val="auto"/>
                <w:szCs w:val="21"/>
              </w:rPr>
              <w:t>4.以联合体形式参加政府采购活动的，联合体各方不得再单独参加或者与其他供应商另外组成联合体参加同一合同项下的政府采购活动。</w:t>
            </w:r>
          </w:p>
          <w:p w14:paraId="3DA55F77">
            <w:pPr>
              <w:spacing w:line="440" w:lineRule="exact"/>
              <w:rPr>
                <w:rFonts w:ascii="宋体" w:hAnsi="宋体" w:cs="宋体"/>
                <w:color w:val="auto"/>
                <w:szCs w:val="21"/>
              </w:rPr>
            </w:pPr>
            <w:r>
              <w:rPr>
                <w:rFonts w:hint="eastAsia" w:ascii="宋体" w:hAnsi="宋体" w:cs="宋体"/>
                <w:color w:val="auto"/>
                <w:szCs w:val="21"/>
              </w:rPr>
              <w:t>5.联合体中有同类资质的供应商按照联合体分工承担相同工作的，应当按照资质等级较低的供应商确定资质等级。</w:t>
            </w:r>
          </w:p>
          <w:p w14:paraId="2FFF93C8">
            <w:pPr>
              <w:spacing w:line="440" w:lineRule="exact"/>
              <w:rPr>
                <w:rFonts w:ascii="宋体" w:hAnsi="宋体" w:cs="宋体"/>
                <w:color w:val="auto"/>
                <w:szCs w:val="21"/>
              </w:rPr>
            </w:pPr>
            <w:r>
              <w:rPr>
                <w:rFonts w:hint="eastAsia" w:ascii="宋体" w:hAnsi="宋体" w:cs="宋体"/>
                <w:color w:val="auto"/>
                <w:szCs w:val="21"/>
              </w:rPr>
              <w:t>6.联合体竞标业绩、履约能力按照联合体各方中较高的一方认定并计算（磋商文件另有规定的除外）。</w:t>
            </w:r>
          </w:p>
          <w:p w14:paraId="54DA261B">
            <w:pPr>
              <w:spacing w:line="440" w:lineRule="exact"/>
              <w:rPr>
                <w:rFonts w:ascii="宋体" w:hAnsi="宋体" w:cs="宋体"/>
                <w:color w:val="auto"/>
                <w:szCs w:val="21"/>
              </w:rPr>
            </w:pPr>
            <w:r>
              <w:rPr>
                <w:rFonts w:hint="eastAsia" w:ascii="宋体" w:hAnsi="宋体" w:cs="宋体"/>
                <w:color w:val="auto"/>
                <w:szCs w:val="21"/>
              </w:rPr>
              <w:t>7.供应商为联合体的，可以由联合体中的一方或者多方共同交纳磋商保证金，其交纳的保证金对联合体各方均具有约束力。</w:t>
            </w:r>
          </w:p>
          <w:p w14:paraId="1135F6BB">
            <w:pPr>
              <w:spacing w:line="440" w:lineRule="exact"/>
              <w:rPr>
                <w:rFonts w:ascii="宋体" w:hAnsi="宋体" w:cs="宋体"/>
                <w:color w:val="auto"/>
                <w:szCs w:val="21"/>
              </w:rPr>
            </w:pPr>
            <w:r>
              <w:rPr>
                <w:rFonts w:hint="eastAsia" w:ascii="宋体" w:hAnsi="宋体" w:cs="宋体"/>
                <w:color w:val="auto"/>
                <w:szCs w:val="21"/>
              </w:rPr>
              <w:t>8.联合体各方均应按照磋商文件的规定提交资格证明文件。</w:t>
            </w:r>
          </w:p>
        </w:tc>
      </w:tr>
      <w:tr w14:paraId="5C6E5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8509758">
            <w:pPr>
              <w:spacing w:line="440" w:lineRule="exact"/>
              <w:jc w:val="center"/>
              <w:rPr>
                <w:rFonts w:ascii="宋体" w:hAnsi="宋体" w:cs="宋体"/>
                <w:color w:val="auto"/>
                <w:szCs w:val="21"/>
              </w:rPr>
            </w:pPr>
            <w:r>
              <w:rPr>
                <w:rFonts w:hint="eastAsia" w:ascii="宋体" w:hAnsi="宋体" w:cs="宋体"/>
                <w:color w:val="auto"/>
                <w:szCs w:val="21"/>
              </w:rPr>
              <w:t>6.2</w:t>
            </w:r>
          </w:p>
        </w:tc>
        <w:tc>
          <w:tcPr>
            <w:tcW w:w="8097" w:type="dxa"/>
            <w:vAlign w:val="center"/>
          </w:tcPr>
          <w:p w14:paraId="3934B715">
            <w:pPr>
              <w:pStyle w:val="17"/>
              <w:spacing w:line="440" w:lineRule="exact"/>
              <w:rPr>
                <w:rFonts w:ascii="宋体" w:hAnsi="宋体" w:eastAsia="宋体" w:cs="宋体"/>
                <w:b/>
                <w:bCs/>
                <w:color w:val="auto"/>
                <w:sz w:val="21"/>
                <w:szCs w:val="21"/>
                <w:lang w:eastAsia="zh-CN"/>
              </w:rPr>
            </w:pPr>
            <w:r>
              <w:rPr>
                <w:rFonts w:hint="eastAsia" w:ascii="MS Mincho" w:hAnsi="MS Mincho" w:eastAsia="MS Mincho" w:cs="MS Mincho"/>
                <w:b/>
                <w:bCs/>
                <w:color w:val="auto"/>
                <w:sz w:val="18"/>
                <w:szCs w:val="18"/>
                <w:lang w:eastAsia="zh-CN"/>
              </w:rPr>
              <w:t>☑</w:t>
            </w:r>
            <w:r>
              <w:rPr>
                <w:rFonts w:hint="eastAsia" w:ascii="宋体" w:hAnsi="宋体" w:eastAsia="宋体" w:cs="宋体"/>
                <w:b/>
                <w:bCs/>
                <w:color w:val="auto"/>
                <w:sz w:val="21"/>
                <w:szCs w:val="21"/>
                <w:lang w:eastAsia="zh-CN"/>
              </w:rPr>
              <w:t>不允许分包</w:t>
            </w:r>
          </w:p>
          <w:p w14:paraId="325ADC41">
            <w:pPr>
              <w:pStyle w:val="17"/>
              <w:spacing w:line="440" w:lineRule="exact"/>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□允许分包</w:t>
            </w:r>
          </w:p>
          <w:p w14:paraId="5D0C6349">
            <w:pPr>
              <w:pStyle w:val="17"/>
              <w:spacing w:line="440" w:lineRule="exact"/>
              <w:rPr>
                <w:rFonts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rPr>
              <w:t>分包内容：/。</w:t>
            </w:r>
          </w:p>
          <w:p w14:paraId="6C62DB17">
            <w:pPr>
              <w:pStyle w:val="17"/>
              <w:spacing w:line="440" w:lineRule="exact"/>
              <w:rPr>
                <w:rFonts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rPr>
              <w:t>分包金额或者比例：/。</w:t>
            </w:r>
          </w:p>
          <w:p w14:paraId="4C7CB609">
            <w:pPr>
              <w:pStyle w:val="17"/>
              <w:spacing w:line="440" w:lineRule="exact"/>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分包供应商必须具备的资质：/。</w:t>
            </w:r>
          </w:p>
        </w:tc>
      </w:tr>
      <w:tr w14:paraId="62EAB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CF3FCFE">
            <w:pPr>
              <w:spacing w:line="440" w:lineRule="exact"/>
              <w:jc w:val="center"/>
              <w:rPr>
                <w:rFonts w:ascii="宋体" w:hAnsi="宋体" w:cs="宋体"/>
                <w:color w:val="auto"/>
                <w:szCs w:val="21"/>
              </w:rPr>
            </w:pPr>
            <w:r>
              <w:rPr>
                <w:rFonts w:hint="eastAsia" w:ascii="宋体" w:hAnsi="宋体" w:cs="宋体"/>
                <w:color w:val="auto"/>
                <w:szCs w:val="21"/>
              </w:rPr>
              <w:t>12.1.1</w:t>
            </w:r>
          </w:p>
        </w:tc>
        <w:tc>
          <w:tcPr>
            <w:tcW w:w="8097" w:type="dxa"/>
            <w:vAlign w:val="center"/>
          </w:tcPr>
          <w:p w14:paraId="4BEC4D82">
            <w:pPr>
              <w:snapToGrid w:val="0"/>
              <w:spacing w:line="440" w:lineRule="exact"/>
              <w:jc w:val="left"/>
              <w:rPr>
                <w:rFonts w:ascii="宋体" w:hAnsi="宋体" w:cs="宋体"/>
                <w:b/>
                <w:color w:val="auto"/>
                <w:szCs w:val="21"/>
              </w:rPr>
            </w:pPr>
            <w:r>
              <w:rPr>
                <w:rFonts w:hint="eastAsia" w:ascii="宋体" w:hAnsi="宋体" w:cs="宋体"/>
                <w:b/>
                <w:color w:val="auto"/>
                <w:szCs w:val="21"/>
              </w:rPr>
              <w:t>资格证明文件</w:t>
            </w:r>
          </w:p>
          <w:p w14:paraId="21046961">
            <w:pPr>
              <w:pStyle w:val="17"/>
              <w:spacing w:line="440" w:lineRule="exact"/>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1.供应商为法人或者其他组织的提供其营业执照等证明文件扫描件（如营业执照或者事业单位法人证书或者执业许可证或者登记证书等）；（</w:t>
            </w:r>
            <w:r>
              <w:rPr>
                <w:rFonts w:hint="eastAsia" w:ascii="宋体" w:hAnsi="宋体" w:eastAsia="宋体" w:cs="宋体"/>
                <w:b/>
                <w:color w:val="auto"/>
                <w:sz w:val="21"/>
                <w:szCs w:val="21"/>
                <w:lang w:eastAsia="zh-CN"/>
              </w:rPr>
              <w:t>必须提供，否则响应文件按无效处理</w:t>
            </w:r>
            <w:r>
              <w:rPr>
                <w:rFonts w:hint="eastAsia" w:ascii="宋体" w:hAnsi="宋体" w:eastAsia="宋体" w:cs="宋体"/>
                <w:color w:val="auto"/>
                <w:sz w:val="21"/>
                <w:szCs w:val="21"/>
                <w:lang w:eastAsia="zh-CN"/>
              </w:rPr>
              <w:t>）</w:t>
            </w:r>
          </w:p>
          <w:p w14:paraId="2BA09B54">
            <w:pPr>
              <w:spacing w:line="440" w:lineRule="exact"/>
              <w:contextualSpacing/>
              <w:jc w:val="left"/>
              <w:rPr>
                <w:rFonts w:ascii="宋体" w:hAnsi="宋体" w:cs="宋体"/>
                <w:color w:val="auto"/>
                <w:szCs w:val="21"/>
              </w:rPr>
            </w:pPr>
            <w:r>
              <w:rPr>
                <w:rFonts w:hint="eastAsia" w:ascii="宋体" w:hAnsi="宋体" w:cs="宋体"/>
                <w:color w:val="auto"/>
                <w:szCs w:val="21"/>
              </w:rPr>
              <w:t>2.供应商依法缴纳税收的相关材料（</w:t>
            </w:r>
            <w:r>
              <w:rPr>
                <w:rFonts w:hint="eastAsia" w:ascii="宋体" w:hAnsi="宋体" w:cs="宋体"/>
                <w:b/>
                <w:color w:val="auto"/>
                <w:szCs w:val="21"/>
                <w:u w:val="single"/>
              </w:rPr>
              <w:t>2025年12月至2026年05月</w:t>
            </w:r>
            <w:r>
              <w:rPr>
                <w:rFonts w:hint="eastAsia" w:ascii="宋体" w:hAnsi="宋体" w:cs="宋体"/>
                <w:b/>
                <w:color w:val="auto"/>
                <w:szCs w:val="21"/>
              </w:rPr>
              <w:t>内</w:t>
            </w:r>
            <w:r>
              <w:rPr>
                <w:rFonts w:hint="eastAsia" w:ascii="宋体" w:hAnsi="宋体" w:cs="宋体"/>
                <w:color w:val="auto"/>
                <w:szCs w:val="21"/>
              </w:rPr>
              <w:t>任意连续</w:t>
            </w:r>
            <w:r>
              <w:rPr>
                <w:rFonts w:hint="eastAsia" w:ascii="宋体" w:hAnsi="宋体" w:cs="宋体"/>
                <w:color w:val="auto"/>
                <w:szCs w:val="21"/>
                <w:u w:val="single"/>
              </w:rPr>
              <w:t>3</w:t>
            </w:r>
            <w:r>
              <w:rPr>
                <w:rFonts w:hint="eastAsia" w:ascii="宋体" w:hAnsi="宋体" w:cs="宋体"/>
                <w:color w:val="auto"/>
                <w:szCs w:val="21"/>
              </w:rPr>
              <w:t>个月的依法缴纳税收的凭据扫描件；依法免税的，必须提供相应文件证明其依法免税。从成立之日起到响应文件提交截止时间止不足要求月数的，只需提供从成立之日起的依法缴纳税收相应证明文件）；（</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48A22286">
            <w:pPr>
              <w:spacing w:line="440" w:lineRule="exact"/>
              <w:contextualSpacing/>
              <w:jc w:val="left"/>
              <w:rPr>
                <w:rFonts w:ascii="宋体" w:hAnsi="宋体" w:cs="宋体"/>
                <w:color w:val="auto"/>
                <w:szCs w:val="21"/>
              </w:rPr>
            </w:pPr>
            <w:r>
              <w:rPr>
                <w:rFonts w:hint="eastAsia" w:ascii="宋体" w:hAnsi="宋体" w:cs="宋体"/>
                <w:color w:val="auto"/>
                <w:szCs w:val="21"/>
              </w:rPr>
              <w:t>3.供应商依法缴纳社会保障资金的相关材料[</w:t>
            </w:r>
            <w:r>
              <w:rPr>
                <w:rFonts w:hint="eastAsia" w:ascii="宋体" w:hAnsi="宋体" w:cs="宋体"/>
                <w:b/>
                <w:color w:val="auto"/>
                <w:szCs w:val="21"/>
                <w:u w:val="single"/>
              </w:rPr>
              <w:t>2025年12月至2026年05月内</w:t>
            </w:r>
            <w:r>
              <w:rPr>
                <w:rFonts w:hint="eastAsia" w:ascii="宋体" w:hAnsi="宋体" w:cs="宋体"/>
                <w:color w:val="auto"/>
                <w:szCs w:val="21"/>
              </w:rPr>
              <w:t>任意连续</w:t>
            </w:r>
            <w:r>
              <w:rPr>
                <w:rFonts w:hint="eastAsia" w:ascii="宋体" w:hAnsi="宋体" w:cs="宋体"/>
                <w:color w:val="auto"/>
                <w:szCs w:val="21"/>
                <w:u w:val="single"/>
              </w:rPr>
              <w:t>3</w:t>
            </w:r>
            <w:r>
              <w:rPr>
                <w:rFonts w:hint="eastAsia" w:ascii="宋体" w:hAnsi="宋体" w:cs="宋体"/>
                <w:color w:val="auto"/>
                <w:szCs w:val="21"/>
              </w:rPr>
              <w:t>个月的依法缴纳社会保障资金的缴费凭证（专用收据或者社会保险缴纳清单）扫描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7051478D">
            <w:pPr>
              <w:spacing w:line="440" w:lineRule="exact"/>
              <w:contextualSpacing/>
              <w:jc w:val="left"/>
              <w:rPr>
                <w:rFonts w:ascii="宋体" w:hAnsi="宋体" w:cs="宋体"/>
                <w:b/>
                <w:color w:val="auto"/>
                <w:szCs w:val="21"/>
              </w:rPr>
            </w:pPr>
            <w:r>
              <w:rPr>
                <w:rFonts w:hint="eastAsia" w:ascii="宋体" w:hAnsi="宋体" w:cs="宋体"/>
                <w:color w:val="auto"/>
                <w:szCs w:val="21"/>
              </w:rPr>
              <w:t>4.</w:t>
            </w:r>
            <w:r>
              <w:rPr>
                <w:rFonts w:hint="eastAsia" w:ascii="宋体" w:hAnsi="宋体" w:cs="宋体"/>
                <w:color w:val="auto"/>
                <w:szCs w:val="21"/>
              </w:rPr>
              <w:t>供应商财务状况报告</w:t>
            </w:r>
            <w:r>
              <w:rPr>
                <w:rFonts w:hint="eastAsia" w:ascii="宋体" w:hAnsi="宋体" w:cs="宋体"/>
                <w:color w:val="auto"/>
                <w:szCs w:val="21"/>
                <w:lang w:eastAsia="zh-CN"/>
              </w:rPr>
              <w:t>（</w:t>
            </w:r>
            <w:r>
              <w:rPr>
                <w:rFonts w:hint="eastAsia" w:ascii="宋体" w:hAnsi="宋体" w:cs="宋体"/>
                <w:b/>
                <w:bCs/>
                <w:color w:val="auto"/>
                <w:szCs w:val="21"/>
              </w:rPr>
              <w:t>提供2025年的财务审计报告和财务报表复印件</w:t>
            </w:r>
            <w:r>
              <w:rPr>
                <w:rFonts w:hint="eastAsia" w:ascii="宋体" w:hAnsi="宋体" w:cs="宋体"/>
                <w:color w:val="auto"/>
                <w:szCs w:val="21"/>
              </w:rPr>
              <w:t>（复印件上要求加盖</w:t>
            </w:r>
            <w:r>
              <w:rPr>
                <w:rFonts w:hint="eastAsia" w:ascii="宋体" w:hAnsi="宋体" w:cs="宋体"/>
                <w:color w:val="auto"/>
                <w:szCs w:val="21"/>
                <w:lang w:eastAsia="zh-CN"/>
              </w:rPr>
              <w:t>供应商公</w:t>
            </w:r>
            <w:r>
              <w:rPr>
                <w:rFonts w:hint="eastAsia" w:ascii="宋体" w:hAnsi="宋体" w:cs="宋体"/>
                <w:color w:val="auto"/>
                <w:szCs w:val="21"/>
              </w:rPr>
              <w:t>章）（新成立企业、新晋升为一般纳税人企业以及小规模纳税人可提供上年度纳税信用评级证书、当年度动态信用等级证明或公告开始之日上月末的无欠税证明)；</w:t>
            </w:r>
            <w:r>
              <w:rPr>
                <w:rFonts w:hint="eastAsia" w:ascii="宋体" w:hAnsi="宋体" w:cs="宋体"/>
                <w:bCs/>
                <w:color w:val="auto"/>
                <w:szCs w:val="21"/>
              </w:rPr>
              <w:t>（</w:t>
            </w:r>
            <w:r>
              <w:rPr>
                <w:rFonts w:hint="eastAsia" w:ascii="宋体" w:hAnsi="宋体" w:cs="宋体"/>
                <w:b/>
                <w:color w:val="auto"/>
                <w:szCs w:val="21"/>
              </w:rPr>
              <w:t>必须提供，否则响应文件按无效处理</w:t>
            </w:r>
            <w:r>
              <w:rPr>
                <w:rFonts w:hint="eastAsia" w:ascii="宋体" w:hAnsi="宋体" w:cs="宋体"/>
                <w:bCs/>
                <w:color w:val="auto"/>
                <w:szCs w:val="21"/>
              </w:rPr>
              <w:t>）</w:t>
            </w:r>
          </w:p>
          <w:p w14:paraId="28BADDE2">
            <w:pPr>
              <w:snapToGrid w:val="0"/>
              <w:spacing w:line="440" w:lineRule="exact"/>
              <w:jc w:val="left"/>
              <w:rPr>
                <w:rFonts w:ascii="宋体" w:hAnsi="宋体" w:cs="宋体"/>
                <w:color w:val="auto"/>
                <w:szCs w:val="21"/>
              </w:rPr>
            </w:pPr>
            <w:r>
              <w:rPr>
                <w:rFonts w:hint="eastAsia" w:ascii="宋体" w:hAnsi="宋体" w:cs="宋体"/>
                <w:color w:val="auto"/>
                <w:szCs w:val="21"/>
              </w:rPr>
              <w:t>5.供应商直接控股、管理关系信息表（格式后附）；（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1BF3D57A">
            <w:pPr>
              <w:snapToGrid w:val="0"/>
              <w:spacing w:line="440" w:lineRule="exact"/>
              <w:jc w:val="left"/>
              <w:rPr>
                <w:rFonts w:ascii="宋体" w:hAnsi="宋体" w:cs="宋体"/>
                <w:color w:val="auto"/>
                <w:szCs w:val="21"/>
              </w:rPr>
            </w:pPr>
            <w:r>
              <w:rPr>
                <w:rFonts w:hint="eastAsia" w:ascii="宋体" w:hAnsi="宋体" w:cs="宋体"/>
                <w:color w:val="auto"/>
                <w:szCs w:val="21"/>
              </w:rPr>
              <w:t>6.竞标声明（格式后附）；（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7822CC00">
            <w:pPr>
              <w:adjustRightInd w:val="0"/>
              <w:snapToGrid w:val="0"/>
              <w:spacing w:line="440" w:lineRule="exact"/>
              <w:rPr>
                <w:rFonts w:ascii="宋体" w:hAnsi="宋体" w:cs="宋体"/>
                <w:b/>
                <w:bCs/>
                <w:color w:val="auto"/>
                <w:szCs w:val="21"/>
              </w:rPr>
            </w:pPr>
            <w:r>
              <w:rPr>
                <w:rFonts w:hint="eastAsia" w:ascii="宋体" w:hAnsi="宋体" w:cs="宋体"/>
                <w:color w:val="auto"/>
                <w:szCs w:val="21"/>
              </w:rPr>
              <w:t>7.本项目</w:t>
            </w:r>
            <w:r>
              <w:rPr>
                <w:rFonts w:hint="eastAsia" w:ascii="宋体" w:hAnsi="宋体" w:cs="宋体"/>
                <w:bCs/>
                <w:color w:val="auto"/>
                <w:szCs w:val="21"/>
              </w:rPr>
              <w:t>特定资格要求证明材料复印件；</w:t>
            </w:r>
            <w:r>
              <w:rPr>
                <w:rFonts w:hint="eastAsia" w:ascii="宋体" w:hAnsi="宋体" w:cs="宋体"/>
                <w:b/>
                <w:bCs/>
                <w:color w:val="auto"/>
                <w:szCs w:val="21"/>
              </w:rPr>
              <w:t>（按特定资格要求内容提供相关资质证书、承诺函等证明材料复印件、拟投入相关人员的资格证书、职称证书及</w:t>
            </w:r>
            <w:r>
              <w:rPr>
                <w:rFonts w:hint="eastAsia" w:ascii="宋体" w:hAnsi="宋体" w:cs="宋体"/>
                <w:b/>
                <w:color w:val="auto"/>
                <w:szCs w:val="21"/>
                <w:u w:val="single"/>
              </w:rPr>
              <w:t>2025年12月至2026年05月</w:t>
            </w:r>
            <w:r>
              <w:rPr>
                <w:rFonts w:hint="eastAsia" w:ascii="宋体" w:hAnsi="宋体" w:cs="宋体"/>
                <w:b/>
                <w:bCs/>
                <w:color w:val="auto"/>
                <w:szCs w:val="21"/>
              </w:rPr>
              <w:t>内任意连续3个月供应商为其缴纳社保的证明复印件（不足期限的提供劳动合同复印件）；以上资料必须提供，否则响应文件按无效处理）</w:t>
            </w:r>
          </w:p>
          <w:p w14:paraId="65AE764D">
            <w:pPr>
              <w:snapToGrid w:val="0"/>
              <w:spacing w:line="440" w:lineRule="exact"/>
              <w:jc w:val="left"/>
              <w:rPr>
                <w:rFonts w:ascii="宋体" w:hAnsi="宋体" w:cs="宋体"/>
                <w:color w:val="auto"/>
                <w:szCs w:val="21"/>
              </w:rPr>
            </w:pPr>
            <w:r>
              <w:rPr>
                <w:rFonts w:hint="eastAsia" w:ascii="宋体" w:hAnsi="宋体" w:cs="宋体"/>
                <w:color w:val="auto"/>
                <w:szCs w:val="21"/>
              </w:rPr>
              <w:t>8</w:t>
            </w:r>
            <w:r>
              <w:rPr>
                <w:rFonts w:hint="eastAsia" w:ascii="宋体" w:hAnsi="宋体" w:cs="宋体"/>
                <w:b/>
                <w:bCs/>
                <w:color w:val="auto"/>
                <w:szCs w:val="21"/>
              </w:rPr>
              <w:t>.</w:t>
            </w:r>
            <w:r>
              <w:rPr>
                <w:rFonts w:hint="eastAsia" w:ascii="宋体" w:hAnsi="宋体" w:cs="宋体"/>
                <w:color w:val="auto"/>
                <w:szCs w:val="21"/>
              </w:rPr>
              <w:t>供应商《中小企业声明函》或《残疾人福利性单位声明函》或监狱企业证明（由省级以上监狱管理局、戒毒管理局（含新疆生产建设兵团）出具的属于监狱企业的证明文件）；</w:t>
            </w:r>
            <w:r>
              <w:rPr>
                <w:rFonts w:hint="eastAsia" w:ascii="宋体" w:hAnsi="宋体" w:cs="宋体"/>
                <w:bCs/>
                <w:color w:val="auto"/>
                <w:szCs w:val="21"/>
              </w:rPr>
              <w:t>（</w:t>
            </w:r>
            <w:r>
              <w:rPr>
                <w:rFonts w:hint="eastAsia" w:ascii="宋体" w:hAnsi="宋体" w:cs="宋体"/>
                <w:b/>
                <w:color w:val="auto"/>
                <w:szCs w:val="21"/>
              </w:rPr>
              <w:t>必须提供，否则响应文件按无效处理</w:t>
            </w:r>
            <w:r>
              <w:rPr>
                <w:rFonts w:hint="eastAsia" w:ascii="宋体" w:hAnsi="宋体" w:cs="宋体"/>
                <w:bCs/>
                <w:color w:val="auto"/>
                <w:szCs w:val="21"/>
              </w:rPr>
              <w:t>）</w:t>
            </w:r>
          </w:p>
          <w:p w14:paraId="7FBBB883">
            <w:pPr>
              <w:snapToGrid w:val="0"/>
              <w:spacing w:line="440" w:lineRule="exact"/>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9</w:t>
            </w:r>
            <w:r>
              <w:rPr>
                <w:rFonts w:hint="eastAsia" w:ascii="宋体" w:hAnsi="宋体" w:cs="宋体"/>
                <w:color w:val="auto"/>
                <w:szCs w:val="21"/>
              </w:rPr>
              <w:t>.除磋商文件规定必须提供以外，供应商认为需要提供的其他证明材料</w:t>
            </w:r>
            <w:r>
              <w:rPr>
                <w:rFonts w:hint="eastAsia" w:ascii="宋体" w:hAnsi="宋体" w:cs="宋体"/>
                <w:color w:val="auto"/>
                <w:szCs w:val="21"/>
                <w:lang w:eastAsia="zh-CN"/>
              </w:rPr>
              <w:t>。</w:t>
            </w:r>
          </w:p>
          <w:p w14:paraId="1657806D">
            <w:pPr>
              <w:snapToGrid w:val="0"/>
              <w:spacing w:line="440" w:lineRule="exact"/>
              <w:jc w:val="left"/>
              <w:rPr>
                <w:rFonts w:ascii="宋体" w:hAnsi="宋体" w:cs="宋体"/>
                <w:b/>
                <w:color w:val="auto"/>
                <w:szCs w:val="21"/>
              </w:rPr>
            </w:pPr>
            <w:r>
              <w:rPr>
                <w:rFonts w:hint="eastAsia" w:ascii="宋体" w:hAnsi="宋体" w:cs="宋体"/>
                <w:b/>
                <w:color w:val="auto"/>
                <w:szCs w:val="21"/>
              </w:rPr>
              <w:t>注：以上标明“必须提供”的材料属于扫描件的，必须加盖供应商电子签章，否则响应文件按无效处理。</w:t>
            </w:r>
          </w:p>
        </w:tc>
      </w:tr>
      <w:tr w14:paraId="0E74E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9653C2E">
            <w:pPr>
              <w:spacing w:line="440" w:lineRule="exact"/>
              <w:jc w:val="center"/>
              <w:rPr>
                <w:rFonts w:ascii="宋体" w:hAnsi="宋体" w:cs="宋体"/>
                <w:color w:val="auto"/>
                <w:szCs w:val="21"/>
              </w:rPr>
            </w:pPr>
            <w:r>
              <w:rPr>
                <w:rFonts w:hint="eastAsia" w:ascii="宋体" w:hAnsi="宋体" w:cs="宋体"/>
                <w:color w:val="auto"/>
                <w:szCs w:val="21"/>
              </w:rPr>
              <w:t>12.1.2</w:t>
            </w:r>
          </w:p>
        </w:tc>
        <w:tc>
          <w:tcPr>
            <w:tcW w:w="8097" w:type="dxa"/>
            <w:vAlign w:val="center"/>
          </w:tcPr>
          <w:p w14:paraId="54BD320C">
            <w:pPr>
              <w:spacing w:line="440" w:lineRule="exact"/>
              <w:rPr>
                <w:rFonts w:ascii="宋体" w:hAnsi="宋体" w:cs="宋体"/>
                <w:b/>
                <w:bCs/>
                <w:color w:val="auto"/>
                <w:szCs w:val="21"/>
              </w:rPr>
            </w:pPr>
            <w:r>
              <w:rPr>
                <w:rFonts w:hint="eastAsia" w:ascii="宋体" w:hAnsi="宋体" w:cs="宋体"/>
                <w:b/>
                <w:bCs/>
                <w:color w:val="auto"/>
                <w:szCs w:val="21"/>
              </w:rPr>
              <w:t>报价文件</w:t>
            </w:r>
          </w:p>
          <w:p w14:paraId="3714A771">
            <w:pPr>
              <w:spacing w:line="440" w:lineRule="exact"/>
              <w:rPr>
                <w:rFonts w:ascii="宋体" w:hAnsi="宋体" w:cs="宋体"/>
                <w:color w:val="auto"/>
                <w:szCs w:val="21"/>
              </w:rPr>
            </w:pPr>
            <w:r>
              <w:rPr>
                <w:rFonts w:hint="eastAsia" w:ascii="宋体" w:hAnsi="宋体" w:cs="宋体"/>
                <w:color w:val="auto"/>
                <w:szCs w:val="21"/>
              </w:rPr>
              <w:t>1.竞标函及竞标函附录（格式后附）；（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1882DE19">
            <w:pPr>
              <w:spacing w:line="440" w:lineRule="exact"/>
              <w:rPr>
                <w:rFonts w:ascii="宋体" w:hAnsi="宋体" w:cs="宋体"/>
                <w:color w:val="auto"/>
                <w:szCs w:val="21"/>
              </w:rPr>
            </w:pPr>
            <w:r>
              <w:rPr>
                <w:rFonts w:hint="eastAsia" w:ascii="宋体" w:hAnsi="宋体" w:cs="宋体"/>
                <w:color w:val="auto"/>
                <w:szCs w:val="21"/>
              </w:rPr>
              <w:t>2.竞标报价表（格式后附）；（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7F3FD79D">
            <w:pPr>
              <w:spacing w:line="440" w:lineRule="exact"/>
              <w:rPr>
                <w:rFonts w:ascii="宋体" w:hAnsi="宋体" w:cs="宋体"/>
                <w:color w:val="auto"/>
                <w:szCs w:val="21"/>
              </w:rPr>
            </w:pPr>
            <w:r>
              <w:rPr>
                <w:rFonts w:hint="eastAsia" w:ascii="宋体" w:hAnsi="宋体" w:cs="宋体"/>
                <w:color w:val="auto"/>
                <w:szCs w:val="21"/>
              </w:rPr>
              <w:t>3.已标价工程量清单；（</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2B69C8EB">
            <w:pPr>
              <w:spacing w:line="440" w:lineRule="exact"/>
              <w:rPr>
                <w:rFonts w:ascii="宋体" w:hAnsi="宋体" w:cs="宋体"/>
                <w:color w:val="auto"/>
                <w:szCs w:val="21"/>
              </w:rPr>
            </w:pPr>
            <w:r>
              <w:rPr>
                <w:rFonts w:hint="eastAsia" w:ascii="宋体" w:hAnsi="宋体" w:cs="宋体"/>
                <w:color w:val="auto"/>
                <w:szCs w:val="21"/>
              </w:rPr>
              <w:t>4.供应商认为需要提供的其他有关资料。</w:t>
            </w:r>
          </w:p>
        </w:tc>
      </w:tr>
      <w:tr w14:paraId="61204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BE24264">
            <w:pPr>
              <w:spacing w:line="440" w:lineRule="exact"/>
              <w:jc w:val="center"/>
              <w:rPr>
                <w:rFonts w:ascii="宋体" w:hAnsi="宋体" w:cs="宋体"/>
                <w:color w:val="auto"/>
                <w:szCs w:val="21"/>
              </w:rPr>
            </w:pPr>
            <w:r>
              <w:rPr>
                <w:rFonts w:hint="eastAsia" w:ascii="宋体" w:hAnsi="宋体" w:cs="宋体"/>
                <w:color w:val="auto"/>
                <w:szCs w:val="21"/>
              </w:rPr>
              <w:t>12.1.3</w:t>
            </w:r>
          </w:p>
        </w:tc>
        <w:tc>
          <w:tcPr>
            <w:tcW w:w="8097" w:type="dxa"/>
            <w:vAlign w:val="center"/>
          </w:tcPr>
          <w:p w14:paraId="730285B2">
            <w:pPr>
              <w:spacing w:line="440" w:lineRule="exact"/>
              <w:rPr>
                <w:rFonts w:ascii="宋体" w:hAnsi="宋体" w:cs="宋体"/>
                <w:b/>
                <w:bCs/>
                <w:color w:val="auto"/>
                <w:szCs w:val="21"/>
              </w:rPr>
            </w:pPr>
            <w:r>
              <w:rPr>
                <w:rFonts w:hint="eastAsia" w:ascii="宋体" w:hAnsi="宋体" w:cs="宋体"/>
                <w:b/>
                <w:bCs/>
                <w:color w:val="auto"/>
                <w:szCs w:val="21"/>
              </w:rPr>
              <w:t>商务技术文件</w:t>
            </w:r>
          </w:p>
          <w:p w14:paraId="7AF99EC9">
            <w:pPr>
              <w:spacing w:line="440" w:lineRule="exact"/>
              <w:rPr>
                <w:rFonts w:ascii="宋体" w:hAnsi="宋体" w:cs="宋体"/>
                <w:color w:val="auto"/>
                <w:szCs w:val="21"/>
              </w:rPr>
            </w:pPr>
            <w:r>
              <w:rPr>
                <w:rFonts w:hint="eastAsia" w:ascii="宋体" w:hAnsi="宋体" w:cs="宋体"/>
                <w:color w:val="auto"/>
                <w:szCs w:val="21"/>
              </w:rPr>
              <w:t>1.无串通竞标行为的承诺函（格式后附）；（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6764AE49">
            <w:pPr>
              <w:snapToGrid w:val="0"/>
              <w:spacing w:line="440" w:lineRule="exact"/>
              <w:jc w:val="left"/>
              <w:rPr>
                <w:rFonts w:ascii="宋体" w:hAnsi="宋体" w:cs="宋体"/>
                <w:color w:val="auto"/>
                <w:szCs w:val="21"/>
              </w:rPr>
            </w:pPr>
            <w:r>
              <w:rPr>
                <w:rFonts w:hint="eastAsia" w:ascii="宋体" w:hAnsi="宋体" w:cs="宋体"/>
                <w:color w:val="auto"/>
                <w:szCs w:val="21"/>
              </w:rPr>
              <w:t>2.施工单位廉洁承诺书（格式后附）；（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1BE68B61">
            <w:pPr>
              <w:snapToGrid w:val="0"/>
              <w:spacing w:line="440" w:lineRule="exact"/>
              <w:jc w:val="left"/>
              <w:rPr>
                <w:rFonts w:ascii="宋体" w:hAnsi="宋体" w:cs="宋体"/>
                <w:color w:val="auto"/>
                <w:szCs w:val="21"/>
              </w:rPr>
            </w:pPr>
            <w:r>
              <w:rPr>
                <w:rFonts w:hint="eastAsia" w:ascii="宋体" w:hAnsi="宋体" w:cs="宋体"/>
                <w:color w:val="auto"/>
                <w:szCs w:val="21"/>
              </w:rPr>
              <w:t>3.法定代表人身份证明书及法定代表人有效身份证正反面扫描件（格式后附）；（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49308773">
            <w:pPr>
              <w:spacing w:line="440" w:lineRule="exact"/>
              <w:rPr>
                <w:rFonts w:ascii="宋体" w:hAnsi="宋体" w:cs="宋体"/>
                <w:b/>
                <w:color w:val="auto"/>
                <w:szCs w:val="21"/>
              </w:rPr>
            </w:pPr>
            <w:r>
              <w:rPr>
                <w:rFonts w:hint="eastAsia" w:ascii="宋体" w:hAnsi="宋体" w:cs="宋体"/>
                <w:color w:val="auto"/>
                <w:szCs w:val="21"/>
              </w:rPr>
              <w:t>4.授权委托书及委托代理人有效身份证正反面扫描件（格式后附）；（</w:t>
            </w:r>
            <w:r>
              <w:rPr>
                <w:rFonts w:hint="eastAsia" w:ascii="宋体" w:hAnsi="宋体" w:cs="宋体"/>
                <w:b/>
                <w:color w:val="auto"/>
                <w:szCs w:val="21"/>
              </w:rPr>
              <w:t>委托时必须提供，否则响应文件按无效处理</w:t>
            </w:r>
            <w:r>
              <w:rPr>
                <w:rFonts w:hint="eastAsia" w:ascii="宋体" w:hAnsi="宋体" w:cs="宋体"/>
                <w:color w:val="auto"/>
                <w:szCs w:val="21"/>
              </w:rPr>
              <w:t>）</w:t>
            </w:r>
          </w:p>
          <w:p w14:paraId="326377E7">
            <w:pPr>
              <w:spacing w:line="440" w:lineRule="exact"/>
              <w:rPr>
                <w:rFonts w:ascii="宋体" w:hAnsi="宋体" w:cs="宋体"/>
                <w:color w:val="auto"/>
                <w:szCs w:val="21"/>
              </w:rPr>
            </w:pPr>
            <w:r>
              <w:rPr>
                <w:rFonts w:hint="eastAsia" w:ascii="宋体" w:hAnsi="宋体" w:cs="宋体"/>
                <w:color w:val="auto"/>
                <w:szCs w:val="21"/>
              </w:rPr>
              <w:t>5.磋商保证金提交凭证；（</w:t>
            </w:r>
            <w:r>
              <w:rPr>
                <w:rFonts w:hint="eastAsia" w:ascii="宋体" w:hAnsi="宋体" w:cs="宋体"/>
                <w:b/>
                <w:bCs/>
                <w:color w:val="auto"/>
                <w:szCs w:val="21"/>
              </w:rPr>
              <w:t>如要求提交磋商保证金的则必须提供</w:t>
            </w:r>
            <w:r>
              <w:rPr>
                <w:rFonts w:hint="eastAsia" w:ascii="宋体" w:hAnsi="宋体" w:cs="宋体"/>
                <w:b/>
                <w:color w:val="auto"/>
                <w:szCs w:val="21"/>
              </w:rPr>
              <w:t>，否则响应文件按无效处理</w:t>
            </w:r>
            <w:r>
              <w:rPr>
                <w:rFonts w:hint="eastAsia" w:ascii="宋体" w:hAnsi="宋体" w:cs="宋体"/>
                <w:color w:val="auto"/>
                <w:szCs w:val="21"/>
              </w:rPr>
              <w:t>）</w:t>
            </w:r>
          </w:p>
          <w:p w14:paraId="5B4EF287">
            <w:pPr>
              <w:spacing w:line="440" w:lineRule="exact"/>
              <w:rPr>
                <w:rFonts w:ascii="宋体" w:hAnsi="宋体" w:cs="宋体"/>
                <w:color w:val="auto"/>
                <w:szCs w:val="21"/>
              </w:rPr>
            </w:pPr>
            <w:r>
              <w:rPr>
                <w:rFonts w:hint="eastAsia" w:ascii="宋体" w:hAnsi="宋体" w:cs="宋体"/>
                <w:color w:val="auto"/>
                <w:szCs w:val="21"/>
              </w:rPr>
              <w:t>6.施工组织设计（格式自拟）；（</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31420BEE">
            <w:pPr>
              <w:spacing w:line="440" w:lineRule="exact"/>
              <w:rPr>
                <w:rFonts w:ascii="宋体" w:hAnsi="宋体" w:cs="宋体"/>
                <w:color w:val="auto"/>
                <w:szCs w:val="21"/>
              </w:rPr>
            </w:pPr>
            <w:r>
              <w:rPr>
                <w:rFonts w:hint="eastAsia" w:ascii="宋体" w:hAnsi="宋体" w:cs="宋体"/>
                <w:color w:val="auto"/>
                <w:szCs w:val="21"/>
              </w:rPr>
              <w:t>7.项目管理机构配备情况表及主要人员简历表（格式后附）；（</w:t>
            </w:r>
            <w:r>
              <w:rPr>
                <w:rFonts w:hint="eastAsia" w:ascii="宋体" w:hAnsi="宋体" w:cs="宋体"/>
                <w:b/>
                <w:color w:val="auto"/>
                <w:szCs w:val="21"/>
              </w:rPr>
              <w:t>必须提供，否则响应文件按无效处理</w:t>
            </w:r>
            <w:r>
              <w:rPr>
                <w:rFonts w:hint="eastAsia" w:ascii="宋体" w:hAnsi="宋体" w:cs="宋体"/>
                <w:color w:val="auto"/>
                <w:szCs w:val="21"/>
              </w:rPr>
              <w:t xml:space="preserve">） </w:t>
            </w:r>
          </w:p>
          <w:p w14:paraId="26911238">
            <w:pPr>
              <w:spacing w:line="440" w:lineRule="exact"/>
              <w:rPr>
                <w:rFonts w:ascii="宋体" w:hAnsi="宋体" w:cs="宋体"/>
                <w:color w:val="auto"/>
                <w:szCs w:val="21"/>
              </w:rPr>
            </w:pPr>
            <w:r>
              <w:rPr>
                <w:rFonts w:hint="eastAsia" w:ascii="宋体" w:hAnsi="宋体" w:cs="宋体"/>
                <w:color w:val="auto"/>
                <w:szCs w:val="21"/>
              </w:rPr>
              <w:t>8.农民工工资保证金的交纳与使用承诺书；（</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061E345B">
            <w:pPr>
              <w:spacing w:line="440" w:lineRule="exact"/>
              <w:rPr>
                <w:rFonts w:hint="eastAsia" w:ascii="宋体" w:hAnsi="宋体" w:cs="宋体"/>
                <w:color w:val="auto"/>
                <w:szCs w:val="21"/>
              </w:rPr>
            </w:pPr>
            <w:r>
              <w:rPr>
                <w:rFonts w:hint="eastAsia" w:ascii="宋体" w:hAnsi="宋体" w:cs="宋体"/>
                <w:color w:val="auto"/>
                <w:szCs w:val="21"/>
              </w:rPr>
              <w:t>9.业绩情况一览表</w:t>
            </w:r>
            <w:r>
              <w:rPr>
                <w:rFonts w:hint="eastAsia" w:ascii="宋体" w:hAnsi="宋体" w:cs="宋体"/>
                <w:b/>
                <w:bCs/>
                <w:color w:val="auto"/>
                <w:szCs w:val="21"/>
              </w:rPr>
              <w:t>（格式后附）；（如有）</w:t>
            </w:r>
          </w:p>
          <w:p w14:paraId="623C374D">
            <w:pPr>
              <w:spacing w:line="440" w:lineRule="exact"/>
              <w:rPr>
                <w:rFonts w:ascii="宋体" w:hAnsi="宋体" w:cs="宋体"/>
                <w:color w:val="auto"/>
                <w:szCs w:val="21"/>
              </w:rPr>
            </w:pPr>
            <w:r>
              <w:rPr>
                <w:rFonts w:hint="eastAsia" w:ascii="宋体" w:hAnsi="宋体" w:cs="宋体"/>
                <w:color w:val="auto"/>
                <w:szCs w:val="21"/>
              </w:rPr>
              <w:t>10.拟分包项目情况表</w:t>
            </w:r>
            <w:r>
              <w:rPr>
                <w:rFonts w:hint="eastAsia" w:ascii="宋体" w:hAnsi="宋体" w:cs="宋体"/>
                <w:b/>
                <w:bCs/>
                <w:color w:val="auto"/>
                <w:szCs w:val="21"/>
              </w:rPr>
              <w:t>（格式后附）；（如有）</w:t>
            </w:r>
          </w:p>
          <w:p w14:paraId="28C617F4">
            <w:pPr>
              <w:spacing w:line="440" w:lineRule="exact"/>
              <w:rPr>
                <w:rFonts w:ascii="宋体" w:hAnsi="宋体" w:cs="宋体"/>
                <w:color w:val="auto"/>
                <w:szCs w:val="21"/>
              </w:rPr>
            </w:pPr>
            <w:r>
              <w:rPr>
                <w:rFonts w:hint="eastAsia" w:ascii="宋体" w:hAnsi="宋体" w:cs="宋体"/>
                <w:color w:val="auto"/>
                <w:szCs w:val="21"/>
              </w:rPr>
              <w:t>11.供应商认为需要提供的其他有关资料。</w:t>
            </w:r>
          </w:p>
          <w:p w14:paraId="5B899C16">
            <w:pPr>
              <w:spacing w:line="440" w:lineRule="exact"/>
              <w:rPr>
                <w:rFonts w:ascii="宋体" w:hAnsi="宋体" w:cs="宋体"/>
                <w:b/>
                <w:color w:val="auto"/>
                <w:szCs w:val="21"/>
              </w:rPr>
            </w:pPr>
            <w:r>
              <w:rPr>
                <w:rFonts w:hint="eastAsia" w:ascii="宋体" w:hAnsi="宋体" w:cs="宋体"/>
                <w:b/>
                <w:color w:val="auto"/>
                <w:szCs w:val="21"/>
              </w:rPr>
              <w:t>注：以上标明“必须提供”的材料属于扫描件的，必须加盖供应商电子签章，否则响应文件按无效处理。</w:t>
            </w:r>
          </w:p>
        </w:tc>
      </w:tr>
      <w:tr w14:paraId="4D542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4E88852">
            <w:pPr>
              <w:spacing w:line="440" w:lineRule="exact"/>
              <w:jc w:val="center"/>
              <w:rPr>
                <w:rFonts w:ascii="宋体" w:hAnsi="宋体" w:cs="宋体"/>
                <w:color w:val="auto"/>
                <w:szCs w:val="21"/>
              </w:rPr>
            </w:pPr>
            <w:r>
              <w:rPr>
                <w:rFonts w:hint="eastAsia" w:ascii="宋体" w:hAnsi="宋体" w:cs="宋体"/>
                <w:color w:val="auto"/>
                <w:szCs w:val="21"/>
              </w:rPr>
              <w:t>15.1</w:t>
            </w:r>
          </w:p>
        </w:tc>
        <w:tc>
          <w:tcPr>
            <w:tcW w:w="8097" w:type="dxa"/>
            <w:vAlign w:val="center"/>
          </w:tcPr>
          <w:p w14:paraId="1357B797">
            <w:pPr>
              <w:spacing w:line="440" w:lineRule="exact"/>
              <w:contextualSpacing/>
              <w:jc w:val="left"/>
              <w:rPr>
                <w:rFonts w:ascii="宋体" w:hAnsi="宋体" w:cs="宋体"/>
                <w:color w:val="auto"/>
                <w:szCs w:val="21"/>
              </w:rPr>
            </w:pPr>
            <w:r>
              <w:rPr>
                <w:rFonts w:hint="eastAsia" w:ascii="宋体" w:hAnsi="宋体" w:cs="宋体"/>
                <w:color w:val="auto"/>
                <w:szCs w:val="21"/>
              </w:rPr>
              <w:t>竞标报价应按磋商文件中“竞标报价表”及“已标价工程量清单”格式填写。</w:t>
            </w:r>
          </w:p>
        </w:tc>
      </w:tr>
      <w:tr w14:paraId="4D33C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1C409B5">
            <w:pPr>
              <w:spacing w:line="440" w:lineRule="exact"/>
              <w:jc w:val="center"/>
              <w:rPr>
                <w:rFonts w:ascii="宋体" w:hAnsi="宋体" w:cs="宋体"/>
                <w:color w:val="auto"/>
                <w:szCs w:val="21"/>
              </w:rPr>
            </w:pPr>
            <w:r>
              <w:rPr>
                <w:rFonts w:hint="eastAsia" w:ascii="宋体" w:hAnsi="宋体" w:cs="宋体"/>
                <w:color w:val="auto"/>
                <w:szCs w:val="21"/>
              </w:rPr>
              <w:t>15.2</w:t>
            </w:r>
          </w:p>
        </w:tc>
        <w:tc>
          <w:tcPr>
            <w:tcW w:w="8097" w:type="dxa"/>
            <w:vAlign w:val="center"/>
          </w:tcPr>
          <w:p w14:paraId="03EA0CBB">
            <w:pPr>
              <w:spacing w:line="440" w:lineRule="exact"/>
              <w:contextualSpacing/>
              <w:jc w:val="left"/>
              <w:rPr>
                <w:rFonts w:ascii="宋体" w:hAnsi="宋体" w:cs="宋体"/>
                <w:color w:val="auto"/>
                <w:szCs w:val="21"/>
              </w:rPr>
            </w:pPr>
            <w:r>
              <w:rPr>
                <w:rFonts w:hint="eastAsia" w:ascii="宋体" w:hAnsi="宋体" w:cs="宋体"/>
                <w:color w:val="auto"/>
                <w:szCs w:val="21"/>
              </w:rPr>
              <w:t>竞标报价是履行合同的最终价格，包括了为实施和完成合同工程所需的劳务、材料、机械、质检（自检）、安装、缺陷修复、管理、保险、税费、利润等费用，以及合同明示或暗示的所有责任、义务和一般风险。</w:t>
            </w:r>
          </w:p>
        </w:tc>
      </w:tr>
      <w:tr w14:paraId="3BE53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56FF6D3">
            <w:pPr>
              <w:spacing w:line="440" w:lineRule="exact"/>
              <w:jc w:val="center"/>
              <w:rPr>
                <w:rFonts w:ascii="宋体" w:hAnsi="宋体" w:cs="宋体"/>
                <w:color w:val="auto"/>
                <w:szCs w:val="21"/>
              </w:rPr>
            </w:pPr>
            <w:r>
              <w:rPr>
                <w:rFonts w:hint="eastAsia" w:ascii="宋体" w:hAnsi="宋体" w:cs="宋体"/>
                <w:color w:val="auto"/>
                <w:szCs w:val="21"/>
              </w:rPr>
              <w:t>15.3</w:t>
            </w:r>
          </w:p>
        </w:tc>
        <w:tc>
          <w:tcPr>
            <w:tcW w:w="8097" w:type="dxa"/>
            <w:vAlign w:val="center"/>
          </w:tcPr>
          <w:p w14:paraId="4DFA0F34">
            <w:pPr>
              <w:spacing w:line="440" w:lineRule="exact"/>
              <w:contextualSpacing/>
              <w:jc w:val="left"/>
              <w:rPr>
                <w:rFonts w:ascii="宋体" w:hAnsi="宋体" w:cs="宋体"/>
                <w:color w:val="auto"/>
                <w:szCs w:val="21"/>
              </w:rPr>
            </w:pPr>
            <w:r>
              <w:rPr>
                <w:rFonts w:hint="eastAsia" w:ascii="宋体" w:hAnsi="宋体" w:cs="宋体"/>
                <w:color w:val="auto"/>
                <w:szCs w:val="21"/>
              </w:rPr>
              <w:t>本工程增值税计税方法：</w:t>
            </w:r>
            <w:r>
              <w:rPr>
                <w:rFonts w:hint="eastAsia" w:ascii="宋体" w:hAnsi="宋体" w:cs="宋体"/>
                <w:b/>
                <w:bCs/>
                <w:color w:val="auto"/>
                <w:sz w:val="18"/>
                <w:szCs w:val="18"/>
              </w:rPr>
              <w:t>☑</w:t>
            </w:r>
            <w:r>
              <w:rPr>
                <w:rFonts w:hint="eastAsia" w:ascii="宋体" w:hAnsi="宋体" w:cs="宋体"/>
                <w:b/>
                <w:bCs/>
                <w:color w:val="auto"/>
                <w:szCs w:val="21"/>
              </w:rPr>
              <w:t>一般计税法</w:t>
            </w:r>
            <w:r>
              <w:rPr>
                <w:rFonts w:hint="eastAsia" w:ascii="宋体" w:hAnsi="宋体" w:cs="宋体"/>
                <w:color w:val="auto"/>
                <w:szCs w:val="21"/>
              </w:rPr>
              <w:t>；□简易计税法</w:t>
            </w:r>
          </w:p>
        </w:tc>
      </w:tr>
      <w:tr w14:paraId="1FB5D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80E1FCD">
            <w:pPr>
              <w:spacing w:line="440" w:lineRule="exact"/>
              <w:jc w:val="center"/>
              <w:rPr>
                <w:rFonts w:ascii="宋体" w:hAnsi="宋体" w:cs="宋体"/>
                <w:color w:val="auto"/>
                <w:szCs w:val="21"/>
              </w:rPr>
            </w:pPr>
            <w:r>
              <w:rPr>
                <w:rFonts w:hint="eastAsia" w:ascii="宋体" w:hAnsi="宋体" w:cs="宋体"/>
                <w:color w:val="auto"/>
                <w:szCs w:val="21"/>
              </w:rPr>
              <w:t>16.2</w:t>
            </w:r>
          </w:p>
        </w:tc>
        <w:tc>
          <w:tcPr>
            <w:tcW w:w="8097" w:type="dxa"/>
            <w:vAlign w:val="center"/>
          </w:tcPr>
          <w:p w14:paraId="12CDDE88">
            <w:pPr>
              <w:pStyle w:val="14"/>
              <w:widowControl w:val="0"/>
              <w:tabs>
                <w:tab w:val="clear" w:pos="454"/>
              </w:tabs>
              <w:snapToGrid w:val="0"/>
              <w:spacing w:afterLines="0" w:line="440" w:lineRule="exact"/>
              <w:ind w:left="283" w:hanging="283" w:hangingChars="135"/>
              <w:rPr>
                <w:rFonts w:ascii="宋体" w:hAnsi="宋体" w:cs="宋体"/>
                <w:color w:val="auto"/>
                <w:kern w:val="2"/>
                <w:sz w:val="21"/>
                <w:szCs w:val="21"/>
              </w:rPr>
            </w:pPr>
            <w:r>
              <w:rPr>
                <w:rFonts w:hint="eastAsia" w:ascii="宋体" w:hAnsi="宋体" w:cs="宋体"/>
                <w:color w:val="auto"/>
                <w:kern w:val="2"/>
                <w:sz w:val="21"/>
                <w:szCs w:val="21"/>
              </w:rPr>
              <w:t>竞标有效期：自首次响应文件提交截止之日起</w:t>
            </w:r>
            <w:r>
              <w:rPr>
                <w:rFonts w:hint="eastAsia" w:ascii="宋体" w:hAnsi="宋体" w:cs="宋体"/>
                <w:color w:val="auto"/>
                <w:kern w:val="2"/>
                <w:sz w:val="21"/>
                <w:szCs w:val="21"/>
                <w:u w:val="single"/>
              </w:rPr>
              <w:t>60</w:t>
            </w:r>
            <w:r>
              <w:rPr>
                <w:rFonts w:hint="eastAsia" w:ascii="宋体" w:hAnsi="宋体" w:cs="宋体"/>
                <w:color w:val="auto"/>
                <w:kern w:val="2"/>
                <w:sz w:val="21"/>
                <w:szCs w:val="21"/>
              </w:rPr>
              <w:t>日。</w:t>
            </w:r>
          </w:p>
        </w:tc>
      </w:tr>
      <w:tr w14:paraId="52C82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16C4336">
            <w:pPr>
              <w:spacing w:line="440" w:lineRule="exact"/>
              <w:jc w:val="center"/>
              <w:rPr>
                <w:rFonts w:ascii="宋体" w:hAnsi="宋体" w:cs="宋体"/>
                <w:color w:val="auto"/>
                <w:szCs w:val="21"/>
              </w:rPr>
            </w:pPr>
            <w:r>
              <w:rPr>
                <w:rFonts w:hint="eastAsia" w:ascii="宋体" w:hAnsi="宋体" w:cs="宋体"/>
                <w:color w:val="auto"/>
                <w:szCs w:val="21"/>
              </w:rPr>
              <w:t>17.1</w:t>
            </w:r>
          </w:p>
        </w:tc>
        <w:tc>
          <w:tcPr>
            <w:tcW w:w="8097" w:type="dxa"/>
            <w:vAlign w:val="center"/>
          </w:tcPr>
          <w:p w14:paraId="046FD2E3">
            <w:pPr>
              <w:autoSpaceDE w:val="0"/>
              <w:autoSpaceDN w:val="0"/>
              <w:snapToGrid w:val="0"/>
              <w:spacing w:line="360" w:lineRule="auto"/>
              <w:textAlignment w:val="bottom"/>
              <w:rPr>
                <w:rFonts w:ascii="宋体" w:hAnsi="宋体" w:cs="宋体"/>
                <w:color w:val="auto"/>
                <w:szCs w:val="21"/>
              </w:rPr>
            </w:pPr>
            <w:r>
              <w:rPr>
                <w:rFonts w:hint="eastAsia" w:ascii="宋体" w:hAnsi="宋体" w:cs="宋体"/>
                <w:b/>
                <w:bCs/>
                <w:color w:val="auto"/>
                <w:szCs w:val="21"/>
                <w:lang w:eastAsia="zh-CN"/>
              </w:rPr>
              <w:t>☑</w:t>
            </w:r>
            <w:r>
              <w:rPr>
                <w:rFonts w:hint="eastAsia" w:ascii="宋体" w:hAnsi="宋体" w:cs="宋体"/>
                <w:b/>
                <w:bCs/>
                <w:color w:val="auto"/>
                <w:szCs w:val="21"/>
              </w:rPr>
              <w:t>本项目不收取磋商保证金</w:t>
            </w:r>
            <w:r>
              <w:rPr>
                <w:rFonts w:hint="eastAsia" w:ascii="宋体" w:hAnsi="宋体" w:cs="宋体"/>
                <w:color w:val="auto"/>
                <w:szCs w:val="21"/>
              </w:rPr>
              <w:t>。</w:t>
            </w:r>
          </w:p>
          <w:p w14:paraId="0D1A41D2">
            <w:pPr>
              <w:snapToGrid w:val="0"/>
              <w:spacing w:line="360" w:lineRule="auto"/>
              <w:rPr>
                <w:rFonts w:ascii="宋体" w:hAnsi="宋体" w:cs="宋体"/>
                <w:b/>
                <w:bCs/>
                <w:color w:val="auto"/>
                <w:szCs w:val="21"/>
              </w:rPr>
            </w:pPr>
            <w:r>
              <w:rPr>
                <w:rFonts w:hint="eastAsia" w:ascii="宋体" w:hAnsi="宋体" w:cs="宋体"/>
                <w:b/>
                <w:bCs/>
                <w:color w:val="auto"/>
                <w:szCs w:val="21"/>
                <w:lang w:eastAsia="zh-CN"/>
              </w:rPr>
              <w:t>□</w:t>
            </w:r>
            <w:r>
              <w:rPr>
                <w:rFonts w:hint="eastAsia" w:ascii="宋体" w:hAnsi="宋体" w:cs="宋体"/>
                <w:b/>
                <w:bCs/>
                <w:color w:val="auto"/>
                <w:szCs w:val="21"/>
              </w:rPr>
              <w:t>本项目收取磋商保证金，具体规定如下：</w:t>
            </w:r>
          </w:p>
          <w:p w14:paraId="09F09664">
            <w:pPr>
              <w:spacing w:line="360" w:lineRule="auto"/>
              <w:rPr>
                <w:rFonts w:ascii="宋体" w:hAnsi="宋体" w:cs="宋体"/>
                <w:b/>
                <w:bCs/>
                <w:color w:val="auto"/>
                <w:kern w:val="0"/>
                <w:szCs w:val="21"/>
              </w:rPr>
            </w:pPr>
            <w:r>
              <w:rPr>
                <w:rFonts w:hint="eastAsia" w:ascii="宋体" w:hAnsi="宋体" w:cs="宋体"/>
                <w:b/>
                <w:color w:val="auto"/>
                <w:kern w:val="0"/>
                <w:szCs w:val="21"/>
              </w:rPr>
              <w:t>1.磋商保证金金额：</w:t>
            </w:r>
            <w:r>
              <w:rPr>
                <w:rFonts w:hint="eastAsia" w:ascii="宋体" w:hAnsi="宋体" w:cs="宋体"/>
                <w:b/>
                <w:color w:val="auto"/>
                <w:kern w:val="0"/>
                <w:szCs w:val="21"/>
                <w:u w:val="single"/>
                <w:lang w:val="en-US" w:eastAsia="zh-CN"/>
              </w:rPr>
              <w:t xml:space="preserve">       </w:t>
            </w:r>
            <w:r>
              <w:rPr>
                <w:rFonts w:hint="eastAsia" w:ascii="宋体" w:hAnsi="宋体" w:cs="宋体"/>
                <w:b/>
                <w:bCs/>
                <w:color w:val="auto"/>
                <w:kern w:val="0"/>
                <w:szCs w:val="21"/>
                <w:u w:val="none"/>
              </w:rPr>
              <w:t>。</w:t>
            </w:r>
          </w:p>
          <w:p w14:paraId="0E5B8779">
            <w:pPr>
              <w:snapToGrid w:val="0"/>
              <w:spacing w:line="360" w:lineRule="auto"/>
              <w:rPr>
                <w:rFonts w:ascii="宋体" w:hAnsi="宋体" w:cs="宋体"/>
                <w:color w:val="auto"/>
                <w:kern w:val="0"/>
                <w:szCs w:val="21"/>
              </w:rPr>
            </w:pPr>
            <w:r>
              <w:rPr>
                <w:rFonts w:hint="eastAsia" w:ascii="宋体" w:hAnsi="宋体" w:cs="宋体"/>
                <w:color w:val="auto"/>
                <w:kern w:val="0"/>
                <w:szCs w:val="21"/>
              </w:rPr>
              <w:t>2.磋商保证金的交纳方式：银行转账、支票、汇票、本票或者金融、担保机构出具的保函，禁止采用现钞方式。采用银行转账方式的，在磋商截止时间前交至指定账户并且到账</w:t>
            </w:r>
            <w:r>
              <w:rPr>
                <w:rFonts w:hint="eastAsia" w:ascii="宋体" w:hAnsi="宋体" w:cs="宋体"/>
                <w:b/>
                <w:bCs/>
                <w:color w:val="auto"/>
                <w:kern w:val="0"/>
                <w:szCs w:val="21"/>
              </w:rPr>
              <w:t>（</w:t>
            </w:r>
            <w:r>
              <w:rPr>
                <w:rFonts w:hint="eastAsia" w:ascii="宋体" w:hAnsi="宋体" w:cs="宋体"/>
                <w:b/>
                <w:bCs/>
                <w:color w:val="auto"/>
                <w:szCs w:val="21"/>
              </w:rPr>
              <w:t>开户名称：国正聚源工程咨询集团有限公司钦州分公司；开户行：中国建设银行股份有限公司钦州子材东大街支行；账号：45050110631200000816</w:t>
            </w:r>
            <w:r>
              <w:rPr>
                <w:rFonts w:hint="eastAsia" w:ascii="宋体" w:hAnsi="宋体" w:cs="宋体"/>
                <w:b/>
                <w:bCs/>
                <w:color w:val="auto"/>
                <w:kern w:val="0"/>
                <w:szCs w:val="21"/>
              </w:rPr>
              <w:t>）</w:t>
            </w:r>
            <w:r>
              <w:rPr>
                <w:rFonts w:hint="eastAsia" w:ascii="宋体" w:hAnsi="宋体" w:cs="宋体"/>
                <w:color w:val="auto"/>
                <w:kern w:val="0"/>
                <w:szCs w:val="21"/>
              </w:rPr>
              <w:t>；采用支票、汇票、本票或者保函等方式的，在磋商截止时间前，供应商必须递交支票、汇票、本票或者保函原件（</w:t>
            </w:r>
            <w:r>
              <w:rPr>
                <w:rFonts w:hint="eastAsia" w:ascii="宋体" w:hAnsi="宋体" w:cs="宋体"/>
                <w:color w:val="auto"/>
                <w:szCs w:val="21"/>
              </w:rPr>
              <w:t>电子保函的打印保函并加盖供应商公章</w:t>
            </w:r>
            <w:r>
              <w:rPr>
                <w:rFonts w:hint="eastAsia" w:ascii="宋体" w:hAnsi="宋体" w:cs="宋体"/>
                <w:color w:val="auto"/>
                <w:kern w:val="0"/>
                <w:szCs w:val="21"/>
              </w:rPr>
              <w:t>）到采购代理机构，否则视为无效磋商保证金。</w:t>
            </w:r>
            <w:r>
              <w:rPr>
                <w:rFonts w:hint="eastAsia" w:ascii="宋体" w:hAnsi="宋体" w:cs="宋体"/>
                <w:bCs/>
                <w:color w:val="auto"/>
                <w:szCs w:val="21"/>
              </w:rPr>
              <w:t>【</w:t>
            </w:r>
            <w:r>
              <w:rPr>
                <w:rFonts w:hint="eastAsia" w:ascii="宋体" w:hAnsi="宋体" w:cs="宋体"/>
                <w:b/>
                <w:color w:val="auto"/>
                <w:szCs w:val="21"/>
              </w:rPr>
              <w:t>办理缴纳磋商保证金手续时，</w:t>
            </w:r>
            <w:r>
              <w:rPr>
                <w:rFonts w:hint="eastAsia" w:ascii="宋体" w:hAnsi="宋体" w:cs="宋体"/>
                <w:b/>
                <w:bCs/>
                <w:color w:val="auto"/>
                <w:szCs w:val="21"/>
                <w:u w:val="single"/>
              </w:rPr>
              <w:t>必须在银行转账单或电汇单的用途栏或空白栏上注明项目名称或项目编号</w:t>
            </w:r>
            <w:r>
              <w:rPr>
                <w:rFonts w:hint="eastAsia" w:ascii="宋体" w:hAnsi="宋体" w:cs="宋体"/>
                <w:bCs/>
                <w:color w:val="auto"/>
                <w:szCs w:val="21"/>
              </w:rPr>
              <w:t>】</w:t>
            </w:r>
          </w:p>
          <w:p w14:paraId="76134224">
            <w:pPr>
              <w:snapToGrid w:val="0"/>
              <w:spacing w:line="360" w:lineRule="auto"/>
              <w:rPr>
                <w:rFonts w:ascii="宋体" w:hAnsi="宋体" w:cs="宋体"/>
                <w:color w:val="auto"/>
                <w:szCs w:val="21"/>
              </w:rPr>
            </w:pPr>
            <w:r>
              <w:rPr>
                <w:rFonts w:hint="eastAsia" w:ascii="宋体" w:hAnsi="宋体" w:cs="宋体"/>
                <w:color w:val="auto"/>
                <w:szCs w:val="21"/>
              </w:rPr>
              <w:t>相关要求：</w:t>
            </w:r>
          </w:p>
          <w:p w14:paraId="3C1D7A26">
            <w:pPr>
              <w:pStyle w:val="17"/>
              <w:spacing w:line="360" w:lineRule="auto"/>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（1）磋商保证金采用银行转账交纳方式的，在磋商截止时间前交至指定账户并且到账，磋商人应将银行转账底单的复印件作为磋商保证金提交凭证，放置于商务技术文件中，</w:t>
            </w:r>
            <w:r>
              <w:rPr>
                <w:rFonts w:hint="eastAsia" w:ascii="宋体" w:hAnsi="宋体" w:eastAsia="宋体" w:cs="宋体"/>
                <w:b/>
                <w:color w:val="auto"/>
                <w:sz w:val="21"/>
                <w:szCs w:val="21"/>
                <w:lang w:eastAsia="zh-CN"/>
              </w:rPr>
              <w:t>否则磋商无效</w:t>
            </w:r>
            <w:r>
              <w:rPr>
                <w:rFonts w:hint="eastAsia" w:ascii="宋体" w:hAnsi="宋体" w:eastAsia="宋体" w:cs="宋体"/>
                <w:color w:val="auto"/>
                <w:sz w:val="21"/>
                <w:szCs w:val="21"/>
                <w:lang w:eastAsia="zh-CN"/>
              </w:rPr>
              <w:t>。</w:t>
            </w:r>
          </w:p>
          <w:p w14:paraId="4A763B4F">
            <w:pPr>
              <w:snapToGrid w:val="0"/>
              <w:spacing w:line="360" w:lineRule="auto"/>
              <w:rPr>
                <w:rFonts w:ascii="宋体" w:hAnsi="宋体" w:cs="宋体"/>
                <w:b/>
                <w:color w:val="auto"/>
                <w:szCs w:val="21"/>
              </w:rPr>
            </w:pPr>
            <w:r>
              <w:rPr>
                <w:rFonts w:hint="eastAsia" w:ascii="宋体" w:hAnsi="宋体" w:cs="宋体"/>
                <w:color w:val="auto"/>
                <w:szCs w:val="21"/>
              </w:rPr>
              <w:t>（2）磋商保证金采用支票、汇票、本票或者金融、担保机构出具的保函交纳方式的，磋商人应将支票、汇票、本票或者金融、担保机构出具的保函的复印件作为磋商保证金提交凭证，放置于商务技术文件中，</w:t>
            </w:r>
            <w:r>
              <w:rPr>
                <w:rFonts w:hint="eastAsia" w:ascii="宋体" w:hAnsi="宋体" w:cs="宋体"/>
                <w:b/>
                <w:color w:val="auto"/>
                <w:szCs w:val="21"/>
              </w:rPr>
              <w:t>否则磋商无效</w:t>
            </w:r>
            <w:r>
              <w:rPr>
                <w:rFonts w:hint="eastAsia" w:ascii="宋体" w:hAnsi="宋体" w:cs="宋体"/>
                <w:color w:val="auto"/>
                <w:szCs w:val="21"/>
              </w:rPr>
              <w:t>。</w:t>
            </w:r>
            <w:r>
              <w:rPr>
                <w:rFonts w:hint="eastAsia" w:ascii="宋体" w:hAnsi="宋体" w:cs="宋体"/>
                <w:b/>
                <w:color w:val="auto"/>
                <w:szCs w:val="21"/>
              </w:rPr>
              <w:t>磋商人必须在磋商截止时间前</w:t>
            </w:r>
            <w:r>
              <w:rPr>
                <w:rFonts w:hint="eastAsia" w:ascii="宋体" w:hAnsi="宋体" w:cs="宋体"/>
                <w:b/>
                <w:bCs/>
                <w:color w:val="auto"/>
                <w:spacing w:val="7"/>
              </w:rPr>
              <w:t>采用现场或邮寄方式（现场提交或邮寄地址：</w:t>
            </w:r>
            <w:r>
              <w:rPr>
                <w:rFonts w:hint="eastAsia" w:ascii="宋体" w:hAnsi="宋体" w:cs="宋体"/>
                <w:b/>
                <w:bCs/>
                <w:color w:val="auto"/>
                <w:spacing w:val="7"/>
                <w:u w:val="single"/>
              </w:rPr>
              <w:t>国正聚源工程咨询集团有限公司钦州分公司</w:t>
            </w:r>
            <w:r>
              <w:rPr>
                <w:rFonts w:hint="eastAsia" w:ascii="宋体" w:hAnsi="宋体" w:cs="宋体"/>
                <w:b/>
                <w:bCs/>
                <w:color w:val="auto"/>
                <w:spacing w:val="7"/>
              </w:rPr>
              <w:t>（</w:t>
            </w:r>
            <w:r>
              <w:rPr>
                <w:rFonts w:hint="eastAsia" w:ascii="宋体" w:hAnsi="宋体" w:cs="宋体"/>
                <w:b/>
                <w:bCs/>
                <w:color w:val="auto"/>
                <w:szCs w:val="21"/>
                <w:u w:val="single"/>
              </w:rPr>
              <w:t>钦州市钦南区东泉街88号宇佳厂区4号楼第3层</w:t>
            </w:r>
            <w:r>
              <w:rPr>
                <w:rFonts w:hint="eastAsia" w:ascii="宋体" w:hAnsi="宋体" w:cs="宋体"/>
                <w:b/>
                <w:bCs/>
                <w:color w:val="auto"/>
                <w:spacing w:val="7"/>
              </w:rPr>
              <w:t>）</w:t>
            </w:r>
            <w:r>
              <w:rPr>
                <w:rFonts w:hint="eastAsia" w:ascii="宋体" w:hAnsi="宋体" w:cs="宋体"/>
                <w:b/>
                <w:bCs/>
                <w:color w:val="auto"/>
                <w:szCs w:val="21"/>
                <w:u w:val="single"/>
              </w:rPr>
              <w:t>，联系人：雷保琴，电话：0777-8889633</w:t>
            </w:r>
            <w:r>
              <w:rPr>
                <w:rFonts w:hint="eastAsia" w:ascii="宋体" w:hAnsi="宋体" w:cs="宋体"/>
                <w:b/>
                <w:bCs/>
                <w:color w:val="auto"/>
                <w:spacing w:val="5"/>
              </w:rPr>
              <w:t>）</w:t>
            </w:r>
            <w:r>
              <w:rPr>
                <w:rFonts w:hint="eastAsia" w:ascii="宋体" w:hAnsi="宋体" w:cs="宋体"/>
                <w:b/>
                <w:color w:val="auto"/>
                <w:szCs w:val="21"/>
              </w:rPr>
              <w:t>将支票、汇票、本票或者金融、担保机构出具</w:t>
            </w:r>
            <w:r>
              <w:rPr>
                <w:rFonts w:hint="eastAsia" w:ascii="宋体" w:hAnsi="宋体" w:cs="宋体"/>
                <w:b/>
                <w:bCs/>
                <w:color w:val="auto"/>
                <w:szCs w:val="21"/>
              </w:rPr>
              <w:t>的保函原件（电子保函的打印保函并加盖磋商人公章）等提交给采购代理机构（单独密封），由采购代理机构向磋商人出具回执（邮寄方式的除外），并妥善保管，否则</w:t>
            </w:r>
            <w:r>
              <w:rPr>
                <w:rFonts w:hint="eastAsia" w:ascii="宋体" w:hAnsi="宋体" w:cs="宋体"/>
                <w:b/>
                <w:color w:val="auto"/>
                <w:szCs w:val="21"/>
              </w:rPr>
              <w:t>视为无效磋商保证金。</w:t>
            </w:r>
          </w:p>
          <w:p w14:paraId="3F2EA92B">
            <w:pPr>
              <w:snapToGrid w:val="0"/>
              <w:spacing w:line="360" w:lineRule="auto"/>
              <w:rPr>
                <w:rFonts w:ascii="宋体" w:hAnsi="宋体" w:cs="宋体"/>
                <w:b/>
                <w:color w:val="auto"/>
                <w:szCs w:val="21"/>
              </w:rPr>
            </w:pPr>
            <w:r>
              <w:rPr>
                <w:rFonts w:hint="eastAsia" w:ascii="宋体" w:hAnsi="宋体" w:cs="宋体"/>
                <w:b/>
                <w:color w:val="auto"/>
                <w:szCs w:val="21"/>
              </w:rPr>
              <w:t xml:space="preserve">备注： </w:t>
            </w:r>
          </w:p>
          <w:p w14:paraId="6EE4660F">
            <w:pPr>
              <w:snapToGrid w:val="0"/>
              <w:spacing w:line="360" w:lineRule="auto"/>
              <w:rPr>
                <w:rFonts w:ascii="宋体" w:hAnsi="宋体" w:cs="宋体"/>
                <w:b/>
                <w:color w:val="auto"/>
                <w:szCs w:val="21"/>
              </w:rPr>
            </w:pPr>
            <w:r>
              <w:rPr>
                <w:rFonts w:hint="eastAsia" w:ascii="宋体" w:hAnsi="宋体" w:cs="宋体"/>
                <w:b/>
                <w:color w:val="auto"/>
                <w:szCs w:val="21"/>
              </w:rPr>
              <w:t>1.磋商保证金在磋商截止时间后提交的，或者不按规定交纳方式交纳的，或者未足额交纳的（包含保函额度不足的），视为无效磋商保证金。</w:t>
            </w:r>
          </w:p>
          <w:p w14:paraId="6DF342EE">
            <w:pPr>
              <w:snapToGrid w:val="0"/>
              <w:spacing w:line="360" w:lineRule="auto"/>
              <w:rPr>
                <w:rFonts w:ascii="宋体" w:hAnsi="宋体" w:cs="宋体"/>
                <w:b/>
                <w:color w:val="auto"/>
                <w:szCs w:val="21"/>
              </w:rPr>
            </w:pPr>
            <w:r>
              <w:rPr>
                <w:rFonts w:hint="eastAsia" w:ascii="宋体" w:hAnsi="宋体" w:cs="宋体"/>
                <w:b/>
                <w:color w:val="auto"/>
                <w:szCs w:val="21"/>
              </w:rPr>
              <w:t>2.磋商人采用现钞方式或者从个人账户（自然人磋商除外）转出的磋商保证金，视为无效磋商保证金。</w:t>
            </w:r>
          </w:p>
          <w:p w14:paraId="155C4D96">
            <w:pPr>
              <w:snapToGrid w:val="0"/>
              <w:spacing w:line="360" w:lineRule="auto"/>
              <w:rPr>
                <w:rFonts w:ascii="宋体" w:hAnsi="宋体" w:cs="宋体"/>
                <w:b/>
                <w:color w:val="auto"/>
                <w:szCs w:val="21"/>
              </w:rPr>
            </w:pPr>
            <w:r>
              <w:rPr>
                <w:rFonts w:hint="eastAsia" w:ascii="宋体" w:hAnsi="宋体" w:cs="宋体"/>
                <w:b/>
                <w:color w:val="auto"/>
                <w:szCs w:val="21"/>
              </w:rPr>
              <w:t>3.支票、汇票或者本票出现无效或者背书情形的，视为无效磋商保证金。</w:t>
            </w:r>
          </w:p>
          <w:p w14:paraId="427C385A">
            <w:pPr>
              <w:snapToGrid w:val="0"/>
              <w:spacing w:line="360" w:lineRule="auto"/>
              <w:rPr>
                <w:rFonts w:ascii="宋体" w:hAnsi="宋体" w:cs="宋体"/>
                <w:b/>
                <w:color w:val="auto"/>
                <w:szCs w:val="21"/>
              </w:rPr>
            </w:pPr>
            <w:r>
              <w:rPr>
                <w:rFonts w:hint="eastAsia" w:ascii="宋体" w:hAnsi="宋体" w:cs="宋体"/>
                <w:b/>
                <w:color w:val="auto"/>
                <w:szCs w:val="21"/>
              </w:rPr>
              <w:t>4.保函有效期低于磋商有效期的，视为无效磋商保证金。</w:t>
            </w:r>
          </w:p>
          <w:p w14:paraId="25E0217C">
            <w:pPr>
              <w:snapToGrid w:val="0"/>
              <w:spacing w:line="440" w:lineRule="exact"/>
              <w:rPr>
                <w:rFonts w:ascii="宋体" w:hAnsi="宋体" w:cs="宋体"/>
                <w:b/>
                <w:color w:val="auto"/>
                <w:szCs w:val="21"/>
              </w:rPr>
            </w:pPr>
            <w:r>
              <w:rPr>
                <w:rFonts w:hint="eastAsia" w:ascii="宋体" w:hAnsi="宋体" w:cs="宋体"/>
                <w:b/>
                <w:color w:val="auto"/>
                <w:szCs w:val="21"/>
              </w:rPr>
              <w:t>5.采用金融、担保机构出具保函的，必须为无条件保函，否则视为无效磋商保证金。</w:t>
            </w:r>
          </w:p>
        </w:tc>
      </w:tr>
      <w:tr w14:paraId="0C2BB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AC15C53">
            <w:pPr>
              <w:spacing w:line="440" w:lineRule="exact"/>
              <w:jc w:val="center"/>
              <w:rPr>
                <w:rFonts w:ascii="宋体" w:hAnsi="宋体" w:cs="宋体"/>
                <w:color w:val="auto"/>
                <w:szCs w:val="21"/>
              </w:rPr>
            </w:pPr>
            <w:r>
              <w:rPr>
                <w:rFonts w:hint="eastAsia" w:ascii="宋体" w:hAnsi="宋体" w:cs="宋体"/>
                <w:color w:val="auto"/>
                <w:szCs w:val="21"/>
              </w:rPr>
              <w:t>19</w:t>
            </w:r>
          </w:p>
        </w:tc>
        <w:tc>
          <w:tcPr>
            <w:tcW w:w="8097" w:type="dxa"/>
            <w:vAlign w:val="center"/>
          </w:tcPr>
          <w:p w14:paraId="167331A2">
            <w:pPr>
              <w:spacing w:line="440" w:lineRule="exact"/>
              <w:rPr>
                <w:rFonts w:ascii="宋体" w:hAnsi="宋体" w:cs="宋体"/>
                <w:color w:val="auto"/>
                <w:szCs w:val="21"/>
              </w:rPr>
            </w:pPr>
            <w:r>
              <w:rPr>
                <w:rFonts w:hint="eastAsia" w:ascii="宋体" w:hAnsi="宋体" w:cs="宋体"/>
                <w:color w:val="auto"/>
                <w:szCs w:val="21"/>
              </w:rPr>
              <w:t>本项目不接受电子备份响应文件</w:t>
            </w:r>
          </w:p>
        </w:tc>
      </w:tr>
      <w:tr w14:paraId="251E7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3100C47">
            <w:pPr>
              <w:spacing w:line="440" w:lineRule="exact"/>
              <w:jc w:val="center"/>
              <w:rPr>
                <w:rFonts w:ascii="宋体" w:hAnsi="宋体" w:cs="宋体"/>
                <w:color w:val="auto"/>
                <w:szCs w:val="21"/>
              </w:rPr>
            </w:pPr>
            <w:r>
              <w:rPr>
                <w:rFonts w:hint="eastAsia" w:ascii="宋体" w:hAnsi="宋体" w:cs="宋体"/>
                <w:color w:val="auto"/>
                <w:szCs w:val="21"/>
              </w:rPr>
              <w:t>20.1</w:t>
            </w:r>
          </w:p>
        </w:tc>
        <w:tc>
          <w:tcPr>
            <w:tcW w:w="8097" w:type="dxa"/>
            <w:vAlign w:val="center"/>
          </w:tcPr>
          <w:p w14:paraId="38CBD977">
            <w:pPr>
              <w:spacing w:line="440" w:lineRule="exact"/>
              <w:contextualSpacing/>
              <w:jc w:val="left"/>
              <w:rPr>
                <w:rFonts w:ascii="宋体" w:hAnsi="宋体" w:cs="宋体"/>
                <w:color w:val="auto"/>
                <w:szCs w:val="21"/>
                <w:u w:val="single"/>
              </w:rPr>
            </w:pPr>
            <w:r>
              <w:rPr>
                <w:rFonts w:hint="eastAsia" w:ascii="宋体" w:hAnsi="宋体" w:cs="宋体"/>
                <w:color w:val="auto"/>
                <w:szCs w:val="21"/>
              </w:rPr>
              <w:t>响应文件提交截止时间：详见竞争性磋商公告</w:t>
            </w:r>
          </w:p>
          <w:p w14:paraId="6F85F06C">
            <w:pPr>
              <w:spacing w:line="440" w:lineRule="exact"/>
              <w:contextualSpacing/>
              <w:jc w:val="left"/>
              <w:rPr>
                <w:rFonts w:ascii="宋体" w:hAnsi="宋体" w:cs="宋体"/>
                <w:color w:val="auto"/>
                <w:szCs w:val="21"/>
              </w:rPr>
            </w:pPr>
            <w:r>
              <w:rPr>
                <w:rFonts w:hint="eastAsia" w:ascii="宋体" w:hAnsi="宋体" w:cs="宋体"/>
                <w:color w:val="auto"/>
                <w:szCs w:val="21"/>
              </w:rPr>
              <w:t>响应文件提交地点：详见竞争性磋商公告</w:t>
            </w:r>
          </w:p>
        </w:tc>
      </w:tr>
      <w:tr w14:paraId="05B4D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425BAE">
            <w:pPr>
              <w:spacing w:line="440" w:lineRule="exact"/>
              <w:jc w:val="center"/>
              <w:rPr>
                <w:rFonts w:ascii="宋体" w:hAnsi="宋体" w:cs="宋体"/>
                <w:color w:val="auto"/>
                <w:szCs w:val="21"/>
              </w:rPr>
            </w:pPr>
            <w:r>
              <w:rPr>
                <w:rFonts w:hint="eastAsia" w:ascii="宋体" w:hAnsi="宋体" w:cs="宋体"/>
                <w:color w:val="auto"/>
                <w:szCs w:val="21"/>
              </w:rPr>
              <w:t>24.1</w:t>
            </w:r>
          </w:p>
        </w:tc>
        <w:tc>
          <w:tcPr>
            <w:tcW w:w="8097" w:type="dxa"/>
            <w:vAlign w:val="center"/>
          </w:tcPr>
          <w:p w14:paraId="568D0327">
            <w:pPr>
              <w:snapToGrid w:val="0"/>
              <w:spacing w:line="440" w:lineRule="exact"/>
              <w:jc w:val="left"/>
              <w:rPr>
                <w:rFonts w:ascii="宋体" w:hAnsi="宋体" w:cs="宋体"/>
                <w:color w:val="auto"/>
                <w:szCs w:val="21"/>
                <w:u w:val="single"/>
              </w:rPr>
            </w:pPr>
            <w:r>
              <w:rPr>
                <w:rFonts w:hint="eastAsia" w:ascii="宋体" w:hAnsi="宋体" w:cs="宋体"/>
                <w:color w:val="auto"/>
                <w:szCs w:val="21"/>
              </w:rPr>
              <w:t>磋商小组的人数：</w:t>
            </w:r>
            <w:r>
              <w:rPr>
                <w:rFonts w:hint="eastAsia" w:ascii="宋体" w:hAnsi="宋体" w:cs="宋体"/>
                <w:color w:val="auto"/>
                <w:szCs w:val="21"/>
                <w:u w:val="single"/>
              </w:rPr>
              <w:t>3</w:t>
            </w:r>
            <w:r>
              <w:rPr>
                <w:rFonts w:hint="eastAsia" w:ascii="宋体" w:hAnsi="宋体" w:cs="宋体"/>
                <w:color w:val="auto"/>
                <w:szCs w:val="21"/>
              </w:rPr>
              <w:t>人。</w:t>
            </w:r>
          </w:p>
        </w:tc>
      </w:tr>
      <w:tr w14:paraId="5EBC2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8DC9411">
            <w:pPr>
              <w:spacing w:line="440" w:lineRule="exact"/>
              <w:jc w:val="center"/>
              <w:rPr>
                <w:rFonts w:ascii="宋体" w:hAnsi="宋体" w:cs="宋体"/>
                <w:color w:val="auto"/>
                <w:szCs w:val="21"/>
              </w:rPr>
            </w:pPr>
            <w:r>
              <w:rPr>
                <w:rFonts w:hint="eastAsia" w:ascii="宋体" w:hAnsi="宋体" w:cs="宋体"/>
                <w:color w:val="auto"/>
                <w:szCs w:val="21"/>
              </w:rPr>
              <w:t>25</w:t>
            </w:r>
          </w:p>
        </w:tc>
        <w:tc>
          <w:tcPr>
            <w:tcW w:w="8097" w:type="dxa"/>
            <w:vAlign w:val="center"/>
          </w:tcPr>
          <w:p w14:paraId="10C37A65">
            <w:pPr>
              <w:snapToGrid w:val="0"/>
              <w:spacing w:line="440" w:lineRule="exact"/>
              <w:jc w:val="left"/>
              <w:rPr>
                <w:rFonts w:ascii="宋体" w:hAnsi="宋体" w:cs="宋体"/>
                <w:color w:val="auto"/>
                <w:szCs w:val="21"/>
              </w:rPr>
            </w:pPr>
            <w:r>
              <w:rPr>
                <w:rFonts w:hint="eastAsia" w:ascii="宋体" w:hAnsi="宋体" w:cs="宋体"/>
                <w:color w:val="auto"/>
                <w:szCs w:val="21"/>
              </w:rPr>
              <w:t>首次响应文件开启时间详见“竞争性磋商公告”</w:t>
            </w:r>
          </w:p>
          <w:p w14:paraId="10754874">
            <w:pPr>
              <w:snapToGrid w:val="0"/>
              <w:spacing w:line="440" w:lineRule="exact"/>
              <w:jc w:val="left"/>
              <w:rPr>
                <w:rFonts w:ascii="宋体" w:hAnsi="宋体" w:cs="宋体"/>
                <w:color w:val="auto"/>
                <w:szCs w:val="21"/>
              </w:rPr>
            </w:pPr>
            <w:r>
              <w:rPr>
                <w:rFonts w:hint="eastAsia" w:ascii="宋体" w:hAnsi="宋体" w:cs="宋体"/>
                <w:color w:val="auto"/>
                <w:szCs w:val="21"/>
              </w:rPr>
              <w:t>首次响应文件解密时间：</w:t>
            </w:r>
            <w:r>
              <w:rPr>
                <w:rFonts w:hint="eastAsia" w:ascii="宋体" w:hAnsi="宋体" w:cs="宋体"/>
                <w:color w:val="auto"/>
                <w:szCs w:val="21"/>
                <w:u w:val="single"/>
              </w:rPr>
              <w:t>30</w:t>
            </w:r>
            <w:r>
              <w:rPr>
                <w:rFonts w:hint="eastAsia" w:ascii="宋体" w:hAnsi="宋体" w:cs="宋体"/>
                <w:color w:val="auto"/>
                <w:szCs w:val="21"/>
              </w:rPr>
              <w:t>分钟</w:t>
            </w:r>
          </w:p>
        </w:tc>
      </w:tr>
      <w:tr w14:paraId="2DEEA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3895278B">
            <w:pPr>
              <w:spacing w:line="440" w:lineRule="exact"/>
              <w:jc w:val="center"/>
              <w:rPr>
                <w:rFonts w:ascii="宋体" w:hAnsi="宋体" w:cs="宋体"/>
                <w:color w:val="auto"/>
                <w:szCs w:val="21"/>
              </w:rPr>
            </w:pPr>
            <w:r>
              <w:rPr>
                <w:rFonts w:hint="eastAsia" w:ascii="宋体" w:hAnsi="宋体" w:cs="宋体"/>
                <w:color w:val="auto"/>
                <w:szCs w:val="21"/>
              </w:rPr>
              <w:t>26.3</w:t>
            </w:r>
          </w:p>
        </w:tc>
        <w:tc>
          <w:tcPr>
            <w:tcW w:w="8097" w:type="dxa"/>
            <w:vAlign w:val="center"/>
          </w:tcPr>
          <w:p w14:paraId="21352164">
            <w:pPr>
              <w:snapToGrid w:val="0"/>
              <w:spacing w:line="440" w:lineRule="exact"/>
              <w:rPr>
                <w:rFonts w:ascii="宋体" w:hAnsi="宋体" w:cs="宋体"/>
                <w:color w:val="auto"/>
                <w:szCs w:val="21"/>
              </w:rPr>
            </w:pPr>
            <w:r>
              <w:rPr>
                <w:rFonts w:hint="eastAsia" w:ascii="宋体" w:hAnsi="宋体" w:cs="宋体"/>
                <w:color w:val="auto"/>
                <w:szCs w:val="21"/>
              </w:rPr>
              <w:t>商务要求评审中允许负偏离的条款数为</w:t>
            </w:r>
            <w:r>
              <w:rPr>
                <w:rFonts w:hint="eastAsia" w:ascii="宋体" w:hAnsi="宋体" w:cs="宋体"/>
                <w:color w:val="auto"/>
                <w:szCs w:val="21"/>
                <w:u w:val="single"/>
              </w:rPr>
              <w:t>0</w:t>
            </w:r>
            <w:r>
              <w:rPr>
                <w:rFonts w:hint="eastAsia" w:ascii="宋体" w:hAnsi="宋体" w:cs="宋体"/>
                <w:color w:val="auto"/>
                <w:szCs w:val="21"/>
              </w:rPr>
              <w:t>项。</w:t>
            </w:r>
          </w:p>
          <w:p w14:paraId="785FE688">
            <w:pPr>
              <w:snapToGrid w:val="0"/>
              <w:spacing w:line="440" w:lineRule="exact"/>
              <w:rPr>
                <w:rFonts w:ascii="宋体" w:hAnsi="宋体" w:cs="宋体"/>
                <w:color w:val="auto"/>
                <w:szCs w:val="21"/>
              </w:rPr>
            </w:pPr>
            <w:r>
              <w:rPr>
                <w:rFonts w:hint="eastAsia" w:ascii="宋体" w:hAnsi="宋体" w:cs="宋体"/>
                <w:color w:val="auto"/>
                <w:szCs w:val="21"/>
              </w:rPr>
              <w:t>技术要求评审中允许负偏离的条款数为</w:t>
            </w:r>
            <w:r>
              <w:rPr>
                <w:rFonts w:hint="eastAsia" w:ascii="宋体" w:hAnsi="宋体" w:cs="宋体"/>
                <w:color w:val="auto"/>
                <w:szCs w:val="21"/>
                <w:u w:val="single"/>
              </w:rPr>
              <w:t>0</w:t>
            </w:r>
            <w:r>
              <w:rPr>
                <w:rFonts w:hint="eastAsia" w:ascii="宋体" w:hAnsi="宋体" w:cs="宋体"/>
                <w:color w:val="auto"/>
                <w:szCs w:val="21"/>
              </w:rPr>
              <w:t>项。</w:t>
            </w:r>
          </w:p>
        </w:tc>
      </w:tr>
      <w:tr w14:paraId="0ECEE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7250FAB">
            <w:pPr>
              <w:spacing w:line="440" w:lineRule="exact"/>
              <w:jc w:val="center"/>
              <w:rPr>
                <w:rFonts w:ascii="宋体" w:hAnsi="宋体" w:cs="宋体"/>
                <w:color w:val="auto"/>
                <w:szCs w:val="21"/>
              </w:rPr>
            </w:pPr>
            <w:r>
              <w:rPr>
                <w:rFonts w:hint="eastAsia" w:ascii="宋体" w:hAnsi="宋体" w:cs="宋体"/>
                <w:color w:val="auto"/>
                <w:szCs w:val="21"/>
              </w:rPr>
              <w:t>28.1</w:t>
            </w:r>
          </w:p>
        </w:tc>
        <w:tc>
          <w:tcPr>
            <w:tcW w:w="8097" w:type="dxa"/>
            <w:vAlign w:val="center"/>
          </w:tcPr>
          <w:p w14:paraId="1CA284AB">
            <w:pPr>
              <w:autoSpaceDE w:val="0"/>
              <w:autoSpaceDN w:val="0"/>
              <w:snapToGrid w:val="0"/>
              <w:spacing w:line="440" w:lineRule="exact"/>
              <w:textAlignment w:val="bottom"/>
              <w:rPr>
                <w:rFonts w:ascii="宋体" w:hAnsi="宋体" w:cs="宋体"/>
                <w:b/>
                <w:bCs/>
                <w:color w:val="auto"/>
                <w:szCs w:val="21"/>
              </w:rPr>
            </w:pPr>
            <w:r>
              <w:rPr>
                <w:rFonts w:hint="eastAsia" w:ascii="宋体" w:hAnsi="宋体" w:cs="宋体"/>
                <w:b/>
                <w:bCs/>
                <w:color w:val="auto"/>
                <w:szCs w:val="21"/>
              </w:rPr>
              <w:t>□本项目不收取履约保证金。</w:t>
            </w:r>
          </w:p>
          <w:p w14:paraId="3DDFBD79">
            <w:pPr>
              <w:autoSpaceDE w:val="0"/>
              <w:autoSpaceDN w:val="0"/>
              <w:snapToGrid w:val="0"/>
              <w:spacing w:line="440" w:lineRule="exact"/>
              <w:textAlignment w:val="bottom"/>
              <w:rPr>
                <w:rFonts w:ascii="宋体" w:hAnsi="宋体" w:cs="宋体"/>
                <w:b/>
                <w:bCs/>
                <w:color w:val="auto"/>
                <w:szCs w:val="21"/>
              </w:rPr>
            </w:pPr>
            <w:r>
              <w:rPr>
                <w:rFonts w:hint="eastAsia" w:ascii="宋体" w:hAnsi="宋体" w:cs="宋体"/>
                <w:b/>
                <w:bCs/>
                <w:color w:val="auto"/>
                <w:sz w:val="18"/>
                <w:szCs w:val="18"/>
              </w:rPr>
              <w:t>☑</w:t>
            </w:r>
            <w:r>
              <w:rPr>
                <w:rFonts w:hint="eastAsia" w:ascii="宋体" w:hAnsi="宋体" w:cs="宋体"/>
                <w:b/>
                <w:bCs/>
                <w:color w:val="auto"/>
                <w:szCs w:val="21"/>
              </w:rPr>
              <w:t>本项目收取履约保证金，具体规定如下：</w:t>
            </w:r>
          </w:p>
          <w:p w14:paraId="7405ED1F">
            <w:pPr>
              <w:spacing w:line="440" w:lineRule="exact"/>
              <w:contextualSpacing/>
              <w:rPr>
                <w:rFonts w:ascii="宋体" w:hAnsi="宋体" w:cs="宋体"/>
                <w:b/>
                <w:i/>
                <w:color w:val="auto"/>
                <w:szCs w:val="21"/>
              </w:rPr>
            </w:pPr>
            <w:r>
              <w:rPr>
                <w:rFonts w:hint="eastAsia" w:ascii="宋体" w:hAnsi="宋体" w:cs="宋体"/>
                <w:color w:val="auto"/>
                <w:szCs w:val="21"/>
              </w:rPr>
              <w:t>履约保证金金额：</w:t>
            </w:r>
            <w:r>
              <w:rPr>
                <w:rFonts w:hint="eastAsia" w:ascii="宋体" w:hAnsi="宋体" w:cs="宋体"/>
                <w:b/>
                <w:bCs/>
                <w:color w:val="auto"/>
                <w:szCs w:val="21"/>
                <w:u w:val="single"/>
              </w:rPr>
              <w:t>合同价款的2%</w:t>
            </w:r>
            <w:r>
              <w:rPr>
                <w:rFonts w:hint="eastAsia" w:ascii="宋体" w:hAnsi="宋体" w:cs="宋体"/>
                <w:b/>
                <w:bCs/>
                <w:color w:val="auto"/>
                <w:szCs w:val="21"/>
              </w:rPr>
              <w:t>。</w:t>
            </w:r>
          </w:p>
          <w:p w14:paraId="6C882B45">
            <w:pPr>
              <w:spacing w:line="440" w:lineRule="exact"/>
              <w:contextualSpacing/>
              <w:rPr>
                <w:rFonts w:ascii="宋体" w:hAnsi="宋体" w:cs="宋体"/>
                <w:color w:val="auto"/>
                <w:szCs w:val="21"/>
              </w:rPr>
            </w:pPr>
            <w:r>
              <w:rPr>
                <w:rFonts w:hint="eastAsia" w:ascii="宋体" w:hAnsi="宋体" w:cs="宋体"/>
                <w:color w:val="auto"/>
                <w:szCs w:val="21"/>
              </w:rPr>
              <w:t>履约保证金提交方式：银行转账、支票、汇票、本票或者银行、保险机构出具的保函等非现金方式。</w:t>
            </w:r>
          </w:p>
          <w:p w14:paraId="06A2EB6D">
            <w:pPr>
              <w:spacing w:line="440" w:lineRule="exact"/>
              <w:contextualSpacing/>
              <w:rPr>
                <w:rFonts w:ascii="宋体" w:hAnsi="宋体" w:cs="宋体"/>
                <w:color w:val="auto"/>
                <w:szCs w:val="21"/>
                <w:u w:val="single"/>
              </w:rPr>
            </w:pPr>
            <w:r>
              <w:rPr>
                <w:rFonts w:hint="eastAsia" w:ascii="宋体" w:hAnsi="宋体" w:cs="宋体"/>
                <w:color w:val="auto"/>
                <w:szCs w:val="21"/>
              </w:rPr>
              <w:t>履约保证金退付方式、时间及条件：采购人应在收到申请之日起5个日历天内扣减供应商赔偿金和其他应从供应商扣回的款项后，将履约金退给供应商（无息）。</w:t>
            </w:r>
          </w:p>
          <w:p w14:paraId="58BBDC38">
            <w:pPr>
              <w:spacing w:line="440" w:lineRule="exact"/>
              <w:contextualSpacing/>
              <w:rPr>
                <w:rFonts w:ascii="宋体" w:hAnsi="宋体" w:cs="宋体"/>
                <w:color w:val="auto"/>
                <w:szCs w:val="21"/>
              </w:rPr>
            </w:pPr>
            <w:r>
              <w:rPr>
                <w:rFonts w:hint="eastAsia" w:ascii="宋体" w:hAnsi="宋体" w:cs="宋体"/>
                <w:color w:val="auto"/>
                <w:szCs w:val="21"/>
              </w:rPr>
              <w:t>履约保证金指定账户：（合同签订前提供）</w:t>
            </w:r>
          </w:p>
          <w:p w14:paraId="4564B3D2">
            <w:pPr>
              <w:spacing w:line="440" w:lineRule="exact"/>
              <w:contextualSpacing/>
              <w:rPr>
                <w:rFonts w:ascii="宋体" w:hAnsi="宋体" w:cs="宋体"/>
                <w:color w:val="auto"/>
                <w:szCs w:val="21"/>
              </w:rPr>
            </w:pPr>
            <w:r>
              <w:rPr>
                <w:rFonts w:hint="eastAsia" w:ascii="宋体" w:hAnsi="宋体" w:cs="宋体"/>
                <w:color w:val="auto"/>
                <w:szCs w:val="21"/>
              </w:rPr>
              <w:t>开户名称：成交后提供</w:t>
            </w:r>
          </w:p>
          <w:p w14:paraId="176EEBFB">
            <w:pPr>
              <w:spacing w:line="440" w:lineRule="exact"/>
              <w:contextualSpacing/>
              <w:rPr>
                <w:rFonts w:ascii="宋体" w:hAnsi="宋体" w:cs="宋体"/>
                <w:color w:val="auto"/>
                <w:szCs w:val="21"/>
              </w:rPr>
            </w:pPr>
            <w:r>
              <w:rPr>
                <w:rFonts w:hint="eastAsia" w:ascii="宋体" w:hAnsi="宋体" w:cs="宋体"/>
                <w:color w:val="auto"/>
                <w:szCs w:val="21"/>
              </w:rPr>
              <w:t>开户银行：成交后提供</w:t>
            </w:r>
          </w:p>
          <w:p w14:paraId="2B77C715">
            <w:pPr>
              <w:spacing w:line="440" w:lineRule="exact"/>
              <w:contextualSpacing/>
              <w:rPr>
                <w:rFonts w:ascii="宋体" w:hAnsi="宋体" w:cs="宋体"/>
                <w:color w:val="auto"/>
                <w:szCs w:val="21"/>
              </w:rPr>
            </w:pPr>
            <w:r>
              <w:rPr>
                <w:rFonts w:hint="eastAsia" w:ascii="宋体" w:hAnsi="宋体" w:cs="宋体"/>
                <w:color w:val="auto"/>
                <w:szCs w:val="21"/>
              </w:rPr>
              <w:t>银行账号：成交后提供</w:t>
            </w:r>
          </w:p>
          <w:p w14:paraId="6C1FC8FB">
            <w:pPr>
              <w:spacing w:line="440" w:lineRule="exact"/>
              <w:contextualSpacing/>
              <w:rPr>
                <w:rFonts w:ascii="宋体" w:hAnsi="宋体" w:cs="宋体"/>
                <w:b/>
                <w:color w:val="auto"/>
                <w:szCs w:val="21"/>
              </w:rPr>
            </w:pPr>
            <w:r>
              <w:rPr>
                <w:rFonts w:hint="eastAsia" w:ascii="宋体" w:hAnsi="宋体" w:cs="宋体"/>
                <w:b/>
                <w:color w:val="auto"/>
                <w:szCs w:val="21"/>
              </w:rPr>
              <w:t>备注：</w:t>
            </w:r>
            <w:r>
              <w:rPr>
                <w:rFonts w:hint="eastAsia" w:ascii="宋体" w:hAnsi="宋体" w:cs="宋体"/>
                <w:color w:val="auto"/>
                <w:szCs w:val="21"/>
              </w:rPr>
              <w:br w:type="textWrapping"/>
            </w:r>
            <w:r>
              <w:rPr>
                <w:rFonts w:hint="eastAsia" w:ascii="宋体" w:hAnsi="宋体" w:cs="宋体"/>
                <w:b/>
                <w:color w:val="auto"/>
                <w:szCs w:val="21"/>
              </w:rPr>
              <w:t>1.履约保证金不足额缴纳的，或者银行、保险机构出具的保函额度不足的或者保函有效期低于合同履行期限（即签订采购合同之日起至履行完合同约定的权利及义务之日止）的，不予签订合同。</w:t>
            </w:r>
            <w:r>
              <w:rPr>
                <w:rFonts w:hint="eastAsia" w:ascii="宋体" w:hAnsi="宋体" w:cs="宋体"/>
                <w:b/>
                <w:color w:val="auto"/>
                <w:szCs w:val="21"/>
              </w:rPr>
              <w:br w:type="textWrapping"/>
            </w:r>
            <w:r>
              <w:rPr>
                <w:rFonts w:hint="eastAsia" w:ascii="宋体" w:hAnsi="宋体" w:cs="宋体"/>
                <w:b/>
                <w:color w:val="auto"/>
                <w:szCs w:val="21"/>
              </w:rPr>
              <w:t>2.采用银行、保险机构出具的保函的，必须为无条件保函，否则不予签订合同。</w:t>
            </w:r>
          </w:p>
          <w:p w14:paraId="553C03D1">
            <w:pPr>
              <w:spacing w:line="440" w:lineRule="exact"/>
              <w:contextualSpacing/>
              <w:rPr>
                <w:rFonts w:ascii="宋体" w:hAnsi="宋体" w:cs="宋体"/>
                <w:color w:val="auto"/>
                <w:szCs w:val="21"/>
              </w:rPr>
            </w:pPr>
            <w:r>
              <w:rPr>
                <w:rFonts w:hint="eastAsia" w:ascii="宋体" w:hAnsi="宋体" w:cs="宋体"/>
                <w:b/>
                <w:color w:val="auto"/>
                <w:szCs w:val="21"/>
              </w:rPr>
              <w:t>3.供应商为联合体的，由联合体任意一方按规定提交的履约保证金，视为有效履约保证金。</w:t>
            </w:r>
          </w:p>
        </w:tc>
      </w:tr>
      <w:tr w14:paraId="705CF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D4EE0EB">
            <w:pPr>
              <w:spacing w:line="440" w:lineRule="exact"/>
              <w:jc w:val="center"/>
              <w:rPr>
                <w:rFonts w:ascii="宋体" w:hAnsi="宋体" w:cs="宋体"/>
                <w:color w:val="auto"/>
                <w:szCs w:val="21"/>
              </w:rPr>
            </w:pPr>
            <w:r>
              <w:rPr>
                <w:rFonts w:hint="eastAsia" w:ascii="宋体" w:hAnsi="宋体" w:cs="宋体"/>
                <w:color w:val="auto"/>
                <w:szCs w:val="21"/>
              </w:rPr>
              <w:t>29.1</w:t>
            </w:r>
          </w:p>
        </w:tc>
        <w:tc>
          <w:tcPr>
            <w:tcW w:w="8097" w:type="dxa"/>
            <w:vAlign w:val="center"/>
          </w:tcPr>
          <w:p w14:paraId="08DD88B7">
            <w:pPr>
              <w:autoSpaceDE w:val="0"/>
              <w:autoSpaceDN w:val="0"/>
              <w:snapToGrid w:val="0"/>
              <w:spacing w:line="440" w:lineRule="exact"/>
              <w:textAlignment w:val="bottom"/>
              <w:rPr>
                <w:rFonts w:ascii="宋体" w:hAnsi="宋体" w:cs="宋体"/>
                <w:color w:val="auto"/>
                <w:szCs w:val="21"/>
              </w:rPr>
            </w:pPr>
            <w:r>
              <w:rPr>
                <w:rFonts w:hint="eastAsia" w:ascii="宋体" w:hAnsi="宋体" w:cs="宋体"/>
                <w:color w:val="auto"/>
                <w:szCs w:val="21"/>
              </w:rPr>
              <w:t xml:space="preserve">签订合同携带的证明材料： </w:t>
            </w:r>
          </w:p>
          <w:p w14:paraId="368368C6">
            <w:pPr>
              <w:autoSpaceDE w:val="0"/>
              <w:autoSpaceDN w:val="0"/>
              <w:snapToGrid w:val="0"/>
              <w:spacing w:line="440" w:lineRule="exact"/>
              <w:textAlignment w:val="bottom"/>
              <w:rPr>
                <w:rFonts w:ascii="宋体" w:hAnsi="宋体" w:cs="宋体"/>
                <w:color w:val="auto"/>
                <w:szCs w:val="21"/>
              </w:rPr>
            </w:pPr>
            <w:r>
              <w:rPr>
                <w:rFonts w:hint="eastAsia" w:ascii="宋体" w:hAnsi="宋体" w:cs="宋体"/>
                <w:color w:val="auto"/>
                <w:szCs w:val="21"/>
              </w:rPr>
              <w:t>委托代理人负责签订合同的，须携带授权委托书及委托代理人身份证原件等其他资格证件。</w:t>
            </w:r>
          </w:p>
          <w:p w14:paraId="2F17AA33">
            <w:pPr>
              <w:snapToGrid w:val="0"/>
              <w:spacing w:line="440" w:lineRule="exact"/>
              <w:rPr>
                <w:rFonts w:ascii="宋体" w:hAnsi="宋体" w:cs="宋体"/>
                <w:color w:val="auto"/>
                <w:szCs w:val="21"/>
              </w:rPr>
            </w:pPr>
            <w:r>
              <w:rPr>
                <w:rFonts w:hint="eastAsia" w:ascii="宋体" w:hAnsi="宋体" w:cs="宋体"/>
                <w:color w:val="auto"/>
                <w:szCs w:val="21"/>
              </w:rPr>
              <w:t>法定代表人负责签订合同的，须携带法定代表人身份证明原件及身份证原件等其他证明材料。</w:t>
            </w:r>
          </w:p>
        </w:tc>
      </w:tr>
      <w:tr w14:paraId="344F8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A055A94">
            <w:pPr>
              <w:spacing w:line="440" w:lineRule="exact"/>
              <w:jc w:val="center"/>
              <w:rPr>
                <w:rFonts w:ascii="宋体" w:hAnsi="宋体" w:cs="宋体"/>
                <w:color w:val="auto"/>
                <w:szCs w:val="21"/>
              </w:rPr>
            </w:pPr>
            <w:r>
              <w:rPr>
                <w:rFonts w:hint="eastAsia" w:ascii="宋体" w:hAnsi="宋体" w:cs="宋体"/>
                <w:color w:val="auto"/>
                <w:szCs w:val="21"/>
              </w:rPr>
              <w:t>31.2</w:t>
            </w:r>
          </w:p>
        </w:tc>
        <w:tc>
          <w:tcPr>
            <w:tcW w:w="8097" w:type="dxa"/>
            <w:vAlign w:val="center"/>
          </w:tcPr>
          <w:p w14:paraId="7D7D38E1">
            <w:pPr>
              <w:snapToGrid w:val="0"/>
              <w:spacing w:line="440" w:lineRule="exact"/>
              <w:rPr>
                <w:rFonts w:ascii="宋体" w:hAnsi="宋体" w:cs="宋体"/>
                <w:color w:val="auto"/>
                <w:szCs w:val="21"/>
              </w:rPr>
            </w:pPr>
            <w:r>
              <w:rPr>
                <w:rFonts w:hint="eastAsia" w:ascii="宋体" w:hAnsi="宋体" w:cs="宋体"/>
                <w:color w:val="auto"/>
                <w:szCs w:val="21"/>
              </w:rPr>
              <w:t>接收质疑函方式：书面形式或者广西政府采购云系统在线形式</w:t>
            </w:r>
          </w:p>
          <w:p w14:paraId="6357C980">
            <w:pPr>
              <w:pStyle w:val="28"/>
              <w:snapToGrid w:val="0"/>
              <w:spacing w:line="440" w:lineRule="exact"/>
              <w:rPr>
                <w:rFonts w:hAnsi="宋体" w:cs="宋体"/>
                <w:color w:val="auto"/>
                <w:kern w:val="2"/>
                <w:sz w:val="21"/>
                <w:u w:val="single"/>
              </w:rPr>
            </w:pPr>
            <w:r>
              <w:rPr>
                <w:rFonts w:hint="eastAsia" w:hAnsi="宋体" w:cs="宋体"/>
                <w:color w:val="auto"/>
                <w:kern w:val="2"/>
                <w:sz w:val="21"/>
              </w:rPr>
              <w:t>质疑联系部门及联系方式：</w:t>
            </w:r>
            <w:r>
              <w:rPr>
                <w:rFonts w:hint="eastAsia" w:hAnsi="宋体" w:cs="宋体"/>
                <w:color w:val="auto"/>
                <w:kern w:val="2"/>
                <w:sz w:val="21"/>
                <w:u w:val="single"/>
              </w:rPr>
              <w:t>国正聚源工程咨询集团有限公司</w:t>
            </w:r>
          </w:p>
          <w:p w14:paraId="2CC53491">
            <w:pPr>
              <w:pStyle w:val="28"/>
              <w:snapToGrid w:val="0"/>
              <w:spacing w:line="440" w:lineRule="exact"/>
              <w:rPr>
                <w:rFonts w:hAnsi="宋体" w:cs="宋体"/>
                <w:color w:val="auto"/>
                <w:kern w:val="2"/>
                <w:sz w:val="21"/>
                <w:u w:val="single"/>
              </w:rPr>
            </w:pPr>
            <w:r>
              <w:rPr>
                <w:rFonts w:hint="eastAsia" w:hAnsi="宋体" w:cs="宋体"/>
                <w:color w:val="auto"/>
                <w:kern w:val="2"/>
                <w:sz w:val="21"/>
              </w:rPr>
              <w:t>联系人及电话：</w:t>
            </w:r>
            <w:r>
              <w:rPr>
                <w:rFonts w:hint="eastAsia" w:hAnsi="宋体" w:cs="宋体"/>
                <w:color w:val="auto"/>
                <w:kern w:val="2"/>
                <w:sz w:val="21"/>
                <w:u w:val="single"/>
              </w:rPr>
              <w:t>雷保琴0777-8889633</w:t>
            </w:r>
          </w:p>
          <w:p w14:paraId="004C93A0">
            <w:pPr>
              <w:pStyle w:val="28"/>
              <w:snapToGrid w:val="0"/>
              <w:spacing w:line="440" w:lineRule="exact"/>
              <w:rPr>
                <w:rFonts w:hAnsi="宋体" w:cs="宋体"/>
                <w:color w:val="auto"/>
                <w:kern w:val="2"/>
                <w:sz w:val="21"/>
              </w:rPr>
            </w:pPr>
            <w:r>
              <w:rPr>
                <w:rFonts w:hint="eastAsia" w:hAnsi="宋体" w:cs="宋体"/>
                <w:color w:val="auto"/>
                <w:kern w:val="2"/>
                <w:sz w:val="21"/>
              </w:rPr>
              <w:t>通讯地址：</w:t>
            </w:r>
            <w:r>
              <w:rPr>
                <w:rFonts w:hint="eastAsia" w:hAnsi="宋体" w:cs="宋体"/>
                <w:color w:val="auto"/>
                <w:kern w:val="2"/>
                <w:sz w:val="21"/>
                <w:u w:val="single"/>
              </w:rPr>
              <w:t>钦州市钦南区东泉街88号宇佳厂区4号楼第3层</w:t>
            </w:r>
          </w:p>
          <w:p w14:paraId="49F9AAB4">
            <w:pPr>
              <w:autoSpaceDE w:val="0"/>
              <w:autoSpaceDN w:val="0"/>
              <w:snapToGrid w:val="0"/>
              <w:spacing w:line="440" w:lineRule="exact"/>
              <w:textAlignment w:val="bottom"/>
              <w:rPr>
                <w:rFonts w:ascii="宋体" w:hAnsi="宋体" w:cs="宋体"/>
                <w:color w:val="auto"/>
                <w:szCs w:val="21"/>
              </w:rPr>
            </w:pPr>
            <w:r>
              <w:rPr>
                <w:rFonts w:hint="eastAsia" w:ascii="宋体" w:hAnsi="宋体" w:cs="宋体"/>
                <w:color w:val="auto"/>
                <w:kern w:val="0"/>
                <w:szCs w:val="21"/>
              </w:rPr>
              <w:t>业务时间：</w:t>
            </w:r>
            <w:r>
              <w:rPr>
                <w:rFonts w:hint="eastAsia" w:ascii="宋体" w:hAnsi="宋体" w:cs="宋体"/>
                <w:color w:val="auto"/>
                <w:kern w:val="0"/>
                <w:szCs w:val="21"/>
                <w:u w:val="single"/>
              </w:rPr>
              <w:t>工作日每天上午8时30分到12时00分，下午15时00分到18时00分。</w:t>
            </w:r>
          </w:p>
        </w:tc>
      </w:tr>
      <w:tr w14:paraId="7AF43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16007E4">
            <w:pPr>
              <w:spacing w:line="440" w:lineRule="exact"/>
              <w:jc w:val="center"/>
              <w:rPr>
                <w:rFonts w:ascii="宋体" w:hAnsi="宋体" w:cs="宋体"/>
                <w:color w:val="auto"/>
                <w:szCs w:val="21"/>
              </w:rPr>
            </w:pPr>
            <w:r>
              <w:rPr>
                <w:rFonts w:hint="eastAsia" w:ascii="宋体" w:hAnsi="宋体" w:cs="宋体"/>
                <w:color w:val="auto"/>
                <w:szCs w:val="21"/>
              </w:rPr>
              <w:t>32.1</w:t>
            </w:r>
          </w:p>
        </w:tc>
        <w:tc>
          <w:tcPr>
            <w:tcW w:w="8097" w:type="dxa"/>
            <w:vAlign w:val="center"/>
          </w:tcPr>
          <w:p w14:paraId="55812FBF">
            <w:pPr>
              <w:pStyle w:val="28"/>
              <w:snapToGrid w:val="0"/>
              <w:spacing w:line="440" w:lineRule="exact"/>
              <w:rPr>
                <w:rFonts w:hAnsi="宋体" w:cs="宋体"/>
                <w:color w:val="auto"/>
                <w:sz w:val="21"/>
              </w:rPr>
            </w:pPr>
            <w:r>
              <w:rPr>
                <w:rFonts w:hint="eastAsia" w:hAnsi="宋体" w:cs="宋体"/>
                <w:color w:val="auto"/>
                <w:sz w:val="21"/>
              </w:rPr>
              <w:t>1.采购代理费支付方式：</w:t>
            </w:r>
          </w:p>
          <w:p w14:paraId="1EEDF27B">
            <w:pPr>
              <w:pStyle w:val="28"/>
              <w:snapToGrid w:val="0"/>
              <w:spacing w:line="440" w:lineRule="exact"/>
              <w:rPr>
                <w:rFonts w:hAnsi="宋体" w:cs="宋体"/>
                <w:b/>
                <w:bCs/>
                <w:color w:val="auto"/>
                <w:sz w:val="21"/>
              </w:rPr>
            </w:pPr>
            <w:r>
              <w:rPr>
                <w:rFonts w:hint="eastAsia" w:hAnsi="宋体" w:cs="宋体"/>
                <w:b/>
                <w:bCs/>
                <w:color w:val="auto"/>
                <w:sz w:val="18"/>
                <w:szCs w:val="18"/>
              </w:rPr>
              <w:t>☑</w:t>
            </w:r>
            <w:r>
              <w:rPr>
                <w:rFonts w:hint="eastAsia" w:hAnsi="宋体" w:cs="宋体"/>
                <w:b/>
                <w:bCs/>
                <w:color w:val="auto"/>
                <w:sz w:val="21"/>
              </w:rPr>
              <w:t>本项目代理服务费由</w:t>
            </w:r>
            <w:r>
              <w:rPr>
                <w:rFonts w:hint="eastAsia" w:hAnsi="宋体" w:cs="宋体"/>
                <w:b/>
                <w:bCs/>
                <w:color w:val="auto"/>
                <w:sz w:val="21"/>
                <w:u w:val="single"/>
              </w:rPr>
              <w:t>成交供应商</w:t>
            </w:r>
            <w:r>
              <w:rPr>
                <w:rFonts w:hint="eastAsia" w:hAnsi="宋体" w:cs="宋体"/>
                <w:b/>
                <w:bCs/>
                <w:color w:val="auto"/>
                <w:sz w:val="21"/>
              </w:rPr>
              <w:t>领取成交通知书前，一次性向采购代理机构支付。</w:t>
            </w:r>
          </w:p>
          <w:p w14:paraId="14DC0C33">
            <w:pPr>
              <w:pStyle w:val="28"/>
              <w:snapToGrid w:val="0"/>
              <w:spacing w:line="440" w:lineRule="exact"/>
              <w:rPr>
                <w:rFonts w:hAnsi="宋体" w:cs="宋体"/>
                <w:color w:val="auto"/>
                <w:sz w:val="21"/>
              </w:rPr>
            </w:pPr>
            <w:r>
              <w:rPr>
                <w:rFonts w:hint="eastAsia" w:hAnsi="宋体" w:cs="宋体"/>
                <w:color w:val="auto"/>
                <w:sz w:val="21"/>
              </w:rPr>
              <w:t>□采购人支付。</w:t>
            </w:r>
          </w:p>
          <w:p w14:paraId="2E928889">
            <w:pPr>
              <w:pStyle w:val="28"/>
              <w:snapToGrid w:val="0"/>
              <w:spacing w:line="440" w:lineRule="exact"/>
              <w:rPr>
                <w:rFonts w:hAnsi="宋体" w:cs="宋体"/>
                <w:color w:val="auto"/>
                <w:sz w:val="21"/>
              </w:rPr>
            </w:pPr>
            <w:r>
              <w:rPr>
                <w:rFonts w:hint="eastAsia" w:hAnsi="宋体" w:cs="宋体"/>
                <w:color w:val="auto"/>
                <w:sz w:val="21"/>
              </w:rPr>
              <w:t>2.采购代理费收取标准：</w:t>
            </w:r>
          </w:p>
          <w:p w14:paraId="436EAA48">
            <w:pPr>
              <w:pStyle w:val="28"/>
              <w:snapToGrid w:val="0"/>
              <w:spacing w:line="440" w:lineRule="exact"/>
              <w:rPr>
                <w:rFonts w:hAnsi="宋体" w:cs="宋体"/>
                <w:b/>
                <w:bCs/>
                <w:color w:val="auto"/>
                <w:sz w:val="21"/>
              </w:rPr>
            </w:pPr>
            <w:r>
              <w:rPr>
                <w:rFonts w:hint="eastAsia" w:hAnsi="宋体" w:cs="宋体"/>
                <w:b/>
                <w:bCs/>
                <w:color w:val="auto"/>
                <w:sz w:val="18"/>
                <w:szCs w:val="18"/>
              </w:rPr>
              <w:t>☑</w:t>
            </w:r>
            <w:r>
              <w:rPr>
                <w:rFonts w:hint="eastAsia" w:hAnsi="宋体" w:cs="宋体"/>
                <w:b/>
                <w:bCs/>
                <w:color w:val="auto"/>
                <w:sz w:val="21"/>
              </w:rPr>
              <w:t>以分标（</w:t>
            </w:r>
            <w:r>
              <w:rPr>
                <w:rFonts w:hint="eastAsia" w:hAnsi="宋体" w:cs="宋体"/>
                <w:b/>
                <w:bCs/>
                <w:color w:val="auto"/>
                <w:sz w:val="18"/>
                <w:szCs w:val="18"/>
              </w:rPr>
              <w:t>☑</w:t>
            </w:r>
            <w:r>
              <w:rPr>
                <w:rFonts w:hint="eastAsia" w:hAnsi="宋体" w:cs="宋体"/>
                <w:b/>
                <w:bCs/>
                <w:color w:val="auto"/>
                <w:sz w:val="21"/>
              </w:rPr>
              <w:t>成交金额/□采购预算/□暂定成交金额/□其他）为计费额，</w:t>
            </w:r>
            <w:r>
              <w:rPr>
                <w:rFonts w:hint="eastAsia" w:hAnsi="宋体" w:cs="宋体"/>
                <w:b/>
                <w:bCs/>
                <w:color w:val="auto"/>
                <w:sz w:val="21"/>
              </w:rPr>
              <w:t>参照</w:t>
            </w:r>
            <w:r>
              <w:rPr>
                <w:rFonts w:hint="eastAsia" w:hAnsi="宋体" w:cs="宋体"/>
                <w:b/>
                <w:bCs/>
                <w:color w:val="auto"/>
                <w:sz w:val="21"/>
                <w:lang w:eastAsia="zh-TW"/>
              </w:rPr>
              <w:t>中华人民共和国国家发展计划委员会《招标代理服务收费管理暂行办法》（计价格［2002］1980号）、国家发展和改革委员会办公厅《关于招标代理服务收费有关问题的通知》(发改办价格[2003]857号)</w:t>
            </w:r>
            <w:r>
              <w:rPr>
                <w:rFonts w:hint="eastAsia" w:hAnsi="宋体" w:cs="宋体"/>
                <w:b/>
                <w:bCs/>
                <w:color w:val="auto"/>
                <w:sz w:val="21"/>
              </w:rPr>
              <w:t>并根据《国家发展改革委关于降低部分建设项目收费标准规范收费行为等有关问题的通知》（发改价格[2011]534号）文中</w:t>
            </w:r>
            <w:r>
              <w:rPr>
                <w:rFonts w:hint="eastAsia" w:hAnsi="宋体" w:cs="宋体"/>
                <w:b/>
                <w:bCs/>
                <w:color w:val="auto"/>
                <w:sz w:val="21"/>
                <w:lang w:eastAsia="zh-TW"/>
              </w:rPr>
              <w:t>的</w:t>
            </w:r>
            <w:r>
              <w:rPr>
                <w:rFonts w:hint="eastAsia" w:hAnsi="宋体" w:cs="宋体"/>
                <w:b/>
                <w:bCs/>
                <w:color w:val="auto"/>
                <w:sz w:val="21"/>
              </w:rPr>
              <w:t>（“工程招标”类)</w:t>
            </w:r>
            <w:r>
              <w:rPr>
                <w:rFonts w:hint="eastAsia" w:hAnsi="宋体" w:cs="宋体"/>
                <w:b/>
                <w:bCs/>
                <w:color w:val="auto"/>
                <w:sz w:val="21"/>
                <w:lang w:eastAsia="zh-TW"/>
              </w:rPr>
              <w:t>规定</w:t>
            </w:r>
            <w:r>
              <w:rPr>
                <w:rFonts w:hint="eastAsia" w:hAnsi="宋体" w:cs="宋体"/>
                <w:b/>
                <w:bCs/>
                <w:color w:val="auto"/>
                <w:sz w:val="21"/>
              </w:rPr>
              <w:t>计取。</w:t>
            </w:r>
          </w:p>
          <w:p w14:paraId="13BF53D7">
            <w:pPr>
              <w:pStyle w:val="28"/>
              <w:snapToGrid w:val="0"/>
              <w:spacing w:line="440" w:lineRule="exact"/>
              <w:rPr>
                <w:rFonts w:hAnsi="宋体" w:cs="宋体"/>
                <w:color w:val="auto"/>
                <w:sz w:val="21"/>
              </w:rPr>
            </w:pPr>
            <w:r>
              <w:rPr>
                <w:rFonts w:hint="eastAsia" w:hAnsi="宋体" w:cs="宋体"/>
                <w:color w:val="auto"/>
                <w:sz w:val="21"/>
              </w:rPr>
              <w:t>开户名称：</w:t>
            </w:r>
            <w:r>
              <w:rPr>
                <w:rFonts w:hint="eastAsia" w:hAnsi="宋体" w:cs="宋体"/>
                <w:color w:val="auto"/>
                <w:sz w:val="21"/>
                <w:u w:val="single"/>
              </w:rPr>
              <w:t>国正聚源工程咨询集团有限公司钦州分公司</w:t>
            </w:r>
          </w:p>
          <w:p w14:paraId="0852C86D">
            <w:pPr>
              <w:pStyle w:val="28"/>
              <w:snapToGrid w:val="0"/>
              <w:spacing w:line="440" w:lineRule="exact"/>
              <w:rPr>
                <w:rFonts w:hAnsi="宋体" w:cs="宋体"/>
                <w:color w:val="auto"/>
                <w:sz w:val="21"/>
              </w:rPr>
            </w:pPr>
            <w:r>
              <w:rPr>
                <w:rFonts w:hint="eastAsia" w:hAnsi="宋体" w:cs="宋体"/>
                <w:color w:val="auto"/>
                <w:sz w:val="21"/>
              </w:rPr>
              <w:t>开户银行：</w:t>
            </w:r>
            <w:r>
              <w:rPr>
                <w:rFonts w:hint="eastAsia" w:hAnsi="宋体" w:cs="宋体"/>
                <w:color w:val="auto"/>
                <w:sz w:val="21"/>
                <w:u w:val="single"/>
              </w:rPr>
              <w:t>中国建设银行股份有限公司钦州子材东大街支行</w:t>
            </w:r>
          </w:p>
          <w:p w14:paraId="5020B153">
            <w:pPr>
              <w:pStyle w:val="28"/>
              <w:snapToGrid w:val="0"/>
              <w:spacing w:line="440" w:lineRule="exact"/>
              <w:rPr>
                <w:rFonts w:hAnsi="宋体" w:cs="宋体"/>
                <w:color w:val="auto"/>
                <w:sz w:val="21"/>
              </w:rPr>
            </w:pPr>
            <w:r>
              <w:rPr>
                <w:rFonts w:hint="eastAsia" w:hAnsi="宋体" w:cs="宋体"/>
                <w:color w:val="auto"/>
                <w:sz w:val="21"/>
              </w:rPr>
              <w:t>银行账号：</w:t>
            </w:r>
            <w:r>
              <w:rPr>
                <w:rFonts w:hint="eastAsia" w:hAnsi="宋体" w:cs="宋体"/>
                <w:color w:val="auto"/>
                <w:sz w:val="21"/>
                <w:u w:val="single"/>
              </w:rPr>
              <w:t>45050110631200000816</w:t>
            </w:r>
          </w:p>
        </w:tc>
      </w:tr>
      <w:tr w14:paraId="305CE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68644EC">
            <w:pPr>
              <w:spacing w:line="440" w:lineRule="exact"/>
              <w:jc w:val="center"/>
              <w:rPr>
                <w:rFonts w:ascii="宋体" w:hAnsi="宋体" w:cs="宋体"/>
                <w:color w:val="auto"/>
                <w:szCs w:val="21"/>
              </w:rPr>
            </w:pPr>
            <w:r>
              <w:rPr>
                <w:rFonts w:hint="eastAsia" w:ascii="宋体" w:hAnsi="宋体" w:cs="宋体"/>
                <w:color w:val="auto"/>
                <w:szCs w:val="21"/>
              </w:rPr>
              <w:t>33.1</w:t>
            </w:r>
          </w:p>
        </w:tc>
        <w:tc>
          <w:tcPr>
            <w:tcW w:w="8097" w:type="dxa"/>
            <w:vAlign w:val="center"/>
          </w:tcPr>
          <w:p w14:paraId="2733D924">
            <w:pPr>
              <w:pStyle w:val="28"/>
              <w:snapToGrid w:val="0"/>
              <w:spacing w:line="440" w:lineRule="exact"/>
              <w:rPr>
                <w:rFonts w:hAnsi="宋体" w:cs="宋体"/>
                <w:color w:val="auto"/>
                <w:kern w:val="2"/>
                <w:sz w:val="21"/>
              </w:rPr>
            </w:pPr>
            <w:r>
              <w:rPr>
                <w:rFonts w:hint="eastAsia" w:hAnsi="宋体" w:cs="宋体"/>
                <w:color w:val="auto"/>
                <w:sz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00FCD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shd w:val="clear" w:color="auto" w:fill="auto"/>
            <w:vAlign w:val="center"/>
          </w:tcPr>
          <w:p w14:paraId="092995B2">
            <w:pPr>
              <w:spacing w:line="440" w:lineRule="exact"/>
              <w:jc w:val="center"/>
              <w:rPr>
                <w:rFonts w:ascii="宋体" w:hAnsi="宋体" w:cs="宋体"/>
                <w:color w:val="auto"/>
                <w:szCs w:val="21"/>
              </w:rPr>
            </w:pPr>
            <w:r>
              <w:rPr>
                <w:rFonts w:hint="eastAsia" w:ascii="宋体" w:hAnsi="宋体" w:cs="宋体"/>
                <w:color w:val="auto"/>
                <w:szCs w:val="21"/>
              </w:rPr>
              <w:t>33.2</w:t>
            </w:r>
          </w:p>
        </w:tc>
        <w:tc>
          <w:tcPr>
            <w:tcW w:w="8097" w:type="dxa"/>
            <w:shd w:val="clear" w:color="auto" w:fill="auto"/>
            <w:vAlign w:val="center"/>
          </w:tcPr>
          <w:p w14:paraId="28579CB3">
            <w:pPr>
              <w:pStyle w:val="28"/>
              <w:snapToGrid w:val="0"/>
              <w:spacing w:line="440" w:lineRule="exact"/>
              <w:rPr>
                <w:rFonts w:hAnsi="宋体" w:cs="宋体"/>
                <w:color w:val="auto"/>
                <w:sz w:val="21"/>
              </w:rPr>
            </w:pPr>
            <w:r>
              <w:rPr>
                <w:rFonts w:hint="eastAsia" w:hAnsi="宋体" w:cs="宋体"/>
                <w:color w:val="auto"/>
                <w:sz w:val="21"/>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2D955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8C6290F">
            <w:pPr>
              <w:spacing w:line="440" w:lineRule="exact"/>
              <w:jc w:val="center"/>
              <w:rPr>
                <w:rFonts w:ascii="宋体" w:hAnsi="宋体" w:cs="宋体"/>
                <w:color w:val="auto"/>
                <w:szCs w:val="21"/>
              </w:rPr>
            </w:pPr>
            <w:r>
              <w:rPr>
                <w:rFonts w:hint="eastAsia" w:ascii="宋体" w:hAnsi="宋体" w:cs="宋体"/>
                <w:color w:val="auto"/>
                <w:szCs w:val="21"/>
              </w:rPr>
              <w:t>33.3</w:t>
            </w:r>
          </w:p>
        </w:tc>
        <w:tc>
          <w:tcPr>
            <w:tcW w:w="8097" w:type="dxa"/>
            <w:vAlign w:val="center"/>
          </w:tcPr>
          <w:p w14:paraId="0A528FE4">
            <w:pPr>
              <w:pStyle w:val="28"/>
              <w:snapToGrid w:val="0"/>
              <w:spacing w:line="440" w:lineRule="exact"/>
              <w:rPr>
                <w:rFonts w:hAnsi="宋体" w:cs="宋体"/>
                <w:color w:val="auto"/>
                <w:sz w:val="21"/>
              </w:rPr>
            </w:pPr>
            <w:r>
              <w:rPr>
                <w:rFonts w:hint="eastAsia" w:hAnsi="宋体" w:cs="宋体"/>
                <w:color w:val="auto"/>
                <w:sz w:val="21"/>
              </w:rPr>
              <w:t>1.本磋商文件中描述供应商的“公章”是指根据我国对公章的管理规定，用供应商法定主体行为名称制作的印章，除本磋商文件有特殊规定外，供应商的财务章、部门章、分公司章、工会章、合同章、竞标/磋商专用章、业务专用章及银行的转账章、现金收讫章、现金付讫章等其他形式印章均不能代替公章。</w:t>
            </w:r>
          </w:p>
          <w:p w14:paraId="70640A2B">
            <w:pPr>
              <w:pStyle w:val="28"/>
              <w:snapToGrid w:val="0"/>
              <w:spacing w:line="440" w:lineRule="exact"/>
              <w:rPr>
                <w:rFonts w:hAnsi="宋体" w:cs="宋体"/>
                <w:color w:val="auto"/>
                <w:sz w:val="21"/>
              </w:rPr>
            </w:pPr>
            <w:r>
              <w:rPr>
                <w:rFonts w:hint="eastAsia" w:hAnsi="宋体" w:cs="宋体"/>
                <w:bCs/>
                <w:color w:val="auto"/>
                <w:sz w:val="21"/>
              </w:rPr>
              <w:t>2.本磋商文件所称的“</w:t>
            </w:r>
            <w:r>
              <w:rPr>
                <w:rFonts w:hint="eastAsia" w:hAnsi="宋体" w:cs="宋体"/>
                <w:color w:val="auto"/>
                <w:sz w:val="21"/>
              </w:rPr>
              <w:t>电子签章</w:t>
            </w:r>
            <w:r>
              <w:rPr>
                <w:rFonts w:hint="eastAsia" w:hAnsi="宋体" w:cs="宋体"/>
                <w:bCs/>
                <w:color w:val="auto"/>
                <w:sz w:val="21"/>
              </w:rPr>
              <w:t>”、“电子签名”</w:t>
            </w:r>
            <w:r>
              <w:rPr>
                <w:rFonts w:hint="eastAsia" w:hAnsi="宋体" w:cs="宋体"/>
                <w:color w:val="auto"/>
                <w:sz w:val="21"/>
              </w:rPr>
              <w:t>，是指经广西政府采购云平台认可的CA认证的电子签名数据为表现形式的印章，可用于签署电子响应文件，电子印章与实物印章具有同等法律效力，不因其采用电子化表现形式而否定其法律效力。</w:t>
            </w:r>
          </w:p>
          <w:p w14:paraId="7C0A82C0">
            <w:pPr>
              <w:pStyle w:val="28"/>
              <w:snapToGrid w:val="0"/>
              <w:spacing w:line="440" w:lineRule="exact"/>
              <w:rPr>
                <w:rFonts w:hAnsi="宋体" w:cs="宋体"/>
                <w:bCs/>
                <w:color w:val="auto"/>
                <w:sz w:val="21"/>
              </w:rPr>
            </w:pPr>
            <w:r>
              <w:rPr>
                <w:rFonts w:hint="eastAsia" w:hAnsi="宋体" w:cs="宋体"/>
                <w:color w:val="auto"/>
                <w:sz w:val="21"/>
              </w:rPr>
              <w:t>3.供应商为其他组织时，本磋商文件规定的法定代表人指负责人。本磋商文件所称负责人是指参加竞标的其他组织</w:t>
            </w:r>
            <w:r>
              <w:rPr>
                <w:rFonts w:hint="eastAsia" w:hAnsi="宋体" w:cs="宋体"/>
                <w:bCs/>
                <w:color w:val="auto"/>
                <w:sz w:val="21"/>
              </w:rPr>
              <w:t>营业执照或者执业许可证等证照上的</w:t>
            </w:r>
            <w:r>
              <w:rPr>
                <w:rFonts w:hint="eastAsia" w:hAnsi="宋体" w:cs="宋体"/>
                <w:color w:val="auto"/>
                <w:sz w:val="21"/>
              </w:rPr>
              <w:t>负责人</w:t>
            </w:r>
            <w:r>
              <w:rPr>
                <w:rFonts w:hint="eastAsia" w:hAnsi="宋体" w:cs="宋体"/>
                <w:bCs/>
                <w:color w:val="auto"/>
                <w:sz w:val="21"/>
              </w:rPr>
              <w:t>。</w:t>
            </w:r>
          </w:p>
          <w:p w14:paraId="75EF1C01">
            <w:pPr>
              <w:pStyle w:val="28"/>
              <w:snapToGrid w:val="0"/>
              <w:spacing w:line="440" w:lineRule="exact"/>
              <w:rPr>
                <w:rFonts w:hAnsi="宋体" w:cs="宋体"/>
                <w:color w:val="auto"/>
                <w:sz w:val="21"/>
              </w:rPr>
            </w:pPr>
            <w:r>
              <w:rPr>
                <w:rFonts w:hint="eastAsia" w:hAnsi="宋体" w:cs="宋体"/>
                <w:color w:val="auto"/>
                <w:sz w:val="21"/>
              </w:rPr>
              <w:t>4.本磋商文件中描述供应商的“签字”是指供应商的法定代表人或者委托代理人亲自在文件规定签署处亲笔写上个人的名字的行为，私章、签字章、印鉴、影印等其他形式均不能代替亲笔签字。</w:t>
            </w:r>
          </w:p>
          <w:p w14:paraId="25540088">
            <w:pPr>
              <w:pStyle w:val="28"/>
              <w:snapToGrid w:val="0"/>
              <w:spacing w:line="440" w:lineRule="exact"/>
              <w:rPr>
                <w:rFonts w:hAnsi="宋体" w:cs="宋体"/>
                <w:color w:val="auto"/>
                <w:sz w:val="21"/>
              </w:rPr>
            </w:pPr>
            <w:r>
              <w:rPr>
                <w:rFonts w:hint="eastAsia" w:hAnsi="宋体" w:cs="宋体"/>
                <w:color w:val="auto"/>
                <w:sz w:val="21"/>
              </w:rPr>
              <w:t>5.本磋商文件所称的“以上”“以下”“以内”“届满”，包括本数；所称的“不满”“超过”“以外”，不包括本数。</w:t>
            </w:r>
          </w:p>
        </w:tc>
      </w:tr>
      <w:tr w14:paraId="7D1DC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992" w:type="dxa"/>
            <w:vAlign w:val="center"/>
          </w:tcPr>
          <w:p w14:paraId="0F68F929">
            <w:pPr>
              <w:spacing w:line="440" w:lineRule="exact"/>
              <w:jc w:val="center"/>
              <w:rPr>
                <w:rFonts w:ascii="宋体" w:hAnsi="宋体" w:cs="宋体"/>
                <w:b/>
                <w:bCs/>
                <w:color w:val="auto"/>
                <w:szCs w:val="21"/>
              </w:rPr>
            </w:pPr>
            <w:r>
              <w:rPr>
                <w:rFonts w:hint="eastAsia" w:ascii="宋体" w:hAnsi="宋体" w:cs="宋体"/>
                <w:b/>
                <w:bCs/>
                <w:color w:val="auto"/>
                <w:szCs w:val="21"/>
              </w:rPr>
              <w:t>注意</w:t>
            </w:r>
          </w:p>
          <w:p w14:paraId="1C358AAA">
            <w:pPr>
              <w:spacing w:line="440" w:lineRule="exact"/>
              <w:jc w:val="center"/>
              <w:rPr>
                <w:rFonts w:ascii="宋体" w:hAnsi="宋体" w:cs="宋体"/>
                <w:b/>
                <w:bCs/>
                <w:color w:val="auto"/>
                <w:szCs w:val="21"/>
              </w:rPr>
            </w:pPr>
            <w:r>
              <w:rPr>
                <w:rFonts w:hint="eastAsia" w:ascii="宋体" w:hAnsi="宋体" w:cs="宋体"/>
                <w:b/>
                <w:bCs/>
                <w:color w:val="auto"/>
                <w:szCs w:val="21"/>
              </w:rPr>
              <w:t>事项</w:t>
            </w:r>
          </w:p>
        </w:tc>
        <w:tc>
          <w:tcPr>
            <w:tcW w:w="8097" w:type="dxa"/>
            <w:vAlign w:val="center"/>
          </w:tcPr>
          <w:p w14:paraId="235BF981">
            <w:pPr>
              <w:pStyle w:val="28"/>
              <w:snapToGrid w:val="0"/>
              <w:spacing w:line="440" w:lineRule="exact"/>
              <w:rPr>
                <w:rFonts w:hAnsi="宋体" w:cs="宋体"/>
                <w:b/>
                <w:bCs/>
                <w:color w:val="auto"/>
                <w:sz w:val="21"/>
              </w:rPr>
            </w:pPr>
            <w:r>
              <w:rPr>
                <w:rFonts w:hint="eastAsia" w:hAnsi="宋体" w:cs="宋体"/>
                <w:b/>
                <w:bCs/>
                <w:color w:val="auto"/>
                <w:sz w:val="21"/>
              </w:rPr>
              <w:t>磋商供应商在成交公告发布后需提供3份完整的响应文件纸质版及电子版U盘）并加盖单位公章（一正二副）提供给代理机构，作为成果文件装订使用。</w:t>
            </w:r>
          </w:p>
        </w:tc>
      </w:tr>
    </w:tbl>
    <w:p w14:paraId="134C7D3E">
      <w:pPr>
        <w:spacing w:line="440" w:lineRule="exact"/>
        <w:jc w:val="center"/>
        <w:rPr>
          <w:rFonts w:ascii="宋体" w:hAnsi="宋体" w:cs="宋体"/>
          <w:b/>
          <w:color w:val="auto"/>
          <w:sz w:val="32"/>
          <w:szCs w:val="32"/>
        </w:rPr>
      </w:pPr>
      <w:r>
        <w:rPr>
          <w:rFonts w:hint="eastAsia" w:ascii="宋体" w:hAnsi="宋体" w:cs="宋体"/>
          <w:b/>
          <w:color w:val="auto"/>
          <w:sz w:val="32"/>
          <w:szCs w:val="32"/>
        </w:rPr>
        <w:br w:type="page"/>
      </w:r>
      <w:r>
        <w:rPr>
          <w:rFonts w:hint="eastAsia" w:ascii="宋体" w:hAnsi="宋体" w:cs="宋体"/>
          <w:b/>
          <w:color w:val="auto"/>
          <w:sz w:val="32"/>
          <w:szCs w:val="32"/>
        </w:rPr>
        <w:t>供应商须知正文</w:t>
      </w:r>
    </w:p>
    <w:p w14:paraId="4B6F2E62">
      <w:pPr>
        <w:spacing w:line="440" w:lineRule="exact"/>
        <w:jc w:val="center"/>
        <w:rPr>
          <w:rFonts w:ascii="宋体" w:hAnsi="宋体" w:cs="宋体"/>
          <w:b/>
          <w:color w:val="auto"/>
          <w:sz w:val="32"/>
          <w:szCs w:val="32"/>
        </w:rPr>
      </w:pPr>
    </w:p>
    <w:p w14:paraId="5754FBFB">
      <w:pPr>
        <w:spacing w:line="440" w:lineRule="exact"/>
        <w:jc w:val="center"/>
        <w:rPr>
          <w:rFonts w:ascii="宋体" w:hAnsi="宋体" w:cs="宋体"/>
          <w:b/>
          <w:color w:val="auto"/>
          <w:sz w:val="32"/>
          <w:szCs w:val="32"/>
        </w:rPr>
      </w:pPr>
      <w:r>
        <w:rPr>
          <w:rFonts w:hint="eastAsia" w:ascii="宋体" w:hAnsi="宋体" w:cs="宋体"/>
          <w:b/>
          <w:color w:val="auto"/>
          <w:sz w:val="32"/>
          <w:szCs w:val="32"/>
        </w:rPr>
        <w:t>一、总则</w:t>
      </w:r>
    </w:p>
    <w:p w14:paraId="5958F0C5">
      <w:pPr>
        <w:spacing w:line="440" w:lineRule="exact"/>
        <w:rPr>
          <w:rFonts w:ascii="宋体" w:hAnsi="宋体" w:cs="宋体"/>
          <w:color w:val="auto"/>
          <w:szCs w:val="21"/>
        </w:rPr>
      </w:pPr>
    </w:p>
    <w:p w14:paraId="73DF42AB">
      <w:pPr>
        <w:spacing w:line="440" w:lineRule="exact"/>
        <w:ind w:firstLine="482" w:firstLineChars="200"/>
        <w:rPr>
          <w:rFonts w:ascii="宋体" w:hAnsi="宋体" w:cs="宋体"/>
          <w:b/>
          <w:bCs/>
          <w:color w:val="auto"/>
          <w:sz w:val="24"/>
        </w:rPr>
      </w:pPr>
      <w:r>
        <w:rPr>
          <w:rFonts w:hint="eastAsia" w:ascii="宋体" w:hAnsi="宋体" w:cs="宋体"/>
          <w:b/>
          <w:bCs/>
          <w:color w:val="auto"/>
          <w:sz w:val="24"/>
        </w:rPr>
        <w:t>1.适用范围</w:t>
      </w:r>
    </w:p>
    <w:p w14:paraId="600A2E6A">
      <w:pPr>
        <w:spacing w:line="440" w:lineRule="exact"/>
        <w:ind w:firstLine="420" w:firstLineChars="200"/>
        <w:rPr>
          <w:rFonts w:ascii="宋体" w:hAnsi="宋体" w:cs="宋体"/>
          <w:color w:val="auto"/>
          <w:szCs w:val="21"/>
        </w:rPr>
      </w:pPr>
      <w:r>
        <w:rPr>
          <w:rFonts w:hint="eastAsia" w:ascii="宋体" w:hAnsi="宋体" w:cs="宋体"/>
          <w:color w:val="auto"/>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35C5DFE">
      <w:pPr>
        <w:spacing w:line="440" w:lineRule="exact"/>
        <w:ind w:firstLine="420" w:firstLineChars="200"/>
        <w:rPr>
          <w:rFonts w:ascii="宋体" w:hAnsi="宋体" w:cs="宋体"/>
          <w:color w:val="auto"/>
          <w:szCs w:val="21"/>
        </w:rPr>
      </w:pPr>
      <w:r>
        <w:rPr>
          <w:rFonts w:hint="eastAsia" w:ascii="宋体" w:hAnsi="宋体" w:cs="宋体"/>
          <w:color w:val="auto"/>
          <w:szCs w:val="21"/>
        </w:rPr>
        <w:t>1.2本竞争性磋商文件（以下简称磋商文件）适用于本项目的所有采购程序和环节（法律、法规另有规定的，从其规定）</w:t>
      </w:r>
      <w:r>
        <w:rPr>
          <w:rFonts w:hint="eastAsia" w:ascii="宋体" w:hAnsi="宋体" w:cs="宋体"/>
          <w:color w:val="auto"/>
          <w:spacing w:val="-6"/>
          <w:szCs w:val="21"/>
        </w:rPr>
        <w:t>。</w:t>
      </w:r>
    </w:p>
    <w:p w14:paraId="37E32F40">
      <w:pPr>
        <w:spacing w:line="440" w:lineRule="exact"/>
        <w:ind w:firstLine="482" w:firstLineChars="200"/>
        <w:rPr>
          <w:rFonts w:ascii="宋体" w:hAnsi="宋体" w:cs="宋体"/>
          <w:b/>
          <w:bCs/>
          <w:color w:val="auto"/>
          <w:sz w:val="24"/>
        </w:rPr>
      </w:pPr>
      <w:r>
        <w:rPr>
          <w:rFonts w:hint="eastAsia" w:ascii="宋体" w:hAnsi="宋体" w:cs="宋体"/>
          <w:b/>
          <w:bCs/>
          <w:color w:val="auto"/>
          <w:sz w:val="24"/>
        </w:rPr>
        <w:t>2.定义</w:t>
      </w:r>
    </w:p>
    <w:p w14:paraId="05C6E2EE">
      <w:pPr>
        <w:spacing w:line="440" w:lineRule="exact"/>
        <w:ind w:firstLine="420" w:firstLineChars="200"/>
        <w:rPr>
          <w:rFonts w:ascii="宋体" w:hAnsi="宋体" w:cs="宋体"/>
          <w:color w:val="auto"/>
          <w:szCs w:val="21"/>
        </w:rPr>
      </w:pPr>
      <w:r>
        <w:rPr>
          <w:rFonts w:hint="eastAsia" w:ascii="宋体" w:hAnsi="宋体" w:cs="宋体"/>
          <w:color w:val="auto"/>
          <w:szCs w:val="21"/>
        </w:rPr>
        <w:t>2.1“采购人”是指依法进行政府采购的国家机关、事业单位、团体组织。</w:t>
      </w:r>
    </w:p>
    <w:p w14:paraId="1A620683">
      <w:pPr>
        <w:spacing w:line="440" w:lineRule="exact"/>
        <w:ind w:firstLine="420" w:firstLineChars="200"/>
        <w:rPr>
          <w:rFonts w:ascii="宋体" w:hAnsi="宋体" w:cs="宋体"/>
          <w:color w:val="auto"/>
          <w:szCs w:val="21"/>
          <w:u w:val="single"/>
        </w:rPr>
      </w:pPr>
      <w:r>
        <w:rPr>
          <w:rFonts w:hint="eastAsia" w:ascii="宋体" w:hAnsi="宋体" w:cs="宋体"/>
          <w:color w:val="auto"/>
          <w:szCs w:val="21"/>
        </w:rPr>
        <w:t>2.2“采购代理机构”是指政府采购集中采购机构和集中采购机构以外的采购代理机构。</w:t>
      </w:r>
    </w:p>
    <w:p w14:paraId="2E69A953">
      <w:pPr>
        <w:spacing w:line="440" w:lineRule="exact"/>
        <w:ind w:firstLine="420" w:firstLineChars="200"/>
        <w:rPr>
          <w:rFonts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16C6C235">
      <w:pPr>
        <w:spacing w:line="440" w:lineRule="exact"/>
        <w:ind w:firstLine="420" w:firstLineChars="200"/>
        <w:rPr>
          <w:rFonts w:ascii="宋体" w:hAnsi="宋体" w:cs="宋体"/>
          <w:color w:val="auto"/>
          <w:szCs w:val="21"/>
        </w:rPr>
      </w:pPr>
      <w:r>
        <w:rPr>
          <w:rFonts w:hint="eastAsia" w:ascii="宋体" w:hAnsi="宋体" w:cs="宋体"/>
          <w:color w:val="auto"/>
          <w:szCs w:val="21"/>
        </w:rPr>
        <w:t>2.4“工程”是指建设工程，包括建筑物和构筑物的新建、改建、扩建、装修、拆除、修缮等。</w:t>
      </w:r>
    </w:p>
    <w:p w14:paraId="054E0C8B">
      <w:pPr>
        <w:spacing w:line="440" w:lineRule="exact"/>
        <w:ind w:firstLine="420" w:firstLineChars="200"/>
        <w:rPr>
          <w:rFonts w:ascii="宋体" w:hAnsi="宋体" w:cs="宋体"/>
          <w:color w:val="auto"/>
          <w:szCs w:val="21"/>
        </w:rPr>
      </w:pPr>
      <w:r>
        <w:rPr>
          <w:rFonts w:hint="eastAsia" w:ascii="宋体" w:hAnsi="宋体" w:cs="宋体"/>
          <w:color w:val="auto"/>
          <w:szCs w:val="21"/>
        </w:rPr>
        <w:t>2.5“竞标”是指供应商按照本项目竞争性磋商公告规定的方式获取磋商文件、提交响应文件并希望获得标的的行为。</w:t>
      </w:r>
    </w:p>
    <w:p w14:paraId="279852C2">
      <w:pPr>
        <w:spacing w:line="440" w:lineRule="exact"/>
        <w:ind w:firstLine="420" w:firstLineChars="200"/>
        <w:contextualSpacing/>
        <w:rPr>
          <w:rFonts w:ascii="宋体" w:hAnsi="宋体" w:cs="宋体"/>
          <w:color w:val="auto"/>
          <w:szCs w:val="21"/>
        </w:rPr>
      </w:pPr>
      <w:r>
        <w:rPr>
          <w:rFonts w:hint="eastAsia" w:ascii="宋体" w:hAnsi="宋体" w:cs="宋体"/>
          <w:color w:val="auto"/>
          <w:szCs w:val="21"/>
        </w:rPr>
        <w:t>2.6“书面形式”是指合同书、信件和数据电文（包括电报、电传、传真、电子数据交换和电子邮件）等可以有形地表现所载内容的形式。</w:t>
      </w:r>
    </w:p>
    <w:p w14:paraId="2E390CC8">
      <w:pPr>
        <w:spacing w:line="440" w:lineRule="exact"/>
        <w:ind w:firstLine="420" w:firstLineChars="200"/>
        <w:contextualSpacing/>
        <w:rPr>
          <w:rFonts w:ascii="宋体" w:hAnsi="宋体" w:cs="宋体"/>
          <w:color w:val="auto"/>
          <w:szCs w:val="21"/>
        </w:rPr>
      </w:pPr>
      <w:r>
        <w:rPr>
          <w:rFonts w:hint="eastAsia" w:ascii="宋体" w:hAnsi="宋体" w:cs="宋体"/>
          <w:color w:val="auto"/>
          <w:szCs w:val="21"/>
        </w:rPr>
        <w:t>2.7“响应文件”是指：供应商根据本磋商文件要求，编制包含资格证明、报价、商务技术等所有内容的文件</w:t>
      </w:r>
      <w:r>
        <w:rPr>
          <w:rFonts w:hint="eastAsia" w:ascii="宋体" w:hAnsi="宋体" w:cs="宋体"/>
          <w:color w:val="auto"/>
          <w:spacing w:val="-6"/>
          <w:szCs w:val="21"/>
        </w:rPr>
        <w:t>。</w:t>
      </w:r>
    </w:p>
    <w:p w14:paraId="387E98BB">
      <w:pPr>
        <w:spacing w:line="440" w:lineRule="exact"/>
        <w:ind w:firstLine="420" w:firstLineChars="200"/>
        <w:contextualSpacing/>
        <w:rPr>
          <w:rFonts w:ascii="宋体" w:hAnsi="宋体" w:cs="宋体"/>
          <w:color w:val="auto"/>
          <w:szCs w:val="21"/>
        </w:rPr>
      </w:pPr>
      <w:r>
        <w:rPr>
          <w:rFonts w:hint="eastAsia" w:ascii="宋体" w:hAnsi="宋体" w:cs="宋体"/>
          <w:color w:val="auto"/>
          <w:szCs w:val="21"/>
        </w:rPr>
        <w:t>2.8“实质性要求”是指磋商文件中已经指明不满足则响应文件按无效处理的条款，或者不能负偏离的条款，或者采购需求中带“▲”的条款。</w:t>
      </w:r>
    </w:p>
    <w:p w14:paraId="0219172D">
      <w:pPr>
        <w:spacing w:line="440" w:lineRule="exact"/>
        <w:ind w:firstLine="420" w:firstLineChars="200"/>
        <w:contextualSpacing/>
        <w:rPr>
          <w:rFonts w:ascii="宋体" w:hAnsi="宋体" w:cs="宋体"/>
          <w:color w:val="auto"/>
          <w:szCs w:val="21"/>
        </w:rPr>
      </w:pPr>
      <w:r>
        <w:rPr>
          <w:rFonts w:hint="eastAsia" w:ascii="宋体" w:hAnsi="宋体" w:cs="宋体"/>
          <w:color w:val="auto"/>
          <w:szCs w:val="21"/>
        </w:rPr>
        <w:t>2.9“正偏离”，是指响应文件对磋商文件“采购需求”中有关条款作出的响应优于条款要求并有利于采购人的情形。</w:t>
      </w:r>
    </w:p>
    <w:p w14:paraId="687551A9">
      <w:pPr>
        <w:spacing w:line="440" w:lineRule="exact"/>
        <w:ind w:firstLine="420" w:firstLineChars="200"/>
        <w:contextualSpacing/>
        <w:rPr>
          <w:rFonts w:ascii="宋体" w:hAnsi="宋体" w:cs="宋体"/>
          <w:color w:val="auto"/>
          <w:szCs w:val="21"/>
        </w:rPr>
      </w:pPr>
      <w:r>
        <w:rPr>
          <w:rFonts w:hint="eastAsia" w:ascii="宋体" w:hAnsi="宋体" w:cs="宋体"/>
          <w:color w:val="auto"/>
          <w:szCs w:val="21"/>
        </w:rPr>
        <w:t>2.10“负偏离”，是指响应文件对磋商文件“采购需求”中有关条款作出的响应不满足条款要求，导致采购人要求不能得到满足的情形。</w:t>
      </w:r>
    </w:p>
    <w:p w14:paraId="30A92B86">
      <w:pPr>
        <w:spacing w:line="440" w:lineRule="exact"/>
        <w:ind w:firstLine="420" w:firstLineChars="200"/>
        <w:contextualSpacing/>
        <w:rPr>
          <w:rFonts w:ascii="宋体" w:hAnsi="宋体" w:cs="宋体"/>
          <w:color w:val="auto"/>
          <w:szCs w:val="21"/>
        </w:rPr>
      </w:pPr>
      <w:r>
        <w:rPr>
          <w:rFonts w:hint="eastAsia" w:ascii="宋体" w:hAnsi="宋体" w:cs="宋体"/>
          <w:color w:val="auto"/>
          <w:szCs w:val="21"/>
        </w:rPr>
        <w:t>2.11“允许负偏离的条款”是指采购需求中的不属于“实质性要求”的条款。</w:t>
      </w:r>
    </w:p>
    <w:p w14:paraId="357DCD52">
      <w:pPr>
        <w:spacing w:line="440" w:lineRule="exact"/>
        <w:ind w:firstLine="420" w:firstLineChars="200"/>
        <w:contextualSpacing/>
        <w:rPr>
          <w:rFonts w:ascii="宋体" w:hAnsi="宋体" w:cs="宋体"/>
          <w:color w:val="auto"/>
          <w:szCs w:val="21"/>
        </w:rPr>
      </w:pPr>
      <w:r>
        <w:rPr>
          <w:rFonts w:hint="eastAsia" w:ascii="宋体" w:hAnsi="宋体" w:cs="宋体"/>
          <w:color w:val="auto"/>
          <w:szCs w:val="21"/>
        </w:rPr>
        <w:t>2.12“首次报价”是指供应商提交的首次响应文件中的报价。</w:t>
      </w:r>
    </w:p>
    <w:p w14:paraId="2CE38583">
      <w:pPr>
        <w:spacing w:line="440" w:lineRule="exact"/>
        <w:ind w:firstLine="482" w:firstLineChars="200"/>
        <w:rPr>
          <w:rFonts w:ascii="宋体" w:hAnsi="宋体" w:cs="宋体"/>
          <w:b/>
          <w:bCs/>
          <w:color w:val="auto"/>
          <w:sz w:val="24"/>
        </w:rPr>
      </w:pPr>
      <w:r>
        <w:rPr>
          <w:rFonts w:hint="eastAsia" w:ascii="宋体" w:hAnsi="宋体" w:cs="宋体"/>
          <w:b/>
          <w:bCs/>
          <w:color w:val="auto"/>
          <w:sz w:val="24"/>
        </w:rPr>
        <w:t>3.供应商的资格条件</w:t>
      </w:r>
    </w:p>
    <w:p w14:paraId="3629E0F9">
      <w:pPr>
        <w:spacing w:line="440" w:lineRule="exact"/>
        <w:ind w:firstLine="420" w:firstLineChars="200"/>
        <w:rPr>
          <w:rFonts w:ascii="宋体" w:hAnsi="宋体" w:cs="宋体"/>
          <w:color w:val="auto"/>
          <w:szCs w:val="21"/>
        </w:rPr>
      </w:pPr>
      <w:r>
        <w:rPr>
          <w:rFonts w:hint="eastAsia" w:ascii="宋体" w:hAnsi="宋体" w:cs="宋体"/>
          <w:color w:val="auto"/>
          <w:szCs w:val="21"/>
        </w:rPr>
        <w:t>供应商的资格条件详见“供应商须知前附表”。</w:t>
      </w:r>
    </w:p>
    <w:p w14:paraId="59706300">
      <w:pPr>
        <w:spacing w:line="440" w:lineRule="exact"/>
        <w:ind w:firstLine="482" w:firstLineChars="200"/>
        <w:rPr>
          <w:rFonts w:ascii="宋体" w:hAnsi="宋体" w:cs="宋体"/>
          <w:b/>
          <w:bCs/>
          <w:color w:val="auto"/>
          <w:sz w:val="24"/>
        </w:rPr>
      </w:pPr>
      <w:r>
        <w:rPr>
          <w:rFonts w:hint="eastAsia" w:ascii="宋体" w:hAnsi="宋体" w:cs="宋体"/>
          <w:b/>
          <w:bCs/>
          <w:color w:val="auto"/>
          <w:sz w:val="24"/>
        </w:rPr>
        <w:t>4.竞标费用</w:t>
      </w:r>
    </w:p>
    <w:p w14:paraId="3F970BC2">
      <w:pPr>
        <w:spacing w:line="440" w:lineRule="exact"/>
        <w:ind w:firstLine="420" w:firstLineChars="200"/>
        <w:rPr>
          <w:rFonts w:ascii="宋体" w:hAnsi="宋体" w:cs="宋体"/>
          <w:color w:val="auto"/>
          <w:szCs w:val="21"/>
        </w:rPr>
      </w:pPr>
      <w:r>
        <w:rPr>
          <w:rFonts w:hint="eastAsia" w:ascii="宋体" w:hAnsi="宋体" w:cs="宋体"/>
          <w:color w:val="auto"/>
          <w:szCs w:val="21"/>
        </w:rPr>
        <w:t>供应商应承担参与本次采购活动有关的所有费用，包括但不限于获取磋商文件、勘查现场、编制和提交响应文件、参加磋商与应答、签订合同等，不论竞标结果如何，均应自行承担。</w:t>
      </w:r>
    </w:p>
    <w:p w14:paraId="7DAAD59F">
      <w:pPr>
        <w:spacing w:line="440" w:lineRule="exact"/>
        <w:ind w:firstLine="482" w:firstLineChars="200"/>
        <w:rPr>
          <w:rFonts w:ascii="宋体" w:hAnsi="宋体" w:cs="宋体"/>
          <w:b/>
          <w:bCs/>
          <w:color w:val="auto"/>
          <w:sz w:val="24"/>
        </w:rPr>
      </w:pPr>
      <w:r>
        <w:rPr>
          <w:rFonts w:hint="eastAsia" w:ascii="宋体" w:hAnsi="宋体" w:cs="宋体"/>
          <w:b/>
          <w:bCs/>
          <w:color w:val="auto"/>
          <w:sz w:val="24"/>
        </w:rPr>
        <w:t>5.联合体竞标</w:t>
      </w:r>
    </w:p>
    <w:p w14:paraId="05971AA0">
      <w:pPr>
        <w:spacing w:line="440" w:lineRule="exact"/>
        <w:ind w:firstLine="420" w:firstLineChars="200"/>
        <w:rPr>
          <w:rFonts w:ascii="宋体" w:hAnsi="宋体" w:cs="宋体"/>
          <w:color w:val="auto"/>
          <w:szCs w:val="21"/>
        </w:rPr>
      </w:pPr>
      <w:r>
        <w:rPr>
          <w:rFonts w:hint="eastAsia" w:ascii="宋体" w:hAnsi="宋体" w:cs="宋体"/>
          <w:color w:val="auto"/>
          <w:szCs w:val="21"/>
        </w:rPr>
        <w:t>5.1本项目是否接受联合体竞标，详见“供应商须知前附表”。</w:t>
      </w:r>
    </w:p>
    <w:p w14:paraId="63309D2C">
      <w:pPr>
        <w:spacing w:line="440" w:lineRule="exact"/>
        <w:ind w:firstLine="420" w:firstLineChars="200"/>
        <w:rPr>
          <w:rFonts w:ascii="宋体" w:hAnsi="宋体" w:cs="宋体"/>
          <w:color w:val="auto"/>
          <w:szCs w:val="21"/>
        </w:rPr>
      </w:pPr>
      <w:r>
        <w:rPr>
          <w:rFonts w:hint="eastAsia" w:ascii="宋体" w:hAnsi="宋体" w:cs="宋体"/>
          <w:color w:val="auto"/>
          <w:szCs w:val="21"/>
        </w:rPr>
        <w:t>5.2</w:t>
      </w:r>
      <w:r>
        <w:rPr>
          <w:rFonts w:hint="eastAsia" w:ascii="宋体" w:hAnsi="宋体" w:cs="宋体"/>
          <w:color w:val="auto"/>
        </w:rPr>
        <w:t>如接受联合体竞标，</w:t>
      </w:r>
      <w:r>
        <w:rPr>
          <w:rFonts w:hint="eastAsia" w:ascii="宋体" w:hAnsi="宋体" w:cs="宋体"/>
          <w:color w:val="auto"/>
          <w:szCs w:val="21"/>
        </w:rPr>
        <w:t>联合体竞标要求详见“供应商须知前附表”。</w:t>
      </w:r>
    </w:p>
    <w:p w14:paraId="7404808C">
      <w:pPr>
        <w:spacing w:line="440" w:lineRule="exact"/>
        <w:ind w:firstLine="420" w:firstLineChars="200"/>
        <w:rPr>
          <w:rFonts w:ascii="宋体" w:hAnsi="宋体" w:cs="宋体"/>
          <w:color w:val="auto"/>
          <w:szCs w:val="21"/>
        </w:rPr>
      </w:pPr>
      <w:r>
        <w:rPr>
          <w:rFonts w:hint="eastAsia" w:ascii="宋体" w:hAnsi="宋体" w:cs="宋体"/>
          <w:color w:val="auto"/>
          <w:szCs w:val="21"/>
        </w:rPr>
        <w:t>5.3</w:t>
      </w:r>
      <w:bookmarkStart w:id="57" w:name="_Hlk66782192"/>
      <w:r>
        <w:rPr>
          <w:rFonts w:hint="eastAsia" w:ascii="宋体" w:hAnsi="宋体" w:cs="宋体"/>
          <w:color w:val="auto"/>
          <w:szCs w:val="21"/>
        </w:rPr>
        <w:t>根据《政府采购促进中小企业发展管理办法》（财库〔2020〕46号）第九条第二款及《广西壮族自治区财政厅关于贯彻落实政府采购支持中小企业发展政策的通知》（桂财采〔2022〕31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1%-2%的扣除，用扣除后的价格参加评审。</w:t>
      </w:r>
      <w:bookmarkEnd w:id="57"/>
    </w:p>
    <w:p w14:paraId="1E8F4A4B">
      <w:pPr>
        <w:spacing w:line="440" w:lineRule="exact"/>
        <w:ind w:firstLine="482" w:firstLineChars="200"/>
        <w:rPr>
          <w:rFonts w:ascii="宋体" w:hAnsi="宋体" w:cs="宋体"/>
          <w:b/>
          <w:bCs/>
          <w:color w:val="auto"/>
          <w:sz w:val="24"/>
        </w:rPr>
      </w:pPr>
      <w:r>
        <w:rPr>
          <w:rFonts w:hint="eastAsia" w:ascii="宋体" w:hAnsi="宋体" w:cs="宋体"/>
          <w:b/>
          <w:bCs/>
          <w:color w:val="auto"/>
          <w:sz w:val="24"/>
        </w:rPr>
        <w:t xml:space="preserve">6.转包与分包             </w:t>
      </w:r>
    </w:p>
    <w:p w14:paraId="183BE044">
      <w:pPr>
        <w:spacing w:line="440" w:lineRule="exact"/>
        <w:ind w:left="420" w:leftChars="200"/>
        <w:rPr>
          <w:rFonts w:ascii="宋体" w:hAnsi="宋体" w:cs="宋体"/>
          <w:color w:val="auto"/>
          <w:szCs w:val="21"/>
        </w:rPr>
      </w:pPr>
      <w:bookmarkStart w:id="58" w:name="_Toc254970673"/>
      <w:bookmarkStart w:id="59" w:name="_Toc254970532"/>
      <w:r>
        <w:rPr>
          <w:rFonts w:hint="eastAsia" w:ascii="宋体" w:hAnsi="宋体" w:cs="宋体"/>
          <w:color w:val="auto"/>
          <w:szCs w:val="21"/>
        </w:rPr>
        <w:t>6.1本项目不允许转包。</w:t>
      </w:r>
    </w:p>
    <w:p w14:paraId="4BB7BD20">
      <w:pPr>
        <w:spacing w:line="440" w:lineRule="exact"/>
        <w:ind w:firstLine="315" w:firstLineChars="150"/>
        <w:rPr>
          <w:rFonts w:ascii="宋体" w:hAnsi="宋体" w:cs="宋体"/>
          <w:color w:val="auto"/>
          <w:szCs w:val="21"/>
        </w:rPr>
      </w:pPr>
      <w:r>
        <w:rPr>
          <w:rFonts w:hint="eastAsia" w:ascii="宋体" w:hAnsi="宋体" w:cs="宋体"/>
          <w:color w:val="auto"/>
          <w:szCs w:val="21"/>
        </w:rPr>
        <w:t xml:space="preserve"> 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39D4E21F">
      <w:pPr>
        <w:spacing w:line="440" w:lineRule="exact"/>
        <w:ind w:firstLine="315" w:firstLineChars="150"/>
        <w:rPr>
          <w:rFonts w:ascii="宋体" w:hAnsi="宋体" w:cs="宋体"/>
          <w:color w:val="auto"/>
          <w:szCs w:val="21"/>
        </w:rPr>
      </w:pPr>
      <w:r>
        <w:rPr>
          <w:rFonts w:hint="eastAsia" w:ascii="宋体" w:hAnsi="宋体" w:cs="宋体"/>
          <w:color w:val="auto"/>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134666DE">
      <w:pPr>
        <w:spacing w:line="440" w:lineRule="exact"/>
        <w:ind w:firstLine="482" w:firstLineChars="200"/>
        <w:rPr>
          <w:rFonts w:ascii="宋体" w:hAnsi="宋体" w:cs="宋体"/>
          <w:b/>
          <w:bCs/>
          <w:color w:val="auto"/>
          <w:sz w:val="24"/>
        </w:rPr>
      </w:pPr>
      <w:r>
        <w:rPr>
          <w:rFonts w:hint="eastAsia" w:ascii="宋体" w:hAnsi="宋体" w:cs="宋体"/>
          <w:b/>
          <w:bCs/>
          <w:color w:val="auto"/>
          <w:sz w:val="24"/>
        </w:rPr>
        <w:t>7.特别说明</w:t>
      </w:r>
      <w:bookmarkEnd w:id="58"/>
      <w:bookmarkEnd w:id="59"/>
    </w:p>
    <w:p w14:paraId="7BA1E1C2">
      <w:pPr>
        <w:spacing w:line="440" w:lineRule="exact"/>
        <w:ind w:firstLine="420" w:firstLineChars="200"/>
        <w:rPr>
          <w:rFonts w:ascii="宋体" w:hAnsi="宋体" w:cs="宋体"/>
          <w:color w:val="auto"/>
          <w:szCs w:val="21"/>
        </w:rPr>
      </w:pPr>
      <w:bookmarkStart w:id="60" w:name="_8.1提供相同品牌产品且通过资格审查、符合性审查的不同投标人参加同一合"/>
      <w:bookmarkEnd w:id="60"/>
      <w:r>
        <w:rPr>
          <w:rFonts w:hint="eastAsia" w:ascii="宋体" w:hAnsi="宋体" w:cs="宋体"/>
          <w:color w:val="auto"/>
          <w:szCs w:val="21"/>
        </w:rPr>
        <w:t>7.1</w:t>
      </w:r>
      <w:bookmarkStart w:id="61" w:name="_Hlk65832145"/>
      <w:r>
        <w:rPr>
          <w:rFonts w:hint="eastAsia" w:ascii="宋体" w:hAnsi="宋体" w:cs="宋体"/>
          <w:color w:val="auto"/>
          <w:szCs w:val="21"/>
        </w:rPr>
        <w:t>如果本磋商文件要求提供供应商或制造商的资格、信誉、荣誉、业绩与企业认证等材料的，资格、信誉、荣誉、业绩与企业认证等必须为供应商或者制造商所拥有或自身获得 。</w:t>
      </w:r>
    </w:p>
    <w:bookmarkEnd w:id="61"/>
    <w:p w14:paraId="67E4D93A">
      <w:pPr>
        <w:spacing w:line="440" w:lineRule="exact"/>
        <w:ind w:firstLine="420" w:firstLineChars="200"/>
        <w:rPr>
          <w:rFonts w:ascii="宋体" w:hAnsi="宋体" w:cs="宋体"/>
          <w:color w:val="auto"/>
          <w:szCs w:val="21"/>
        </w:rPr>
      </w:pPr>
      <w:r>
        <w:rPr>
          <w:rFonts w:hint="eastAsia" w:ascii="宋体" w:hAnsi="宋体" w:cs="宋体"/>
          <w:color w:val="auto"/>
          <w:szCs w:val="21"/>
        </w:rPr>
        <w:t>7.2供应商应仔细阅读磋商文件的所有内容，按照磋商文件的要求提交响应文件，并对所提供的全部资料的真实性承担法律责任。</w:t>
      </w:r>
    </w:p>
    <w:p w14:paraId="5660455B">
      <w:pPr>
        <w:spacing w:line="440" w:lineRule="exact"/>
        <w:ind w:firstLine="420" w:firstLineChars="200"/>
        <w:rPr>
          <w:rFonts w:ascii="宋体" w:hAnsi="宋体" w:cs="宋体"/>
          <w:color w:val="auto"/>
          <w:szCs w:val="21"/>
        </w:rPr>
      </w:pPr>
      <w:r>
        <w:rPr>
          <w:rFonts w:hint="eastAsia" w:ascii="宋体" w:hAnsi="宋体" w:cs="宋体"/>
          <w:color w:val="auto"/>
          <w:szCs w:val="21"/>
        </w:rPr>
        <w:t>7.3供应商在竞标活动中提供任何虚假材料谋取成交的，将报财政部门查处；签订合同后发现的，成交供应商须依照《中华人民共和国消费者权益保护法》规定赔偿采购人，且民事赔偿并不免除违法供应商的行政与刑事责任。</w:t>
      </w:r>
    </w:p>
    <w:p w14:paraId="128DFB94">
      <w:pPr>
        <w:spacing w:line="440" w:lineRule="exact"/>
        <w:ind w:firstLine="420" w:firstLineChars="200"/>
        <w:rPr>
          <w:rFonts w:ascii="宋体" w:hAnsi="宋体" w:cs="宋体"/>
          <w:color w:val="auto"/>
          <w:szCs w:val="21"/>
        </w:rPr>
      </w:pPr>
      <w:r>
        <w:rPr>
          <w:rFonts w:hint="eastAsia" w:ascii="宋体" w:hAnsi="宋体" w:cs="宋体"/>
          <w:color w:val="auto"/>
          <w:szCs w:val="21"/>
        </w:rPr>
        <w:t>7.4在政府采购活动中，采购人员及相关人员与供应商有下列利害关系之一的，应当回避：</w:t>
      </w:r>
    </w:p>
    <w:p w14:paraId="7DA4FF28">
      <w:pPr>
        <w:spacing w:line="440" w:lineRule="exact"/>
        <w:ind w:firstLine="420" w:firstLineChars="200"/>
        <w:rPr>
          <w:rFonts w:ascii="宋体" w:hAnsi="宋体" w:cs="宋体"/>
          <w:color w:val="auto"/>
          <w:szCs w:val="21"/>
        </w:rPr>
      </w:pPr>
      <w:r>
        <w:rPr>
          <w:rFonts w:hint="eastAsia" w:ascii="宋体" w:hAnsi="宋体" w:cs="宋体"/>
          <w:color w:val="auto"/>
          <w:szCs w:val="21"/>
        </w:rPr>
        <w:t>（1）参加采购活动前3年内与供应商存在劳动关系；</w:t>
      </w:r>
    </w:p>
    <w:p w14:paraId="51F642ED">
      <w:pPr>
        <w:spacing w:line="440" w:lineRule="exact"/>
        <w:ind w:firstLine="420" w:firstLineChars="200"/>
        <w:rPr>
          <w:rFonts w:ascii="宋体" w:hAnsi="宋体" w:cs="宋体"/>
          <w:color w:val="auto"/>
          <w:szCs w:val="21"/>
        </w:rPr>
      </w:pPr>
      <w:r>
        <w:rPr>
          <w:rFonts w:hint="eastAsia" w:ascii="宋体" w:hAnsi="宋体" w:cs="宋体"/>
          <w:color w:val="auto"/>
          <w:szCs w:val="21"/>
        </w:rPr>
        <w:t>（2）参加采购活动前3年内担任供应商的董事、监事；</w:t>
      </w:r>
    </w:p>
    <w:p w14:paraId="10A63301">
      <w:pPr>
        <w:spacing w:line="440" w:lineRule="exact"/>
        <w:ind w:firstLine="420" w:firstLineChars="200"/>
        <w:rPr>
          <w:rFonts w:ascii="宋体" w:hAnsi="宋体" w:cs="宋体"/>
          <w:color w:val="auto"/>
          <w:szCs w:val="21"/>
        </w:rPr>
      </w:pPr>
      <w:r>
        <w:rPr>
          <w:rFonts w:hint="eastAsia" w:ascii="宋体" w:hAnsi="宋体" w:cs="宋体"/>
          <w:color w:val="auto"/>
          <w:szCs w:val="21"/>
        </w:rPr>
        <w:t>（3）参加采购活动前3年内是供应商的控股股东或者实际控制人；</w:t>
      </w:r>
    </w:p>
    <w:p w14:paraId="2C3710F8">
      <w:pPr>
        <w:spacing w:line="440" w:lineRule="exact"/>
        <w:ind w:firstLine="420" w:firstLineChars="200"/>
        <w:rPr>
          <w:rFonts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14:paraId="34A0BF54">
      <w:pPr>
        <w:spacing w:line="440" w:lineRule="exact"/>
        <w:ind w:firstLine="420" w:firstLineChars="200"/>
        <w:rPr>
          <w:rFonts w:ascii="宋体" w:hAnsi="宋体" w:cs="宋体"/>
          <w:color w:val="auto"/>
          <w:szCs w:val="21"/>
        </w:rPr>
      </w:pPr>
      <w:r>
        <w:rPr>
          <w:rFonts w:hint="eastAsia" w:ascii="宋体" w:hAnsi="宋体" w:cs="宋体"/>
          <w:color w:val="auto"/>
          <w:szCs w:val="21"/>
        </w:rPr>
        <w:t>（5）与供应商有其他可能影响政府采购活动公平、公正进行的关系。</w:t>
      </w:r>
    </w:p>
    <w:p w14:paraId="547D05B9">
      <w:pPr>
        <w:spacing w:line="440" w:lineRule="exact"/>
        <w:ind w:firstLine="420" w:firstLineChars="200"/>
        <w:rPr>
          <w:rFonts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14524C0">
      <w:pPr>
        <w:spacing w:line="440" w:lineRule="exact"/>
        <w:ind w:firstLine="420" w:firstLineChars="200"/>
        <w:rPr>
          <w:rFonts w:ascii="宋体" w:hAnsi="宋体" w:cs="宋体"/>
          <w:color w:val="auto"/>
          <w:szCs w:val="21"/>
        </w:rPr>
      </w:pPr>
      <w:r>
        <w:rPr>
          <w:rFonts w:hint="eastAsia" w:ascii="宋体" w:hAnsi="宋体" w:cs="宋体"/>
          <w:color w:val="auto"/>
          <w:szCs w:val="21"/>
        </w:rPr>
        <w:t>7.5有下列情形之一的视为供应商相互串通竞标，响应文件将被视为无效：</w:t>
      </w:r>
    </w:p>
    <w:p w14:paraId="6B9BE820">
      <w:pPr>
        <w:spacing w:line="440" w:lineRule="exact"/>
        <w:ind w:firstLine="420" w:firstLineChars="200"/>
        <w:rPr>
          <w:rFonts w:ascii="宋体" w:hAnsi="宋体" w:cs="宋体"/>
          <w:color w:val="auto"/>
          <w:szCs w:val="21"/>
        </w:rPr>
      </w:pPr>
      <w:r>
        <w:rPr>
          <w:rFonts w:hint="eastAsia" w:ascii="宋体" w:hAnsi="宋体" w:cs="宋体"/>
          <w:color w:val="auto"/>
          <w:szCs w:val="21"/>
        </w:rPr>
        <w:t>（1）不同供应商的响应文件由同一单位或者个人编制</w:t>
      </w:r>
      <w:r>
        <w:rPr>
          <w:rFonts w:hint="eastAsia" w:ascii="宋体" w:hAnsi="宋体" w:cs="宋体"/>
          <w:color w:val="auto"/>
          <w:szCs w:val="21"/>
          <w:lang w:val="zh-CN"/>
        </w:rPr>
        <w:t>；或者不同供应商报名的IP地址一致的；</w:t>
      </w:r>
    </w:p>
    <w:p w14:paraId="10AEF6F3">
      <w:pPr>
        <w:spacing w:line="440" w:lineRule="exact"/>
        <w:ind w:firstLine="420" w:firstLineChars="200"/>
        <w:rPr>
          <w:rFonts w:ascii="宋体" w:hAnsi="宋体" w:cs="宋体"/>
          <w:color w:val="auto"/>
          <w:szCs w:val="21"/>
        </w:rPr>
      </w:pPr>
      <w:r>
        <w:rPr>
          <w:rFonts w:hint="eastAsia" w:ascii="宋体" w:hAnsi="宋体" w:cs="宋体"/>
          <w:color w:val="auto"/>
          <w:szCs w:val="21"/>
        </w:rPr>
        <w:t>（2）不同供应商委托同一单位或者个人办理竞标事宜；</w:t>
      </w:r>
    </w:p>
    <w:p w14:paraId="7E073003">
      <w:pPr>
        <w:spacing w:line="440" w:lineRule="exact"/>
        <w:ind w:firstLine="420" w:firstLineChars="200"/>
        <w:rPr>
          <w:rFonts w:ascii="宋体" w:hAnsi="宋体" w:cs="宋体"/>
          <w:color w:val="auto"/>
          <w:szCs w:val="21"/>
        </w:rPr>
      </w:pPr>
      <w:r>
        <w:rPr>
          <w:rFonts w:hint="eastAsia" w:ascii="宋体" w:hAnsi="宋体" w:cs="宋体"/>
          <w:color w:val="auto"/>
          <w:szCs w:val="21"/>
        </w:rPr>
        <w:t>（3）不同的供应商的响应文件载明的项目管理员为同一个人；</w:t>
      </w:r>
    </w:p>
    <w:p w14:paraId="7BE604A6">
      <w:pPr>
        <w:spacing w:line="440" w:lineRule="exact"/>
        <w:ind w:firstLine="420" w:firstLineChars="200"/>
        <w:rPr>
          <w:rFonts w:ascii="宋体" w:hAnsi="宋体" w:cs="宋体"/>
          <w:color w:val="auto"/>
          <w:szCs w:val="21"/>
        </w:rPr>
      </w:pPr>
      <w:r>
        <w:rPr>
          <w:rFonts w:hint="eastAsia" w:ascii="宋体" w:hAnsi="宋体" w:cs="宋体"/>
          <w:color w:val="auto"/>
          <w:szCs w:val="21"/>
        </w:rPr>
        <w:t>（4）不同供应商的响应文件异常一致或者报价呈规律性差异；</w:t>
      </w:r>
    </w:p>
    <w:p w14:paraId="2043641A">
      <w:pPr>
        <w:spacing w:line="440" w:lineRule="exact"/>
        <w:ind w:firstLine="420" w:firstLineChars="200"/>
        <w:rPr>
          <w:rFonts w:ascii="宋体" w:hAnsi="宋体" w:cs="宋体"/>
          <w:color w:val="auto"/>
          <w:szCs w:val="21"/>
        </w:rPr>
      </w:pPr>
      <w:r>
        <w:rPr>
          <w:rFonts w:hint="eastAsia" w:ascii="宋体" w:hAnsi="宋体" w:cs="宋体"/>
          <w:color w:val="auto"/>
          <w:szCs w:val="21"/>
        </w:rPr>
        <w:t>（5）不同供应商的响应文件相互混装；</w:t>
      </w:r>
    </w:p>
    <w:p w14:paraId="3B75BA38">
      <w:pPr>
        <w:tabs>
          <w:tab w:val="left" w:pos="6931"/>
        </w:tabs>
        <w:spacing w:line="440" w:lineRule="exact"/>
        <w:ind w:firstLine="420" w:firstLineChars="200"/>
        <w:rPr>
          <w:rFonts w:ascii="宋体" w:hAnsi="宋体" w:cs="宋体"/>
          <w:color w:val="auto"/>
          <w:szCs w:val="21"/>
        </w:rPr>
      </w:pPr>
      <w:r>
        <w:rPr>
          <w:rFonts w:hint="eastAsia" w:ascii="宋体" w:hAnsi="宋体" w:cs="宋体"/>
          <w:color w:val="auto"/>
          <w:szCs w:val="21"/>
        </w:rPr>
        <w:t>（6）不同供应商的磋商保证金从同一单位或者个人账户转出。</w:t>
      </w:r>
      <w:r>
        <w:rPr>
          <w:rFonts w:hint="eastAsia" w:ascii="宋体" w:hAnsi="宋体" w:cs="宋体"/>
          <w:color w:val="auto"/>
          <w:szCs w:val="21"/>
        </w:rPr>
        <w:tab/>
      </w:r>
    </w:p>
    <w:p w14:paraId="3BE083EE">
      <w:pPr>
        <w:spacing w:line="440" w:lineRule="exact"/>
        <w:ind w:firstLine="420" w:firstLineChars="200"/>
        <w:rPr>
          <w:rFonts w:ascii="宋体" w:hAnsi="宋体" w:cs="宋体"/>
          <w:color w:val="auto"/>
          <w:szCs w:val="21"/>
        </w:rPr>
      </w:pPr>
      <w:r>
        <w:rPr>
          <w:rFonts w:hint="eastAsia" w:ascii="宋体" w:hAnsi="宋体" w:cs="宋体"/>
          <w:color w:val="auto"/>
          <w:szCs w:val="21"/>
        </w:rPr>
        <w:t>7.6供应商有下列情形之一的，属于恶意串通行为，将报同级监督管理部门：</w:t>
      </w:r>
    </w:p>
    <w:p w14:paraId="7DF4E4D7">
      <w:pPr>
        <w:spacing w:line="440" w:lineRule="exact"/>
        <w:ind w:firstLine="420" w:firstLineChars="200"/>
        <w:rPr>
          <w:rFonts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w:t>
      </w:r>
    </w:p>
    <w:p w14:paraId="6B40E7D3">
      <w:pPr>
        <w:spacing w:line="440" w:lineRule="exact"/>
        <w:ind w:firstLine="420" w:firstLineChars="200"/>
        <w:rPr>
          <w:rFonts w:ascii="宋体" w:hAnsi="宋体" w:cs="宋体"/>
          <w:color w:val="auto"/>
          <w:szCs w:val="21"/>
        </w:rPr>
      </w:pPr>
      <w:r>
        <w:rPr>
          <w:rFonts w:hint="eastAsia" w:ascii="宋体" w:hAnsi="宋体" w:cs="宋体"/>
          <w:color w:val="auto"/>
          <w:szCs w:val="21"/>
        </w:rPr>
        <w:t>（2）供应商按照采购人或者采购代理机构的授意撤换、修改响应文件；</w:t>
      </w:r>
    </w:p>
    <w:p w14:paraId="663234C9">
      <w:pPr>
        <w:spacing w:line="440" w:lineRule="exact"/>
        <w:ind w:firstLine="420" w:firstLineChars="200"/>
        <w:rPr>
          <w:rFonts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14:paraId="6AB78D78">
      <w:pPr>
        <w:spacing w:line="440" w:lineRule="exact"/>
        <w:ind w:firstLine="420" w:firstLineChars="200"/>
        <w:rPr>
          <w:rFonts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14:paraId="7D622C3C">
      <w:pPr>
        <w:spacing w:line="440" w:lineRule="exact"/>
        <w:ind w:firstLine="420" w:firstLineChars="200"/>
        <w:rPr>
          <w:rFonts w:ascii="宋体" w:hAnsi="宋体" w:cs="宋体"/>
          <w:color w:val="auto"/>
          <w:szCs w:val="21"/>
        </w:rPr>
      </w:pPr>
      <w:r>
        <w:rPr>
          <w:rFonts w:hint="eastAsia" w:ascii="宋体" w:hAnsi="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22920FE5">
      <w:pPr>
        <w:spacing w:line="440" w:lineRule="exact"/>
        <w:ind w:firstLine="420" w:firstLineChars="200"/>
        <w:rPr>
          <w:rFonts w:ascii="宋体" w:hAnsi="宋体" w:cs="宋体"/>
          <w:color w:val="auto"/>
          <w:szCs w:val="21"/>
        </w:rPr>
      </w:pPr>
      <w:r>
        <w:rPr>
          <w:rFonts w:hint="eastAsia" w:ascii="宋体" w:hAnsi="宋体" w:cs="宋体"/>
          <w:color w:val="auto"/>
          <w:szCs w:val="21"/>
        </w:rPr>
        <w:t>（6）供应商之间商定部分供应商放弃参加政府采购活动或者放弃成交；</w:t>
      </w:r>
    </w:p>
    <w:p w14:paraId="26BDD455">
      <w:pPr>
        <w:spacing w:line="440" w:lineRule="exact"/>
        <w:ind w:firstLine="420" w:firstLineChars="200"/>
        <w:rPr>
          <w:rFonts w:ascii="宋体" w:hAnsi="宋体" w:cs="宋体"/>
          <w:color w:val="auto"/>
          <w:szCs w:val="21"/>
        </w:rPr>
      </w:pPr>
      <w:r>
        <w:rPr>
          <w:rFonts w:hint="eastAsia" w:ascii="宋体" w:hAnsi="宋体" w:cs="宋体"/>
          <w:color w:val="auto"/>
          <w:szCs w:val="21"/>
        </w:rPr>
        <w:t>（7）供应商与采购人或者采购代理机构之间、供应商相互之间，为谋求特定供应商成交或者排斥其他供应商的其他串通行为。</w:t>
      </w:r>
    </w:p>
    <w:p w14:paraId="242C8FC4">
      <w:pPr>
        <w:spacing w:line="440" w:lineRule="exact"/>
        <w:rPr>
          <w:rFonts w:ascii="宋体" w:hAnsi="宋体" w:cs="宋体"/>
          <w:color w:val="auto"/>
        </w:rPr>
      </w:pPr>
      <w:bookmarkStart w:id="62" w:name="_Toc254970534"/>
      <w:bookmarkStart w:id="63" w:name="_Toc254970675"/>
    </w:p>
    <w:p w14:paraId="66AB0ECD">
      <w:pPr>
        <w:spacing w:line="440" w:lineRule="exact"/>
        <w:jc w:val="center"/>
        <w:rPr>
          <w:rFonts w:ascii="宋体" w:hAnsi="宋体" w:cs="宋体"/>
          <w:color w:val="auto"/>
          <w:szCs w:val="21"/>
        </w:rPr>
      </w:pPr>
      <w:r>
        <w:rPr>
          <w:rFonts w:hint="eastAsia" w:ascii="宋体" w:hAnsi="宋体" w:cs="宋体"/>
          <w:b/>
          <w:bCs/>
          <w:color w:val="auto"/>
          <w:sz w:val="32"/>
          <w:szCs w:val="32"/>
        </w:rPr>
        <w:t>二、磋商文件</w:t>
      </w:r>
      <w:bookmarkEnd w:id="62"/>
      <w:bookmarkEnd w:id="63"/>
    </w:p>
    <w:p w14:paraId="24C74D61">
      <w:pPr>
        <w:spacing w:line="440" w:lineRule="exact"/>
        <w:ind w:firstLine="482" w:firstLineChars="200"/>
        <w:rPr>
          <w:rFonts w:ascii="宋体" w:hAnsi="宋体" w:cs="宋体"/>
          <w:b/>
          <w:bCs/>
          <w:color w:val="auto"/>
          <w:sz w:val="24"/>
        </w:rPr>
      </w:pPr>
      <w:r>
        <w:rPr>
          <w:rFonts w:hint="eastAsia" w:ascii="宋体" w:hAnsi="宋体" w:cs="宋体"/>
          <w:b/>
          <w:bCs/>
          <w:color w:val="auto"/>
          <w:sz w:val="24"/>
        </w:rPr>
        <w:t>8.磋商文件的构成</w:t>
      </w:r>
    </w:p>
    <w:p w14:paraId="66145087">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第一章  竞争性磋商公告；</w:t>
      </w:r>
    </w:p>
    <w:p w14:paraId="4306FBDB">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第二章  供应商须知； </w:t>
      </w:r>
    </w:p>
    <w:p w14:paraId="10248B9B">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第三章  采购需求；</w:t>
      </w:r>
    </w:p>
    <w:p w14:paraId="27FCF33F">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第四章  评审程序、评审方法和评审标准；</w:t>
      </w:r>
    </w:p>
    <w:p w14:paraId="37EFF76D">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第五章  工程量清单及图纸；</w:t>
      </w:r>
    </w:p>
    <w:p w14:paraId="3E3830ED">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第六章  响应文件格式；</w:t>
      </w:r>
    </w:p>
    <w:p w14:paraId="49004F21">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第七章  合同条款及格式；</w:t>
      </w:r>
    </w:p>
    <w:p w14:paraId="2BFEA484">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第八章  技术标准、规范。</w:t>
      </w:r>
    </w:p>
    <w:p w14:paraId="06CC6A86">
      <w:pPr>
        <w:spacing w:line="440" w:lineRule="exact"/>
        <w:ind w:firstLine="482" w:firstLineChars="200"/>
        <w:rPr>
          <w:rFonts w:ascii="宋体" w:hAnsi="宋体" w:cs="宋体"/>
          <w:b/>
          <w:bCs/>
          <w:color w:val="auto"/>
          <w:sz w:val="24"/>
        </w:rPr>
      </w:pPr>
      <w:r>
        <w:rPr>
          <w:rFonts w:hint="eastAsia" w:ascii="宋体" w:hAnsi="宋体" w:cs="宋体"/>
          <w:b/>
          <w:bCs/>
          <w:color w:val="auto"/>
          <w:sz w:val="24"/>
        </w:rPr>
        <w:t>9.供应商的询问</w:t>
      </w:r>
    </w:p>
    <w:p w14:paraId="6014BD73">
      <w:pPr>
        <w:spacing w:line="440" w:lineRule="exact"/>
        <w:ind w:firstLine="420" w:firstLineChars="200"/>
        <w:rPr>
          <w:rFonts w:ascii="宋体" w:hAnsi="宋体" w:cs="宋体"/>
          <w:color w:val="auto"/>
          <w:szCs w:val="21"/>
        </w:rPr>
      </w:pPr>
      <w:r>
        <w:rPr>
          <w:rFonts w:hint="eastAsia" w:ascii="宋体" w:hAnsi="宋体" w:cs="宋体"/>
          <w:color w:val="auto"/>
          <w:szCs w:val="21"/>
        </w:rPr>
        <w:t>供应商应认真阅读磋商文件的采购需求，如供应商对磋商文件有疑问的，如要求采购人作出澄清或者修改的，供应商尽可能在提交首次响应文件截止之日前，以书面形式向采购人、采购代理机构提出。否则，由此产生的后果由供应商自行负责。</w:t>
      </w:r>
    </w:p>
    <w:p w14:paraId="38BB75D1">
      <w:pPr>
        <w:spacing w:line="440" w:lineRule="exact"/>
        <w:ind w:firstLine="482" w:firstLineChars="200"/>
        <w:rPr>
          <w:rFonts w:ascii="宋体" w:hAnsi="宋体" w:cs="宋体"/>
          <w:b/>
          <w:bCs/>
          <w:color w:val="auto"/>
          <w:sz w:val="24"/>
        </w:rPr>
      </w:pPr>
      <w:r>
        <w:rPr>
          <w:rFonts w:hint="eastAsia" w:ascii="宋体" w:hAnsi="宋体" w:cs="宋体"/>
          <w:b/>
          <w:bCs/>
          <w:color w:val="auto"/>
          <w:sz w:val="24"/>
        </w:rPr>
        <w:t>10.磋商文件的澄清和修改</w:t>
      </w:r>
    </w:p>
    <w:p w14:paraId="27B6ADA2">
      <w:pPr>
        <w:spacing w:line="440" w:lineRule="exact"/>
        <w:ind w:firstLine="420" w:firstLineChars="200"/>
        <w:rPr>
          <w:rFonts w:ascii="宋体" w:hAnsi="宋体" w:cs="宋体"/>
          <w:color w:val="auto"/>
          <w:szCs w:val="21"/>
        </w:rPr>
      </w:pPr>
      <w:r>
        <w:rPr>
          <w:rFonts w:hint="eastAsia" w:ascii="宋体" w:hAnsi="宋体" w:cs="宋体"/>
          <w:color w:val="auto"/>
          <w:szCs w:val="21"/>
        </w:rPr>
        <w:t>提交首次响应文件截止之日前，采购人或者采购代理机构可以对已发出的磋商文件进行必要的澄清或者修改，澄清或者修改的内容作为磋商文件的组成部分，澄清或者修改将在原公告发布媒体上发布更正公告。澄清或者修改的内容可能影响响应文件编制的，采购人或者采购代理机构应当在提交首次响应文件截止之日5日前，以书面形式通知所有获取磋商文件的供应商，不足5日的，应当顺延提交首次响应文件截止之日。</w:t>
      </w:r>
    </w:p>
    <w:p w14:paraId="065762F6">
      <w:pPr>
        <w:spacing w:line="440" w:lineRule="exact"/>
        <w:ind w:firstLine="420" w:firstLineChars="200"/>
        <w:rPr>
          <w:rFonts w:ascii="宋体" w:hAnsi="宋体" w:cs="宋体"/>
          <w:color w:val="auto"/>
          <w:szCs w:val="21"/>
        </w:rPr>
      </w:pPr>
      <w:r>
        <w:rPr>
          <w:rFonts w:hint="eastAsia" w:ascii="宋体" w:hAnsi="宋体" w:cs="宋体"/>
          <w:color w:val="auto"/>
          <w:szCs w:val="21"/>
        </w:rPr>
        <w:t>采购人和采购代理机构可以视采购具体情况，变更首次响应文件提交截止时间和开启时间，并在原公告发布媒体上发布更正公告。</w:t>
      </w:r>
    </w:p>
    <w:p w14:paraId="2AB42D17">
      <w:pPr>
        <w:spacing w:line="440" w:lineRule="exact"/>
        <w:ind w:firstLine="420" w:firstLineChars="200"/>
        <w:rPr>
          <w:rFonts w:ascii="宋体" w:hAnsi="宋体" w:cs="宋体"/>
          <w:color w:val="auto"/>
          <w:szCs w:val="21"/>
        </w:rPr>
      </w:pPr>
      <w:r>
        <w:rPr>
          <w:rFonts w:hint="eastAsia" w:ascii="宋体" w:hAnsi="宋体" w:cs="宋体"/>
          <w:color w:val="auto"/>
          <w:szCs w:val="21"/>
        </w:rPr>
        <w:t>磋商文件澄清、答复、修改、补充的内容为磋商文件的组成部分。当磋商文件与磋商文件的澄清、答复、修改、补充通知就同一内容的表述不一致时，以最后发出的书面文件为准。</w:t>
      </w:r>
    </w:p>
    <w:p w14:paraId="4F3F5378">
      <w:pPr>
        <w:spacing w:line="440" w:lineRule="exact"/>
        <w:ind w:firstLine="420" w:firstLineChars="200"/>
        <w:rPr>
          <w:rFonts w:ascii="宋体" w:hAnsi="宋体" w:cs="宋体"/>
          <w:color w:val="auto"/>
          <w:szCs w:val="21"/>
        </w:rPr>
      </w:pPr>
      <w:r>
        <w:rPr>
          <w:rFonts w:hint="eastAsia" w:ascii="宋体" w:hAnsi="宋体" w:cs="宋体"/>
          <w:color w:val="auto"/>
          <w:szCs w:val="21"/>
        </w:rPr>
        <w:t>响应文件未按磋商文件的澄清、修改后的内容编制的，其响应文件作无效响应处理。</w:t>
      </w:r>
    </w:p>
    <w:p w14:paraId="025C22D6">
      <w:pPr>
        <w:spacing w:line="440" w:lineRule="exact"/>
        <w:jc w:val="center"/>
        <w:rPr>
          <w:rFonts w:ascii="宋体" w:hAnsi="宋体" w:cs="宋体"/>
          <w:b/>
          <w:bCs/>
          <w:color w:val="auto"/>
          <w:szCs w:val="21"/>
        </w:rPr>
      </w:pPr>
      <w:r>
        <w:rPr>
          <w:rFonts w:hint="eastAsia" w:ascii="宋体" w:hAnsi="宋体" w:cs="宋体"/>
          <w:b/>
          <w:bCs/>
          <w:color w:val="auto"/>
          <w:sz w:val="32"/>
          <w:szCs w:val="32"/>
        </w:rPr>
        <w:t>三、响应文件的编制</w:t>
      </w:r>
    </w:p>
    <w:p w14:paraId="17D512EF">
      <w:pPr>
        <w:spacing w:line="440" w:lineRule="exact"/>
        <w:rPr>
          <w:rFonts w:ascii="宋体" w:hAnsi="宋体" w:cs="宋体"/>
          <w:color w:val="auto"/>
          <w:szCs w:val="21"/>
        </w:rPr>
      </w:pPr>
    </w:p>
    <w:p w14:paraId="52361560">
      <w:pPr>
        <w:spacing w:line="440" w:lineRule="exact"/>
        <w:ind w:firstLine="482" w:firstLineChars="200"/>
        <w:rPr>
          <w:rFonts w:ascii="宋体" w:hAnsi="宋体" w:cs="宋体"/>
          <w:b/>
          <w:bCs/>
          <w:color w:val="auto"/>
          <w:sz w:val="24"/>
        </w:rPr>
      </w:pPr>
      <w:r>
        <w:rPr>
          <w:rFonts w:hint="eastAsia" w:ascii="宋体" w:hAnsi="宋体" w:cs="宋体"/>
          <w:b/>
          <w:bCs/>
          <w:color w:val="auto"/>
          <w:sz w:val="24"/>
        </w:rPr>
        <w:t>11.响应文件的编制原则</w:t>
      </w:r>
    </w:p>
    <w:p w14:paraId="639AF8E5">
      <w:pPr>
        <w:spacing w:line="440" w:lineRule="exact"/>
        <w:ind w:firstLine="420" w:firstLineChars="200"/>
        <w:rPr>
          <w:rFonts w:ascii="宋体" w:hAnsi="宋体" w:cs="宋体"/>
          <w:color w:val="auto"/>
          <w:szCs w:val="21"/>
        </w:rPr>
      </w:pPr>
      <w:r>
        <w:rPr>
          <w:rFonts w:hint="eastAsia" w:ascii="宋体" w:hAnsi="宋体" w:cs="宋体"/>
          <w:color w:val="auto"/>
          <w:szCs w:val="21"/>
        </w:rPr>
        <w:t>供应商必须按照磋商文件的要求编制响应文件，并对其提交的响应文件的真实性、合法性承担法律责任。响应文件必须对磋商文件作出实质性响应。</w:t>
      </w:r>
    </w:p>
    <w:p w14:paraId="61D0EF87">
      <w:pPr>
        <w:spacing w:line="440" w:lineRule="exact"/>
        <w:ind w:firstLine="482" w:firstLineChars="200"/>
        <w:rPr>
          <w:rFonts w:ascii="宋体" w:hAnsi="宋体" w:cs="宋体"/>
          <w:b/>
          <w:bCs/>
          <w:color w:val="auto"/>
          <w:sz w:val="24"/>
        </w:rPr>
      </w:pPr>
      <w:r>
        <w:rPr>
          <w:rFonts w:hint="eastAsia" w:ascii="宋体" w:hAnsi="宋体" w:cs="宋体"/>
          <w:b/>
          <w:bCs/>
          <w:color w:val="auto"/>
          <w:sz w:val="24"/>
        </w:rPr>
        <w:t>12.响应文件的组成</w:t>
      </w:r>
    </w:p>
    <w:p w14:paraId="49094237">
      <w:pPr>
        <w:spacing w:line="440" w:lineRule="exact"/>
        <w:ind w:firstLine="420" w:firstLineChars="200"/>
        <w:rPr>
          <w:rFonts w:ascii="宋体" w:hAnsi="宋体" w:cs="宋体"/>
          <w:color w:val="auto"/>
          <w:szCs w:val="21"/>
        </w:rPr>
      </w:pPr>
      <w:r>
        <w:rPr>
          <w:rFonts w:hint="eastAsia" w:ascii="宋体" w:hAnsi="宋体" w:cs="宋体"/>
          <w:color w:val="auto"/>
          <w:szCs w:val="21"/>
        </w:rPr>
        <w:t>12.1响应文件由资格证明文件、报价文件、商务技术文件三部分组成。</w:t>
      </w:r>
    </w:p>
    <w:p w14:paraId="3E2751B5">
      <w:pPr>
        <w:spacing w:line="440" w:lineRule="exact"/>
        <w:ind w:left="840" w:leftChars="200" w:hanging="420" w:hangingChars="200"/>
        <w:rPr>
          <w:rFonts w:ascii="宋体" w:hAnsi="宋体" w:cs="宋体"/>
          <w:color w:val="auto"/>
          <w:szCs w:val="21"/>
        </w:rPr>
      </w:pPr>
      <w:r>
        <w:rPr>
          <w:rFonts w:hint="eastAsia" w:ascii="宋体" w:hAnsi="宋体" w:cs="宋体"/>
          <w:color w:val="auto"/>
          <w:szCs w:val="21"/>
        </w:rPr>
        <w:t>12.1.1资格证明文件：详见“供应商须知前附表”</w:t>
      </w:r>
    </w:p>
    <w:p w14:paraId="2374FE3C">
      <w:pPr>
        <w:spacing w:line="440" w:lineRule="exact"/>
        <w:ind w:left="840" w:leftChars="200" w:hanging="420" w:hangingChars="200"/>
        <w:rPr>
          <w:rFonts w:ascii="宋体" w:hAnsi="宋体" w:cs="宋体"/>
          <w:color w:val="auto"/>
          <w:szCs w:val="21"/>
        </w:rPr>
      </w:pPr>
      <w:r>
        <w:rPr>
          <w:rFonts w:hint="eastAsia" w:ascii="宋体" w:hAnsi="宋体" w:cs="宋体"/>
          <w:color w:val="auto"/>
          <w:szCs w:val="21"/>
        </w:rPr>
        <w:t>12.1.2报价文件：详见“供应商须知前附表”</w:t>
      </w:r>
    </w:p>
    <w:p w14:paraId="5D859E1C">
      <w:pPr>
        <w:spacing w:line="440" w:lineRule="exact"/>
        <w:ind w:left="840" w:leftChars="200" w:hanging="420" w:hangingChars="200"/>
        <w:rPr>
          <w:rFonts w:ascii="宋体" w:hAnsi="宋体" w:cs="宋体"/>
          <w:color w:val="auto"/>
          <w:szCs w:val="21"/>
        </w:rPr>
      </w:pPr>
      <w:r>
        <w:rPr>
          <w:rFonts w:hint="eastAsia" w:ascii="宋体" w:hAnsi="宋体" w:cs="宋体"/>
          <w:color w:val="auto"/>
          <w:szCs w:val="21"/>
        </w:rPr>
        <w:t>12.1.3商务技术文件：详见“供应商须知前附表”</w:t>
      </w:r>
    </w:p>
    <w:p w14:paraId="7B9468C3">
      <w:pPr>
        <w:spacing w:line="440" w:lineRule="exact"/>
        <w:ind w:firstLine="482" w:firstLineChars="200"/>
        <w:rPr>
          <w:rFonts w:ascii="宋体" w:hAnsi="宋体" w:cs="宋体"/>
          <w:b/>
          <w:bCs/>
          <w:color w:val="auto"/>
          <w:sz w:val="24"/>
        </w:rPr>
      </w:pPr>
      <w:r>
        <w:rPr>
          <w:rFonts w:hint="eastAsia" w:ascii="宋体" w:hAnsi="宋体" w:cs="宋体"/>
          <w:b/>
          <w:bCs/>
          <w:color w:val="auto"/>
          <w:sz w:val="24"/>
        </w:rPr>
        <w:t>13.计量单位</w:t>
      </w:r>
    </w:p>
    <w:p w14:paraId="4CBF6169">
      <w:pPr>
        <w:spacing w:line="440" w:lineRule="exact"/>
        <w:ind w:firstLine="420" w:firstLineChars="200"/>
        <w:rPr>
          <w:rFonts w:ascii="宋体" w:hAnsi="宋体" w:cs="宋体"/>
          <w:color w:val="auto"/>
          <w:szCs w:val="21"/>
        </w:rPr>
      </w:pPr>
      <w:r>
        <w:rPr>
          <w:rFonts w:hint="eastAsia" w:ascii="宋体" w:hAnsi="宋体" w:cs="宋体"/>
          <w:color w:val="auto"/>
          <w:szCs w:val="21"/>
        </w:rPr>
        <w:t>磋商文件已有明确规定的，使用磋商文件规定的计量单位；磋商文件没有规定的，应采用中华人民共和国法定计量单位，货币种类为人民币，否则视同未响应。</w:t>
      </w:r>
    </w:p>
    <w:p w14:paraId="3AD768B6">
      <w:pPr>
        <w:spacing w:line="440" w:lineRule="exact"/>
        <w:ind w:firstLine="482" w:firstLineChars="200"/>
        <w:rPr>
          <w:rFonts w:ascii="宋体" w:hAnsi="宋体" w:cs="宋体"/>
          <w:b/>
          <w:bCs/>
          <w:color w:val="auto"/>
          <w:sz w:val="24"/>
        </w:rPr>
      </w:pPr>
      <w:r>
        <w:rPr>
          <w:rFonts w:hint="eastAsia" w:ascii="宋体" w:hAnsi="宋体" w:cs="宋体"/>
          <w:b/>
          <w:bCs/>
          <w:color w:val="auto"/>
          <w:sz w:val="24"/>
        </w:rPr>
        <w:t>14.竞标的风险</w:t>
      </w:r>
    </w:p>
    <w:p w14:paraId="10DF68DA">
      <w:pPr>
        <w:spacing w:line="440" w:lineRule="exact"/>
        <w:ind w:firstLine="420" w:firstLineChars="200"/>
        <w:rPr>
          <w:rFonts w:ascii="宋体" w:hAnsi="宋体" w:cs="宋体"/>
          <w:color w:val="auto"/>
          <w:szCs w:val="21"/>
        </w:rPr>
      </w:pPr>
      <w:r>
        <w:rPr>
          <w:rFonts w:hint="eastAsia" w:ascii="宋体" w:hAnsi="宋体" w:cs="宋体"/>
          <w:color w:val="auto"/>
          <w:szCs w:val="21"/>
        </w:rPr>
        <w:t>供应商没有按照磋商文件要求提供全部资料，或者供应商没有对磋商文件在各方面作出实质性响应可能导致其响应无效，是供应商应当考虑的风险。</w:t>
      </w:r>
    </w:p>
    <w:p w14:paraId="20E83AE2">
      <w:pPr>
        <w:spacing w:line="440" w:lineRule="exact"/>
        <w:ind w:firstLine="482" w:firstLineChars="200"/>
        <w:rPr>
          <w:rFonts w:ascii="宋体" w:hAnsi="宋体" w:cs="宋体"/>
          <w:b/>
          <w:bCs/>
          <w:color w:val="auto"/>
          <w:sz w:val="24"/>
        </w:rPr>
      </w:pPr>
      <w:r>
        <w:rPr>
          <w:rFonts w:hint="eastAsia" w:ascii="宋体" w:hAnsi="宋体" w:cs="宋体"/>
          <w:b/>
          <w:bCs/>
          <w:color w:val="auto"/>
          <w:sz w:val="24"/>
        </w:rPr>
        <w:t>15.竞标报价</w:t>
      </w:r>
    </w:p>
    <w:p w14:paraId="769465E1">
      <w:pPr>
        <w:tabs>
          <w:tab w:val="left" w:pos="2492"/>
        </w:tabs>
        <w:spacing w:line="440" w:lineRule="exact"/>
        <w:ind w:firstLine="420" w:firstLineChars="200"/>
        <w:rPr>
          <w:rFonts w:ascii="宋体" w:hAnsi="宋体" w:cs="宋体"/>
          <w:color w:val="auto"/>
          <w:szCs w:val="21"/>
        </w:rPr>
      </w:pPr>
      <w:r>
        <w:rPr>
          <w:rFonts w:hint="eastAsia" w:ascii="宋体" w:hAnsi="宋体" w:cs="宋体"/>
          <w:color w:val="auto"/>
          <w:szCs w:val="21"/>
        </w:rPr>
        <w:t>15.1竞标报价应按磋商文件中“竞标报价表”及“已标价工程量清单”格式填写。</w:t>
      </w:r>
    </w:p>
    <w:p w14:paraId="31D46E58">
      <w:pPr>
        <w:tabs>
          <w:tab w:val="left" w:pos="2492"/>
        </w:tabs>
        <w:spacing w:line="440" w:lineRule="exact"/>
        <w:ind w:firstLine="420" w:firstLineChars="200"/>
        <w:rPr>
          <w:rFonts w:ascii="宋体" w:hAnsi="宋体" w:cs="宋体"/>
          <w:color w:val="auto"/>
          <w:szCs w:val="21"/>
        </w:rPr>
      </w:pPr>
      <w:r>
        <w:rPr>
          <w:rFonts w:hint="eastAsia" w:ascii="宋体" w:hAnsi="宋体" w:cs="宋体"/>
          <w:color w:val="auto"/>
          <w:szCs w:val="21"/>
        </w:rPr>
        <w:t>磋商供应商报价以工程量清单报价为准。磋商供应商的磋商报价须按竞争性磋商采购文件及澄清答疑中所确认的工程量清单进行报价。小写与大写不符的，以大写为准。如果因磋商供应商原因引起的报价失误，同时又被磋商时所接受，其后果由磋商供应商自负。</w:t>
      </w:r>
    </w:p>
    <w:p w14:paraId="03E7BE61">
      <w:pPr>
        <w:tabs>
          <w:tab w:val="left" w:pos="2492"/>
        </w:tabs>
        <w:spacing w:line="440" w:lineRule="exact"/>
        <w:ind w:firstLine="420" w:firstLineChars="200"/>
        <w:rPr>
          <w:rFonts w:ascii="宋体" w:hAnsi="宋体" w:cs="宋体"/>
          <w:color w:val="auto"/>
          <w:szCs w:val="21"/>
        </w:rPr>
      </w:pPr>
      <w:r>
        <w:rPr>
          <w:rFonts w:hint="eastAsia" w:ascii="宋体" w:hAnsi="宋体" w:cs="宋体"/>
          <w:color w:val="auto"/>
          <w:szCs w:val="21"/>
        </w:rPr>
        <w:t>报价汇总表中的价格应包括施工设备、劳务、管理、材料、安装、安全生产费、维护、保险、利润、税金、政策性文件规定及合同包含的应有风险、责任等所有成本费用的总和。</w:t>
      </w:r>
    </w:p>
    <w:p w14:paraId="4267D464">
      <w:pPr>
        <w:tabs>
          <w:tab w:val="left" w:pos="2492"/>
        </w:tabs>
        <w:spacing w:line="440" w:lineRule="exact"/>
        <w:ind w:firstLine="420" w:firstLineChars="200"/>
        <w:rPr>
          <w:rFonts w:ascii="宋体" w:hAnsi="宋体" w:cs="宋体"/>
          <w:color w:val="auto"/>
          <w:szCs w:val="21"/>
        </w:rPr>
      </w:pPr>
      <w:r>
        <w:rPr>
          <w:rFonts w:hint="eastAsia" w:ascii="宋体" w:hAnsi="宋体" w:cs="宋体"/>
          <w:color w:val="auto"/>
          <w:szCs w:val="21"/>
        </w:rPr>
        <w:t>15.2竞标报价的内容见“供应商须知前附表”。</w:t>
      </w:r>
    </w:p>
    <w:p w14:paraId="7BCFFECF">
      <w:pPr>
        <w:tabs>
          <w:tab w:val="left" w:pos="2492"/>
        </w:tabs>
        <w:spacing w:line="440" w:lineRule="exact"/>
        <w:ind w:firstLine="420" w:firstLineChars="200"/>
        <w:rPr>
          <w:rFonts w:ascii="宋体" w:hAnsi="宋体" w:cs="宋体"/>
          <w:color w:val="auto"/>
          <w:szCs w:val="21"/>
        </w:rPr>
      </w:pPr>
      <w:r>
        <w:rPr>
          <w:rFonts w:hint="eastAsia" w:ascii="宋体" w:hAnsi="宋体" w:cs="宋体"/>
          <w:color w:val="auto"/>
          <w:szCs w:val="21"/>
        </w:rPr>
        <w:t>15.3本项目的增值税计税方法见“供应商须知前附表”。</w:t>
      </w:r>
    </w:p>
    <w:p w14:paraId="22F55433">
      <w:pPr>
        <w:spacing w:line="440" w:lineRule="exact"/>
        <w:ind w:left="426" w:leftChars="203"/>
        <w:rPr>
          <w:rFonts w:ascii="宋体" w:hAnsi="宋体" w:cs="宋体"/>
          <w:color w:val="auto"/>
          <w:szCs w:val="21"/>
        </w:rPr>
      </w:pPr>
      <w:r>
        <w:rPr>
          <w:rFonts w:hint="eastAsia" w:ascii="宋体" w:hAnsi="宋体" w:cs="宋体"/>
          <w:color w:val="auto"/>
          <w:szCs w:val="21"/>
        </w:rPr>
        <w:t>15.4竞标报价要求</w:t>
      </w:r>
    </w:p>
    <w:p w14:paraId="5AD940FD">
      <w:pPr>
        <w:spacing w:line="440" w:lineRule="exact"/>
        <w:ind w:firstLine="420" w:firstLineChars="200"/>
        <w:rPr>
          <w:rFonts w:ascii="宋体" w:hAnsi="宋体" w:cs="宋体"/>
          <w:color w:val="auto"/>
          <w:szCs w:val="21"/>
        </w:rPr>
      </w:pPr>
      <w:r>
        <w:rPr>
          <w:rFonts w:hint="eastAsia" w:ascii="宋体" w:hAnsi="宋体" w:cs="宋体"/>
          <w:color w:val="auto"/>
          <w:szCs w:val="21"/>
        </w:rPr>
        <w:t>15.4.1供应商的竞标报价应符合以下要求，否则响应文件按无效处理：</w:t>
      </w:r>
    </w:p>
    <w:p w14:paraId="48C94786">
      <w:pPr>
        <w:spacing w:line="440" w:lineRule="exact"/>
        <w:ind w:left="420" w:leftChars="200"/>
        <w:rPr>
          <w:rFonts w:ascii="宋体" w:hAnsi="宋体" w:cs="宋体"/>
          <w:color w:val="auto"/>
          <w:szCs w:val="21"/>
        </w:rPr>
      </w:pPr>
      <w:r>
        <w:rPr>
          <w:rFonts w:hint="eastAsia" w:ascii="宋体" w:hAnsi="宋体" w:cs="宋体"/>
          <w:color w:val="auto"/>
          <w:szCs w:val="21"/>
        </w:rPr>
        <w:t>（1）供应商必须就“采购需求”中所竞标的每个分标的全部内容分别作完整唯一总价报价，</w:t>
      </w:r>
    </w:p>
    <w:p w14:paraId="5E7ECE0B">
      <w:pPr>
        <w:spacing w:line="440" w:lineRule="exact"/>
        <w:rPr>
          <w:rFonts w:ascii="宋体" w:hAnsi="宋体" w:cs="宋体"/>
          <w:color w:val="auto"/>
          <w:szCs w:val="21"/>
        </w:rPr>
      </w:pPr>
      <w:r>
        <w:rPr>
          <w:rFonts w:hint="eastAsia" w:ascii="宋体" w:hAnsi="宋体" w:cs="宋体"/>
          <w:color w:val="auto"/>
          <w:szCs w:val="21"/>
        </w:rPr>
        <w:t>不得存在漏项报价；</w:t>
      </w:r>
    </w:p>
    <w:p w14:paraId="05539A9B">
      <w:pPr>
        <w:numPr>
          <w:ilvl w:val="0"/>
          <w:numId w:val="1"/>
        </w:numPr>
        <w:spacing w:line="440" w:lineRule="exact"/>
        <w:ind w:firstLine="420" w:firstLineChars="200"/>
        <w:rPr>
          <w:rFonts w:ascii="宋体" w:hAnsi="宋体" w:cs="宋体"/>
          <w:color w:val="auto"/>
          <w:szCs w:val="21"/>
        </w:rPr>
      </w:pPr>
      <w:r>
        <w:rPr>
          <w:rFonts w:hint="eastAsia" w:ascii="宋体" w:hAnsi="宋体" w:cs="宋体"/>
          <w:color w:val="auto"/>
          <w:szCs w:val="21"/>
        </w:rPr>
        <w:t>供应商必须就所竞标的分标的单项内容作唯一报价。</w:t>
      </w:r>
    </w:p>
    <w:p w14:paraId="54FCC7F5">
      <w:pPr>
        <w:numPr>
          <w:ilvl w:val="0"/>
          <w:numId w:val="1"/>
        </w:numPr>
        <w:spacing w:line="440" w:lineRule="exact"/>
        <w:ind w:firstLine="420"/>
        <w:rPr>
          <w:rFonts w:ascii="宋体" w:hAnsi="宋体" w:cs="宋体"/>
          <w:color w:val="auto"/>
          <w:szCs w:val="21"/>
        </w:rPr>
      </w:pPr>
      <w:r>
        <w:rPr>
          <w:rFonts w:hint="eastAsia" w:ascii="宋体" w:hAnsi="宋体" w:cs="宋体"/>
          <w:color w:val="auto"/>
          <w:szCs w:val="21"/>
        </w:rPr>
        <w:t>供应商竞标报价（含总报价和单项报价）如明显低于其他通过符合性审查供应商的报价，有可能不能诚信履约的，磋商小组可</w:t>
      </w:r>
      <w:r>
        <w:rPr>
          <w:rFonts w:hint="eastAsia" w:ascii="宋体" w:hAnsi="宋体" w:cs="宋体"/>
          <w:color w:val="auto"/>
          <w:sz w:val="22"/>
          <w:szCs w:val="22"/>
        </w:rPr>
        <w:t>要求其在评标现场合理的时间内提供书面说明</w:t>
      </w:r>
      <w:r>
        <w:rPr>
          <w:rFonts w:hint="eastAsia" w:ascii="宋体" w:hAnsi="宋体" w:cs="宋体"/>
          <w:color w:val="auto"/>
          <w:szCs w:val="21"/>
        </w:rPr>
        <w:t>。如无法提供说明，或者说明不足以证明合理性的，经磋商小组评定，响应文件按无效处理。</w:t>
      </w:r>
    </w:p>
    <w:p w14:paraId="4F0CD939">
      <w:pPr>
        <w:spacing w:line="440" w:lineRule="exact"/>
        <w:ind w:firstLine="420" w:firstLineChars="200"/>
        <w:rPr>
          <w:rFonts w:ascii="宋体" w:hAnsi="宋体" w:cs="宋体"/>
          <w:color w:val="auto"/>
          <w:szCs w:val="21"/>
        </w:rPr>
      </w:pPr>
      <w:r>
        <w:rPr>
          <w:rFonts w:hint="eastAsia" w:ascii="宋体" w:hAnsi="宋体" w:cs="宋体"/>
          <w:color w:val="auto"/>
          <w:szCs w:val="21"/>
        </w:rPr>
        <w:t>15.4.2竞标报价（包含首次报价、最后报价）超过所竞标分标规定的采购预算金额或者最高限价的，其响应文件将按无效处理。</w:t>
      </w:r>
    </w:p>
    <w:p w14:paraId="00B6DB60">
      <w:pPr>
        <w:spacing w:line="440" w:lineRule="exact"/>
        <w:ind w:firstLine="420" w:firstLineChars="200"/>
        <w:rPr>
          <w:rFonts w:ascii="宋体" w:hAnsi="宋体" w:cs="宋体"/>
          <w:color w:val="auto"/>
          <w:szCs w:val="21"/>
        </w:rPr>
      </w:pPr>
      <w:r>
        <w:rPr>
          <w:rFonts w:hint="eastAsia" w:ascii="宋体" w:hAnsi="宋体" w:cs="宋体"/>
          <w:color w:val="auto"/>
          <w:szCs w:val="21"/>
        </w:rPr>
        <w:t>15.4.3</w:t>
      </w:r>
      <w:bookmarkStart w:id="64" w:name="_Hlk42592874"/>
      <w:r>
        <w:rPr>
          <w:rFonts w:hint="eastAsia" w:ascii="宋体" w:hAnsi="宋体" w:cs="宋体"/>
          <w:color w:val="auto"/>
          <w:szCs w:val="21"/>
        </w:rPr>
        <w:t>竞标报价（包含首次报价、最后报价）超过分项采购预算金额或者最高限价的（如有要求），其响应文件将按无效处理。</w:t>
      </w:r>
    </w:p>
    <w:p w14:paraId="6E3A84B7">
      <w:pPr>
        <w:spacing w:line="440" w:lineRule="exact"/>
        <w:ind w:firstLine="420" w:firstLineChars="200"/>
        <w:rPr>
          <w:rFonts w:ascii="宋体" w:hAnsi="宋体" w:cs="宋体"/>
          <w:color w:val="auto"/>
          <w:szCs w:val="21"/>
        </w:rPr>
      </w:pPr>
      <w:r>
        <w:rPr>
          <w:rFonts w:hint="eastAsia" w:ascii="宋体" w:hAnsi="宋体" w:cs="宋体"/>
          <w:color w:val="auto"/>
          <w:szCs w:val="21"/>
        </w:rPr>
        <w:t>15.4.4供应商在提交响应文件截止时间前修改竞标函中的竞标总报价，应同时修改响应文件“已标价工程量清单”中的相应报价。此修改须符合本须知正文第20条、第21条的有关要求。</w:t>
      </w:r>
    </w:p>
    <w:bookmarkEnd w:id="64"/>
    <w:p w14:paraId="62B4B599">
      <w:pPr>
        <w:spacing w:line="440" w:lineRule="exact"/>
        <w:ind w:firstLine="482" w:firstLineChars="200"/>
        <w:rPr>
          <w:rFonts w:ascii="宋体" w:hAnsi="宋体" w:cs="宋体"/>
          <w:b/>
          <w:bCs/>
          <w:color w:val="auto"/>
          <w:sz w:val="24"/>
        </w:rPr>
      </w:pPr>
      <w:r>
        <w:rPr>
          <w:rFonts w:hint="eastAsia" w:ascii="宋体" w:hAnsi="宋体" w:cs="宋体"/>
          <w:b/>
          <w:bCs/>
          <w:color w:val="auto"/>
          <w:sz w:val="24"/>
        </w:rPr>
        <w:t>16.竞标有效期</w:t>
      </w:r>
    </w:p>
    <w:p w14:paraId="1F59C26F">
      <w:pPr>
        <w:spacing w:line="440" w:lineRule="exact"/>
        <w:ind w:firstLine="420" w:firstLineChars="200"/>
        <w:rPr>
          <w:rFonts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5B463D96">
      <w:pPr>
        <w:spacing w:line="440" w:lineRule="exact"/>
        <w:ind w:firstLine="420" w:firstLineChars="200"/>
        <w:rPr>
          <w:rFonts w:ascii="宋体" w:hAnsi="宋体" w:cs="宋体"/>
          <w:color w:val="auto"/>
          <w:szCs w:val="21"/>
        </w:rPr>
      </w:pPr>
      <w:r>
        <w:rPr>
          <w:rFonts w:hint="eastAsia" w:ascii="宋体" w:hAnsi="宋体" w:cs="宋体"/>
          <w:color w:val="auto"/>
          <w:szCs w:val="21"/>
        </w:rPr>
        <w:t>16.2 竞标有效期应由供应商按“供应商须知前附表”规定的期限作出响应。</w:t>
      </w:r>
    </w:p>
    <w:p w14:paraId="4077D128">
      <w:pPr>
        <w:spacing w:line="440" w:lineRule="exact"/>
        <w:ind w:firstLine="420" w:firstLineChars="200"/>
        <w:rPr>
          <w:rFonts w:ascii="宋体" w:hAnsi="宋体" w:cs="宋体"/>
          <w:color w:val="auto"/>
          <w:szCs w:val="21"/>
        </w:rPr>
      </w:pPr>
      <w:r>
        <w:rPr>
          <w:rFonts w:hint="eastAsia" w:ascii="宋体" w:hAnsi="宋体" w:cs="宋体"/>
          <w:color w:val="auto"/>
          <w:szCs w:val="21"/>
        </w:rPr>
        <w:t>16.3供应商的响应文件在竞标有效期内均保持有效。</w:t>
      </w:r>
    </w:p>
    <w:p w14:paraId="3494E715">
      <w:pPr>
        <w:spacing w:line="440" w:lineRule="exact"/>
        <w:ind w:firstLine="482" w:firstLineChars="200"/>
        <w:rPr>
          <w:rFonts w:ascii="宋体" w:hAnsi="宋体" w:cs="宋体"/>
          <w:b/>
          <w:bCs/>
          <w:color w:val="auto"/>
          <w:sz w:val="24"/>
        </w:rPr>
      </w:pPr>
      <w:r>
        <w:rPr>
          <w:rFonts w:hint="eastAsia" w:ascii="宋体" w:hAnsi="宋体" w:cs="宋体"/>
          <w:b/>
          <w:bCs/>
          <w:color w:val="auto"/>
          <w:sz w:val="24"/>
        </w:rPr>
        <w:t>17.磋商保证金</w:t>
      </w:r>
    </w:p>
    <w:p w14:paraId="61014433">
      <w:pPr>
        <w:spacing w:line="440" w:lineRule="exact"/>
        <w:ind w:left="420" w:leftChars="200"/>
        <w:rPr>
          <w:rFonts w:ascii="宋体" w:hAnsi="宋体" w:cs="宋体"/>
          <w:color w:val="auto"/>
          <w:szCs w:val="21"/>
        </w:rPr>
      </w:pPr>
      <w:r>
        <w:rPr>
          <w:rFonts w:hint="eastAsia" w:ascii="宋体" w:hAnsi="宋体" w:cs="宋体"/>
          <w:color w:val="auto"/>
          <w:szCs w:val="21"/>
        </w:rPr>
        <w:t>17.1供应商须按“供应商须知前附表”的规定提交磋商保证金。</w:t>
      </w:r>
    </w:p>
    <w:p w14:paraId="00CDAB4E">
      <w:pPr>
        <w:spacing w:line="440" w:lineRule="exact"/>
        <w:ind w:left="420" w:leftChars="200"/>
        <w:rPr>
          <w:rFonts w:ascii="宋体" w:hAnsi="宋体" w:cs="宋体"/>
          <w:color w:val="auto"/>
          <w:szCs w:val="21"/>
        </w:rPr>
      </w:pPr>
      <w:r>
        <w:rPr>
          <w:rFonts w:hint="eastAsia" w:ascii="宋体" w:hAnsi="宋体" w:cs="宋体"/>
          <w:color w:val="auto"/>
          <w:szCs w:val="21"/>
        </w:rPr>
        <w:t>17.2磋商保证金的退还</w:t>
      </w:r>
    </w:p>
    <w:p w14:paraId="58D989C8">
      <w:pPr>
        <w:spacing w:line="440" w:lineRule="exact"/>
        <w:ind w:firstLine="420" w:firstLineChars="200"/>
        <w:rPr>
          <w:rFonts w:ascii="宋体" w:hAnsi="宋体" w:cs="宋体"/>
          <w:color w:val="auto"/>
          <w:szCs w:val="21"/>
        </w:rPr>
      </w:pPr>
      <w:bookmarkStart w:id="65" w:name="_Hlk66782243"/>
      <w:r>
        <w:rPr>
          <w:rFonts w:hint="eastAsia" w:ascii="宋体" w:hAnsi="宋体" w:cs="宋体"/>
          <w:color w:val="auto"/>
          <w:szCs w:val="21"/>
        </w:rPr>
        <w:t>未成交供应商的磋商保证金自成交通知书发出之日起4个工作日内退还；成交供应商的磋商保证金自签订合同之日起4个工作日内退还或者转为成交供应商的履约保证金。</w:t>
      </w:r>
      <w:bookmarkEnd w:id="65"/>
    </w:p>
    <w:p w14:paraId="1722C76A">
      <w:pPr>
        <w:spacing w:line="440" w:lineRule="exact"/>
        <w:ind w:left="420" w:leftChars="200"/>
        <w:rPr>
          <w:rFonts w:ascii="宋体" w:hAnsi="宋体" w:cs="宋体"/>
          <w:color w:val="auto"/>
          <w:szCs w:val="21"/>
        </w:rPr>
      </w:pPr>
      <w:r>
        <w:rPr>
          <w:rFonts w:hint="eastAsia" w:ascii="宋体" w:hAnsi="宋体" w:cs="宋体"/>
          <w:color w:val="auto"/>
          <w:szCs w:val="21"/>
        </w:rPr>
        <w:t>17.3磋商保证金不计息。</w:t>
      </w:r>
    </w:p>
    <w:p w14:paraId="51C778BE">
      <w:pPr>
        <w:spacing w:line="440" w:lineRule="exact"/>
        <w:ind w:left="420" w:leftChars="200"/>
        <w:rPr>
          <w:rFonts w:ascii="宋体" w:hAnsi="宋体" w:cs="宋体"/>
          <w:color w:val="auto"/>
          <w:szCs w:val="21"/>
        </w:rPr>
      </w:pPr>
      <w:r>
        <w:rPr>
          <w:rFonts w:hint="eastAsia" w:ascii="宋体" w:hAnsi="宋体" w:cs="宋体"/>
          <w:color w:val="auto"/>
          <w:szCs w:val="21"/>
        </w:rPr>
        <w:t xml:space="preserve">17.4供应商有下列情形之一的，磋商保证金将不予退还： </w:t>
      </w:r>
    </w:p>
    <w:p w14:paraId="72AB25F8">
      <w:pPr>
        <w:spacing w:line="440" w:lineRule="exact"/>
        <w:ind w:left="420" w:leftChars="200"/>
        <w:rPr>
          <w:rFonts w:ascii="宋体" w:hAnsi="宋体" w:cs="宋体"/>
          <w:color w:val="auto"/>
          <w:szCs w:val="21"/>
        </w:rPr>
      </w:pPr>
      <w:r>
        <w:rPr>
          <w:rFonts w:hint="eastAsia" w:ascii="宋体" w:hAnsi="宋体" w:cs="宋体"/>
          <w:color w:val="auto"/>
          <w:szCs w:val="21"/>
        </w:rPr>
        <w:t>（1）供应商在提交响应文件截止时间后撤回响应文件的；</w:t>
      </w:r>
    </w:p>
    <w:p w14:paraId="14AB527B">
      <w:pPr>
        <w:spacing w:line="440" w:lineRule="exact"/>
        <w:ind w:left="420" w:leftChars="200"/>
        <w:rPr>
          <w:rFonts w:ascii="宋体" w:hAnsi="宋体" w:cs="宋体"/>
          <w:color w:val="auto"/>
          <w:szCs w:val="21"/>
        </w:rPr>
      </w:pPr>
      <w:r>
        <w:rPr>
          <w:rFonts w:hint="eastAsia" w:ascii="宋体" w:hAnsi="宋体" w:cs="宋体"/>
          <w:color w:val="auto"/>
          <w:szCs w:val="21"/>
        </w:rPr>
        <w:t>（2）未按规定提交履约保证金的；</w:t>
      </w:r>
    </w:p>
    <w:p w14:paraId="40E7FA5C">
      <w:pPr>
        <w:spacing w:line="440" w:lineRule="exact"/>
        <w:ind w:left="420" w:leftChars="200"/>
        <w:rPr>
          <w:rFonts w:ascii="宋体" w:hAnsi="宋体" w:cs="宋体"/>
          <w:color w:val="auto"/>
          <w:szCs w:val="21"/>
        </w:rPr>
      </w:pPr>
      <w:r>
        <w:rPr>
          <w:rFonts w:hint="eastAsia" w:ascii="宋体" w:hAnsi="宋体" w:cs="宋体"/>
          <w:color w:val="auto"/>
          <w:szCs w:val="21"/>
        </w:rPr>
        <w:t>（3）供应商在响应文件中提供虚假材料的；</w:t>
      </w:r>
    </w:p>
    <w:p w14:paraId="13269790">
      <w:pPr>
        <w:spacing w:line="440" w:lineRule="exact"/>
        <w:ind w:firstLine="420" w:firstLineChars="200"/>
        <w:rPr>
          <w:rFonts w:ascii="宋体" w:hAnsi="宋体" w:cs="宋体"/>
          <w:color w:val="auto"/>
          <w:szCs w:val="21"/>
        </w:rPr>
      </w:pPr>
      <w:r>
        <w:rPr>
          <w:rFonts w:hint="eastAsia" w:ascii="宋体" w:hAnsi="宋体" w:cs="宋体"/>
          <w:color w:val="auto"/>
          <w:szCs w:val="21"/>
        </w:rPr>
        <w:t>（4）除因不可抗力或者磋商文件认可的情形以外，成交供应商不与采购人签订合同的；</w:t>
      </w:r>
    </w:p>
    <w:p w14:paraId="3CD14BF5">
      <w:pPr>
        <w:spacing w:line="440" w:lineRule="exact"/>
        <w:ind w:left="420" w:leftChars="200"/>
        <w:rPr>
          <w:rFonts w:ascii="宋体" w:hAnsi="宋体" w:cs="宋体"/>
          <w:color w:val="auto"/>
          <w:szCs w:val="21"/>
        </w:rPr>
      </w:pPr>
      <w:r>
        <w:rPr>
          <w:rFonts w:hint="eastAsia" w:ascii="宋体" w:hAnsi="宋体" w:cs="宋体"/>
          <w:color w:val="auto"/>
          <w:szCs w:val="21"/>
        </w:rPr>
        <w:t>（5）供应商与采购人、其他供应商或者采购代理机构恶意串通的；</w:t>
      </w:r>
    </w:p>
    <w:p w14:paraId="32E8A424">
      <w:pPr>
        <w:spacing w:line="440" w:lineRule="exact"/>
        <w:ind w:left="420" w:leftChars="200"/>
        <w:rPr>
          <w:rFonts w:ascii="宋体" w:hAnsi="宋体" w:cs="宋体"/>
          <w:color w:val="auto"/>
          <w:szCs w:val="21"/>
        </w:rPr>
      </w:pPr>
      <w:r>
        <w:rPr>
          <w:rFonts w:hint="eastAsia" w:ascii="宋体" w:hAnsi="宋体" w:cs="宋体"/>
          <w:color w:val="auto"/>
          <w:szCs w:val="21"/>
        </w:rPr>
        <w:t>（6）法律法规规定的其他情形。</w:t>
      </w:r>
    </w:p>
    <w:p w14:paraId="2812DBD4">
      <w:pPr>
        <w:spacing w:line="440" w:lineRule="exact"/>
        <w:ind w:firstLine="482" w:firstLineChars="200"/>
        <w:rPr>
          <w:rFonts w:ascii="宋体" w:hAnsi="宋体" w:cs="宋体"/>
          <w:b/>
          <w:bCs/>
          <w:color w:val="auto"/>
          <w:sz w:val="24"/>
        </w:rPr>
      </w:pPr>
      <w:r>
        <w:rPr>
          <w:rFonts w:hint="eastAsia" w:ascii="宋体" w:hAnsi="宋体" w:cs="宋体"/>
          <w:b/>
          <w:bCs/>
          <w:color w:val="auto"/>
          <w:sz w:val="24"/>
        </w:rPr>
        <w:t>18.响应文件编制的要求</w:t>
      </w:r>
    </w:p>
    <w:p w14:paraId="2A3E788D">
      <w:pPr>
        <w:spacing w:line="440" w:lineRule="exact"/>
        <w:ind w:firstLine="420" w:firstLineChars="200"/>
        <w:rPr>
          <w:rFonts w:ascii="宋体" w:hAnsi="宋体" w:cs="宋体"/>
          <w:color w:val="auto"/>
          <w:szCs w:val="21"/>
        </w:rPr>
      </w:pPr>
      <w:r>
        <w:rPr>
          <w:rFonts w:hint="eastAsia" w:ascii="宋体" w:hAnsi="宋体" w:cs="宋体"/>
          <w:color w:val="auto"/>
          <w:szCs w:val="21"/>
        </w:rPr>
        <w:t>18.1供应商应先安装“广西政府采购云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04FFE18E">
      <w:pPr>
        <w:spacing w:line="440" w:lineRule="exact"/>
        <w:ind w:firstLine="420" w:firstLineChars="200"/>
        <w:rPr>
          <w:rFonts w:ascii="宋体" w:hAnsi="宋体" w:cs="宋体"/>
          <w:color w:val="auto"/>
          <w:szCs w:val="21"/>
        </w:rPr>
      </w:pPr>
      <w:r>
        <w:rPr>
          <w:rFonts w:hint="eastAsia" w:ascii="宋体" w:hAnsi="宋体" w:cs="宋体"/>
          <w:color w:val="auto"/>
          <w:szCs w:val="21"/>
        </w:rPr>
        <w:t>18.2为确保网上操作合法、有效和安全，供应商应当在提交响应文件截止时间前完成在广西政府采购云平台的身份认证，确保在电子竞标过程中能够对相关数据电文进行加密和使用电子签章。</w:t>
      </w:r>
    </w:p>
    <w:p w14:paraId="3B36A588">
      <w:pPr>
        <w:spacing w:line="440" w:lineRule="exact"/>
        <w:ind w:firstLine="420" w:firstLineChars="200"/>
        <w:rPr>
          <w:rFonts w:ascii="宋体" w:hAnsi="宋体" w:cs="宋体"/>
          <w:color w:val="auto"/>
          <w:szCs w:val="21"/>
        </w:rPr>
      </w:pPr>
      <w:r>
        <w:rPr>
          <w:rFonts w:hint="eastAsia" w:ascii="宋体" w:hAnsi="宋体" w:cs="宋体"/>
          <w:color w:val="auto"/>
          <w:szCs w:val="21"/>
        </w:rPr>
        <w:t>18.3响应文件须由供应商在规定位置签字、盖章（具体以供应商须知前附表或响应文件格式规定为准），否则按无效响应处理。</w:t>
      </w:r>
    </w:p>
    <w:p w14:paraId="2372CBDE">
      <w:pPr>
        <w:spacing w:line="440" w:lineRule="exact"/>
        <w:ind w:firstLine="420" w:firstLineChars="200"/>
        <w:rPr>
          <w:rFonts w:ascii="宋体" w:hAnsi="宋体" w:cs="宋体"/>
          <w:color w:val="auto"/>
          <w:szCs w:val="21"/>
        </w:rPr>
      </w:pPr>
      <w:r>
        <w:rPr>
          <w:rFonts w:hint="eastAsia" w:ascii="宋体" w:hAnsi="宋体" w:cs="宋体"/>
          <w:color w:val="auto"/>
          <w:szCs w:val="21"/>
        </w:rPr>
        <w:t>18.4响应文件中标注的供应商名称应与主体资格证明（如营业执照或者事业单位法人证书或者执业许可证或者登记证书等）及公章一致，否则其响应文件按无效处理。</w:t>
      </w:r>
    </w:p>
    <w:p w14:paraId="6D67E19A">
      <w:pPr>
        <w:spacing w:line="440" w:lineRule="exact"/>
        <w:ind w:firstLine="420" w:firstLineChars="200"/>
        <w:rPr>
          <w:rFonts w:ascii="宋体" w:hAnsi="宋体" w:cs="宋体"/>
          <w:color w:val="auto"/>
          <w:szCs w:val="21"/>
        </w:rPr>
      </w:pPr>
      <w:r>
        <w:rPr>
          <w:rFonts w:hint="eastAsia" w:ascii="宋体" w:hAnsi="宋体" w:cs="宋体"/>
          <w:color w:val="auto"/>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3FEE4A4A">
      <w:pPr>
        <w:spacing w:line="440" w:lineRule="exact"/>
        <w:ind w:firstLine="482" w:firstLineChars="200"/>
        <w:rPr>
          <w:rFonts w:ascii="宋体" w:hAnsi="宋体" w:cs="宋体"/>
          <w:color w:val="auto"/>
          <w:sz w:val="24"/>
        </w:rPr>
      </w:pPr>
      <w:r>
        <w:rPr>
          <w:rFonts w:hint="eastAsia" w:ascii="宋体" w:hAnsi="宋体" w:cs="宋体"/>
          <w:b/>
          <w:bCs/>
          <w:color w:val="auto"/>
          <w:sz w:val="24"/>
        </w:rPr>
        <w:t>19.电子</w:t>
      </w:r>
      <w:r>
        <w:rPr>
          <w:rFonts w:hint="eastAsia" w:ascii="宋体" w:hAnsi="宋体" w:cs="宋体"/>
          <w:b/>
          <w:color w:val="auto"/>
          <w:sz w:val="24"/>
        </w:rPr>
        <w:t>备份响应文件</w:t>
      </w:r>
    </w:p>
    <w:p w14:paraId="6EEF83D2">
      <w:pPr>
        <w:spacing w:line="440" w:lineRule="exact"/>
        <w:ind w:firstLine="420" w:firstLineChars="200"/>
        <w:rPr>
          <w:rFonts w:ascii="宋体" w:hAnsi="宋体" w:cs="宋体"/>
          <w:color w:val="auto"/>
          <w:szCs w:val="21"/>
        </w:rPr>
      </w:pPr>
      <w:r>
        <w:rPr>
          <w:rFonts w:hint="eastAsia" w:ascii="宋体" w:hAnsi="宋体" w:cs="宋体"/>
          <w:color w:val="auto"/>
        </w:rPr>
        <w:t>电子备份响应文件是指通过“广西政府采购云电子磋商客户端”在线编制生成且后缀名为“bfbs”的文件，是否接受电子备份响应文件</w:t>
      </w:r>
      <w:r>
        <w:rPr>
          <w:rFonts w:hint="eastAsia" w:ascii="宋体" w:hAnsi="宋体" w:cs="宋体"/>
          <w:bCs/>
          <w:color w:val="auto"/>
          <w:szCs w:val="21"/>
        </w:rPr>
        <w:t>详见在“供应商须知前附表”。</w:t>
      </w:r>
    </w:p>
    <w:p w14:paraId="4C39FA99">
      <w:pPr>
        <w:spacing w:line="440" w:lineRule="exact"/>
        <w:ind w:firstLine="482" w:firstLineChars="200"/>
        <w:rPr>
          <w:rFonts w:ascii="宋体" w:hAnsi="宋体" w:cs="宋体"/>
          <w:b/>
          <w:bCs/>
          <w:color w:val="auto"/>
          <w:sz w:val="24"/>
        </w:rPr>
      </w:pPr>
      <w:r>
        <w:rPr>
          <w:rFonts w:hint="eastAsia" w:ascii="宋体" w:hAnsi="宋体" w:cs="宋体"/>
          <w:b/>
          <w:bCs/>
          <w:color w:val="auto"/>
          <w:sz w:val="24"/>
        </w:rPr>
        <w:t>20.响应文件的提交</w:t>
      </w:r>
    </w:p>
    <w:p w14:paraId="390C60DB">
      <w:pPr>
        <w:spacing w:line="440" w:lineRule="exact"/>
        <w:ind w:firstLine="420" w:firstLineChars="200"/>
        <w:rPr>
          <w:rFonts w:ascii="宋体" w:hAnsi="宋体" w:cs="宋体"/>
          <w:b/>
          <w:color w:val="auto"/>
        </w:rPr>
      </w:pPr>
      <w:r>
        <w:rPr>
          <w:rFonts w:hint="eastAsia" w:ascii="宋体" w:hAnsi="宋体" w:cs="宋体"/>
          <w:bCs/>
          <w:color w:val="auto"/>
          <w:szCs w:val="21"/>
        </w:rPr>
        <w:t>20.1供应商必须按“供应商须知前附表”规定的</w:t>
      </w:r>
      <w:r>
        <w:rPr>
          <w:rFonts w:hint="eastAsia" w:ascii="宋体" w:hAnsi="宋体" w:cs="宋体"/>
          <w:color w:val="auto"/>
          <w:szCs w:val="21"/>
        </w:rPr>
        <w:t>时间及</w:t>
      </w:r>
      <w:r>
        <w:rPr>
          <w:rFonts w:hint="eastAsia" w:ascii="宋体" w:hAnsi="宋体" w:cs="宋体"/>
          <w:bCs/>
          <w:color w:val="auto"/>
          <w:szCs w:val="21"/>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cs="宋体"/>
          <w:color w:val="auto"/>
          <w:szCs w:val="21"/>
        </w:rPr>
        <w:t>广西政府采购云平台</w:t>
      </w:r>
      <w:r>
        <w:rPr>
          <w:rFonts w:hint="eastAsia" w:ascii="宋体" w:hAnsi="宋体" w:cs="宋体"/>
          <w:bCs/>
          <w:color w:val="auto"/>
          <w:szCs w:val="21"/>
        </w:rPr>
        <w:t>，并在规定时间内解密，否则，由此产生的后果由供应商自行负责。</w:t>
      </w:r>
    </w:p>
    <w:p w14:paraId="49EDEFD4">
      <w:pPr>
        <w:spacing w:line="440" w:lineRule="exact"/>
        <w:ind w:firstLine="420" w:firstLineChars="200"/>
        <w:rPr>
          <w:rFonts w:ascii="宋体" w:hAnsi="宋体" w:cs="宋体"/>
          <w:color w:val="auto"/>
          <w:szCs w:val="21"/>
        </w:rPr>
      </w:pPr>
      <w:r>
        <w:rPr>
          <w:rFonts w:hint="eastAsia" w:ascii="宋体" w:hAnsi="宋体" w:cs="宋体"/>
          <w:color w:val="auto"/>
          <w:szCs w:val="21"/>
        </w:rPr>
        <w:t>20.2未在规定时间内提交或者未按照磋商文件要求加密的电子响应文件，广西政府采购云平台将拒收。</w:t>
      </w:r>
    </w:p>
    <w:p w14:paraId="556DF34C">
      <w:pPr>
        <w:spacing w:line="440" w:lineRule="exact"/>
        <w:ind w:firstLine="482" w:firstLineChars="200"/>
        <w:rPr>
          <w:rFonts w:ascii="宋体" w:hAnsi="宋体" w:cs="宋体"/>
          <w:b/>
          <w:bCs/>
          <w:color w:val="auto"/>
          <w:sz w:val="24"/>
        </w:rPr>
      </w:pPr>
      <w:r>
        <w:rPr>
          <w:rFonts w:hint="eastAsia" w:ascii="宋体" w:hAnsi="宋体" w:cs="宋体"/>
          <w:b/>
          <w:bCs/>
          <w:color w:val="auto"/>
          <w:sz w:val="24"/>
        </w:rPr>
        <w:t>21.首次响应文件的补充、修改与撤回</w:t>
      </w:r>
    </w:p>
    <w:p w14:paraId="0C277D2D">
      <w:pPr>
        <w:spacing w:line="440" w:lineRule="exact"/>
        <w:ind w:firstLine="420" w:firstLineChars="200"/>
        <w:rPr>
          <w:rFonts w:ascii="宋体" w:hAnsi="宋体" w:cs="宋体"/>
          <w:bCs/>
          <w:color w:val="auto"/>
          <w:szCs w:val="21"/>
        </w:rPr>
      </w:pPr>
      <w:bookmarkStart w:id="66" w:name="_Toc254970543"/>
      <w:bookmarkStart w:id="67" w:name="_Toc254970684"/>
      <w:r>
        <w:rPr>
          <w:rFonts w:hint="eastAsia" w:ascii="宋体" w:hAnsi="宋体" w:cs="宋体"/>
          <w:bCs/>
          <w:color w:val="auto"/>
          <w:szCs w:val="21"/>
        </w:rPr>
        <w:t>21.1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注：补充、修改或者撤回方式可登陆广西政府采购云平台，进入“服务中心”中查看“电子响应文件制作与投送教程”）</w:t>
      </w:r>
    </w:p>
    <w:bookmarkEnd w:id="66"/>
    <w:bookmarkEnd w:id="67"/>
    <w:p w14:paraId="2404299B">
      <w:pPr>
        <w:pStyle w:val="161"/>
        <w:spacing w:before="0" w:line="440" w:lineRule="exact"/>
        <w:ind w:firstLine="420"/>
        <w:rPr>
          <w:rFonts w:ascii="宋体" w:hAnsi="宋体" w:cs="宋体"/>
          <w:color w:val="auto"/>
          <w:sz w:val="21"/>
          <w:szCs w:val="21"/>
        </w:rPr>
      </w:pPr>
      <w:r>
        <w:rPr>
          <w:rFonts w:hint="eastAsia" w:ascii="宋体" w:hAnsi="宋体" w:cs="宋体"/>
          <w:color w:val="auto"/>
          <w:sz w:val="21"/>
          <w:szCs w:val="21"/>
        </w:rPr>
        <w:t>21.2在提交响应文件截止时间前，除供应商补充、修改或者撤回响应文件外，任何单位和个人不得解密或提取响应文件。</w:t>
      </w:r>
    </w:p>
    <w:p w14:paraId="33DA32AF">
      <w:pPr>
        <w:spacing w:line="440" w:lineRule="exact"/>
        <w:ind w:firstLine="482" w:firstLineChars="200"/>
        <w:rPr>
          <w:rFonts w:ascii="宋体" w:hAnsi="宋体" w:cs="宋体"/>
          <w:b/>
          <w:bCs/>
          <w:color w:val="auto"/>
          <w:sz w:val="24"/>
        </w:rPr>
      </w:pPr>
      <w:bookmarkStart w:id="68" w:name="_Hlk45702405"/>
      <w:r>
        <w:rPr>
          <w:rFonts w:hint="eastAsia" w:ascii="宋体" w:hAnsi="宋体" w:cs="宋体"/>
          <w:b/>
          <w:bCs/>
          <w:color w:val="auto"/>
          <w:sz w:val="24"/>
        </w:rPr>
        <w:t>22.响应文件的退回</w:t>
      </w:r>
    </w:p>
    <w:p w14:paraId="0FC1ECD5">
      <w:pPr>
        <w:spacing w:line="440" w:lineRule="exact"/>
        <w:ind w:firstLine="420" w:firstLineChars="200"/>
        <w:rPr>
          <w:rFonts w:ascii="宋体" w:hAnsi="宋体" w:cs="宋体"/>
          <w:color w:val="auto"/>
          <w:szCs w:val="21"/>
        </w:rPr>
      </w:pPr>
      <w:r>
        <w:rPr>
          <w:rFonts w:hint="eastAsia" w:ascii="宋体" w:hAnsi="宋体" w:cs="宋体"/>
          <w:color w:val="auto"/>
          <w:szCs w:val="21"/>
        </w:rPr>
        <w:t>采购人和采购代理机构对已提交的响应文件概不退回。</w:t>
      </w:r>
    </w:p>
    <w:p w14:paraId="5E2C68F4">
      <w:pPr>
        <w:spacing w:line="440" w:lineRule="exact"/>
        <w:ind w:firstLine="482" w:firstLineChars="200"/>
        <w:rPr>
          <w:rFonts w:ascii="宋体" w:hAnsi="宋体" w:cs="宋体"/>
          <w:b/>
          <w:bCs/>
          <w:color w:val="auto"/>
          <w:sz w:val="24"/>
        </w:rPr>
      </w:pPr>
      <w:r>
        <w:rPr>
          <w:rFonts w:hint="eastAsia" w:ascii="宋体" w:hAnsi="宋体" w:cs="宋体"/>
          <w:b/>
          <w:bCs/>
          <w:color w:val="auto"/>
          <w:sz w:val="24"/>
        </w:rPr>
        <w:t>23.截止时间后的撤回</w:t>
      </w:r>
    </w:p>
    <w:p w14:paraId="1C978B33">
      <w:pPr>
        <w:spacing w:line="440" w:lineRule="exact"/>
        <w:ind w:firstLine="420" w:firstLineChars="200"/>
        <w:rPr>
          <w:rFonts w:ascii="宋体" w:hAnsi="宋体" w:cs="宋体"/>
          <w:color w:val="auto"/>
          <w:szCs w:val="21"/>
        </w:rPr>
      </w:pPr>
      <w:r>
        <w:rPr>
          <w:rFonts w:hint="eastAsia" w:ascii="宋体" w:hAnsi="宋体" w:cs="宋体"/>
          <w:color w:val="auto"/>
          <w:szCs w:val="21"/>
        </w:rPr>
        <w:t>供应商在响应文件提交截止时间后向采购人、采购代理机构书面申请撤回响应文件的，将根据本须知正文第17.4条的规定不予退还其磋商保证金。</w:t>
      </w:r>
    </w:p>
    <w:bookmarkEnd w:id="68"/>
    <w:p w14:paraId="4F93721F">
      <w:pPr>
        <w:spacing w:line="440" w:lineRule="exact"/>
        <w:rPr>
          <w:rFonts w:ascii="宋体" w:hAnsi="宋体" w:cs="宋体"/>
          <w:color w:val="auto"/>
          <w:szCs w:val="21"/>
        </w:rPr>
      </w:pPr>
    </w:p>
    <w:p w14:paraId="5F6656F2">
      <w:pPr>
        <w:spacing w:line="440" w:lineRule="exact"/>
        <w:ind w:left="420" w:firstLine="420"/>
        <w:jc w:val="center"/>
        <w:rPr>
          <w:rFonts w:ascii="宋体" w:hAnsi="宋体" w:cs="宋体"/>
          <w:b/>
          <w:bCs/>
          <w:color w:val="auto"/>
          <w:sz w:val="32"/>
          <w:szCs w:val="32"/>
        </w:rPr>
      </w:pPr>
      <w:r>
        <w:rPr>
          <w:rFonts w:hint="eastAsia" w:ascii="宋体" w:hAnsi="宋体" w:cs="宋体"/>
          <w:b/>
          <w:bCs/>
          <w:color w:val="auto"/>
          <w:sz w:val="32"/>
          <w:szCs w:val="32"/>
        </w:rPr>
        <w:t>四、评审及磋商</w:t>
      </w:r>
    </w:p>
    <w:p w14:paraId="4F807DD3">
      <w:pPr>
        <w:spacing w:line="440" w:lineRule="exact"/>
        <w:ind w:left="420" w:firstLine="420"/>
        <w:rPr>
          <w:rFonts w:ascii="宋体" w:hAnsi="宋体" w:cs="宋体"/>
          <w:color w:val="auto"/>
          <w:szCs w:val="21"/>
        </w:rPr>
      </w:pPr>
    </w:p>
    <w:p w14:paraId="2DE30F1B">
      <w:pPr>
        <w:spacing w:line="440" w:lineRule="exact"/>
        <w:ind w:firstLine="482" w:firstLineChars="200"/>
        <w:rPr>
          <w:rFonts w:ascii="宋体" w:hAnsi="宋体" w:cs="宋体"/>
          <w:b/>
          <w:bCs/>
          <w:color w:val="auto"/>
          <w:sz w:val="24"/>
        </w:rPr>
      </w:pPr>
      <w:r>
        <w:rPr>
          <w:rFonts w:hint="eastAsia" w:ascii="宋体" w:hAnsi="宋体" w:cs="宋体"/>
          <w:b/>
          <w:bCs/>
          <w:color w:val="auto"/>
          <w:sz w:val="24"/>
        </w:rPr>
        <w:t>24.磋商小组成立</w:t>
      </w:r>
    </w:p>
    <w:p w14:paraId="6FD60D9C">
      <w:pPr>
        <w:spacing w:line="440" w:lineRule="exact"/>
        <w:ind w:firstLine="420" w:firstLineChars="200"/>
        <w:rPr>
          <w:rFonts w:ascii="宋体" w:hAnsi="宋体" w:cs="宋体"/>
          <w:color w:val="auto"/>
          <w:szCs w:val="21"/>
        </w:rPr>
      </w:pPr>
      <w:r>
        <w:rPr>
          <w:rFonts w:hint="eastAsia" w:ascii="宋体" w:hAnsi="宋体" w:cs="宋体"/>
          <w:color w:val="auto"/>
          <w:szCs w:val="21"/>
        </w:rPr>
        <w:t>24.1磋商小组由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29130365">
      <w:pPr>
        <w:spacing w:line="440" w:lineRule="exact"/>
        <w:ind w:firstLine="420" w:firstLineChars="200"/>
        <w:rPr>
          <w:rFonts w:ascii="宋体" w:hAnsi="宋体" w:cs="宋体"/>
          <w:color w:val="auto"/>
          <w:szCs w:val="21"/>
        </w:rPr>
      </w:pPr>
      <w:r>
        <w:rPr>
          <w:rFonts w:hint="eastAsia" w:ascii="宋体" w:hAnsi="宋体" w:cs="宋体"/>
          <w:color w:val="auto"/>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738EE5D">
      <w:pPr>
        <w:spacing w:line="440" w:lineRule="exact"/>
        <w:ind w:firstLine="420" w:firstLineChars="200"/>
        <w:rPr>
          <w:rFonts w:ascii="宋体" w:hAnsi="宋体" w:cs="宋体"/>
          <w:color w:val="auto"/>
          <w:szCs w:val="21"/>
        </w:rPr>
      </w:pPr>
      <w:r>
        <w:rPr>
          <w:rFonts w:hint="eastAsia" w:ascii="宋体" w:hAnsi="宋体" w:cs="宋体"/>
          <w:color w:val="auto"/>
          <w:szCs w:val="21"/>
        </w:rPr>
        <w:t>24.3</w:t>
      </w:r>
      <w:r>
        <w:rPr>
          <w:rFonts w:hint="eastAsia" w:ascii="宋体" w:hAnsi="宋体" w:cs="宋体"/>
          <w:bCs/>
          <w:color w:val="auto"/>
          <w:szCs w:val="21"/>
        </w:rPr>
        <w:t>采购代理机构</w:t>
      </w:r>
      <w:r>
        <w:rPr>
          <w:rFonts w:hint="eastAsia" w:ascii="宋体" w:hAnsi="宋体" w:cs="宋体"/>
          <w:bCs/>
          <w:color w:val="auto"/>
        </w:rPr>
        <w:t>应当</w:t>
      </w:r>
      <w:r>
        <w:rPr>
          <w:rFonts w:hint="eastAsia" w:ascii="宋体" w:hAnsi="宋体" w:cs="宋体"/>
          <w:bCs/>
          <w:color w:val="auto"/>
          <w:szCs w:val="21"/>
        </w:rPr>
        <w:t>基于广西政府采购云平台</w:t>
      </w:r>
      <w:r>
        <w:rPr>
          <w:rFonts w:hint="eastAsia" w:ascii="宋体" w:hAnsi="宋体" w:cs="宋体"/>
          <w:bCs/>
          <w:color w:val="auto"/>
        </w:rPr>
        <w:t>抽（选）取</w:t>
      </w:r>
      <w:r>
        <w:rPr>
          <w:rFonts w:hint="eastAsia" w:ascii="宋体" w:hAnsi="宋体" w:cs="宋体"/>
          <w:bCs/>
          <w:color w:val="auto"/>
          <w:szCs w:val="21"/>
        </w:rPr>
        <w:t>评审专家。</w:t>
      </w:r>
    </w:p>
    <w:p w14:paraId="35D3E37E">
      <w:pPr>
        <w:spacing w:line="440" w:lineRule="exact"/>
        <w:ind w:firstLine="482" w:firstLineChars="200"/>
        <w:rPr>
          <w:rFonts w:ascii="宋体" w:hAnsi="宋体" w:cs="宋体"/>
          <w:b/>
          <w:bCs/>
          <w:color w:val="auto"/>
          <w:sz w:val="24"/>
        </w:rPr>
      </w:pPr>
      <w:r>
        <w:rPr>
          <w:rFonts w:hint="eastAsia" w:ascii="宋体" w:hAnsi="宋体" w:cs="宋体"/>
          <w:b/>
          <w:bCs/>
          <w:color w:val="auto"/>
          <w:sz w:val="24"/>
        </w:rPr>
        <w:t>25.首次响应文件的开启和解密</w:t>
      </w:r>
    </w:p>
    <w:p w14:paraId="6EAB8BFF">
      <w:pPr>
        <w:spacing w:line="440" w:lineRule="exact"/>
        <w:ind w:firstLine="420" w:firstLineChars="200"/>
        <w:rPr>
          <w:rFonts w:ascii="宋体" w:hAnsi="宋体" w:cs="宋体"/>
          <w:color w:val="auto"/>
          <w:szCs w:val="21"/>
        </w:rPr>
      </w:pPr>
      <w:r>
        <w:rPr>
          <w:rFonts w:hint="eastAsia" w:ascii="宋体" w:hAnsi="宋体" w:cs="宋体"/>
          <w:bCs/>
          <w:color w:val="auto"/>
        </w:rPr>
        <w:t>采购代理机构将在“供应商须知前附表”规定的时</w:t>
      </w:r>
      <w:r>
        <w:rPr>
          <w:rFonts w:hint="eastAsia" w:ascii="宋体" w:hAnsi="宋体" w:cs="宋体"/>
          <w:color w:val="auto"/>
        </w:rPr>
        <w:t>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w:t>
      </w:r>
      <w:r>
        <w:rPr>
          <w:rFonts w:hint="eastAsia" w:ascii="宋体" w:hAnsi="宋体" w:cs="宋体"/>
          <w:bCs/>
          <w:color w:val="auto"/>
          <w:szCs w:val="21"/>
        </w:rPr>
        <w:t>“供应商须知前附表”</w:t>
      </w:r>
      <w:r>
        <w:rPr>
          <w:rFonts w:hint="eastAsia" w:ascii="宋体" w:hAnsi="宋体" w:cs="宋体"/>
          <w:color w:val="auto"/>
        </w:rPr>
        <w:t>规定的时间内自行进行响应文件解密。</w:t>
      </w:r>
      <w:r>
        <w:rPr>
          <w:rFonts w:hint="eastAsia" w:ascii="宋体" w:hAnsi="宋体" w:cs="宋体"/>
          <w:b/>
          <w:color w:val="auto"/>
        </w:rPr>
        <w:t>供应商未在规定的时间内解密响应文件或者解密失败的，供应商</w:t>
      </w:r>
      <w:r>
        <w:rPr>
          <w:rFonts w:hint="eastAsia" w:ascii="宋体" w:hAnsi="宋体" w:cs="宋体"/>
          <w:b/>
          <w:color w:val="auto"/>
          <w:szCs w:val="21"/>
        </w:rPr>
        <w:t>的响应文件按无效处理</w:t>
      </w:r>
      <w:r>
        <w:rPr>
          <w:rFonts w:hint="eastAsia" w:ascii="宋体" w:hAnsi="宋体" w:cs="宋体"/>
          <w:b/>
          <w:color w:val="auto"/>
        </w:rPr>
        <w:t>。</w:t>
      </w:r>
    </w:p>
    <w:p w14:paraId="507F8C52">
      <w:pPr>
        <w:spacing w:line="440" w:lineRule="exact"/>
        <w:ind w:firstLine="482" w:firstLineChars="200"/>
        <w:rPr>
          <w:rFonts w:ascii="宋体" w:hAnsi="宋体" w:cs="宋体"/>
          <w:b/>
          <w:bCs/>
          <w:color w:val="auto"/>
          <w:sz w:val="24"/>
        </w:rPr>
      </w:pPr>
      <w:r>
        <w:rPr>
          <w:rFonts w:hint="eastAsia" w:ascii="宋体" w:hAnsi="宋体" w:cs="宋体"/>
          <w:b/>
          <w:bCs/>
          <w:color w:val="auto"/>
          <w:sz w:val="24"/>
        </w:rPr>
        <w:t>26.评审程序、评审方法和评审标准</w:t>
      </w:r>
    </w:p>
    <w:p w14:paraId="7FD74612">
      <w:pPr>
        <w:spacing w:line="440" w:lineRule="exact"/>
        <w:ind w:firstLine="420" w:firstLineChars="200"/>
        <w:rPr>
          <w:rFonts w:ascii="宋体" w:hAnsi="宋体" w:cs="宋体"/>
          <w:color w:val="auto"/>
          <w:szCs w:val="21"/>
        </w:rPr>
      </w:pPr>
      <w:r>
        <w:rPr>
          <w:rFonts w:hint="eastAsia" w:ascii="宋体" w:hAnsi="宋体" w:cs="宋体"/>
          <w:color w:val="auto"/>
          <w:szCs w:val="21"/>
        </w:rPr>
        <w:t>26.1本项目的评审方法为综合评分法。</w:t>
      </w:r>
    </w:p>
    <w:p w14:paraId="715C4D57">
      <w:pPr>
        <w:spacing w:line="440" w:lineRule="exact"/>
        <w:ind w:firstLine="420" w:firstLineChars="200"/>
        <w:rPr>
          <w:rFonts w:ascii="宋体" w:hAnsi="宋体" w:cs="宋体"/>
          <w:color w:val="auto"/>
          <w:szCs w:val="21"/>
        </w:rPr>
      </w:pPr>
      <w:r>
        <w:rPr>
          <w:rFonts w:hint="eastAsia" w:ascii="宋体" w:hAnsi="宋体" w:cs="宋体"/>
          <w:color w:val="auto"/>
          <w:szCs w:val="21"/>
        </w:rPr>
        <w:t>26.2磋商小组按照“第四章 评审程序、评审方法和评审标准”规定的方法、评审因素、标准和程序对响应文件进行评审并推荐成交候选供应商。</w:t>
      </w:r>
    </w:p>
    <w:p w14:paraId="082301E9">
      <w:pPr>
        <w:spacing w:line="440" w:lineRule="exact"/>
        <w:ind w:firstLine="420" w:firstLineChars="200"/>
        <w:rPr>
          <w:rFonts w:ascii="宋体" w:hAnsi="宋体" w:cs="宋体"/>
          <w:color w:val="auto"/>
          <w:szCs w:val="21"/>
        </w:rPr>
      </w:pPr>
      <w:r>
        <w:rPr>
          <w:rFonts w:hint="eastAsia" w:ascii="宋体" w:hAnsi="宋体" w:cs="宋体"/>
          <w:color w:val="auto"/>
          <w:szCs w:val="21"/>
        </w:rPr>
        <w:t>26.3 商务/技术要求允许负偏离的条款数详见“供应商须知前附表”。</w:t>
      </w:r>
    </w:p>
    <w:p w14:paraId="097CDF33">
      <w:pPr>
        <w:spacing w:line="440" w:lineRule="exact"/>
        <w:ind w:firstLine="420" w:firstLineChars="200"/>
        <w:rPr>
          <w:rFonts w:ascii="宋体" w:hAnsi="宋体" w:cs="宋体"/>
          <w:color w:val="auto"/>
          <w:szCs w:val="21"/>
        </w:rPr>
      </w:pPr>
      <w:r>
        <w:rPr>
          <w:rFonts w:hint="eastAsia" w:ascii="宋体" w:hAnsi="宋体" w:cs="宋体"/>
          <w:color w:val="auto"/>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901F145">
      <w:pPr>
        <w:spacing w:line="440" w:lineRule="exact"/>
        <w:ind w:firstLine="420" w:firstLineChars="200"/>
        <w:rPr>
          <w:rFonts w:ascii="宋体" w:hAnsi="宋体" w:cs="宋体"/>
          <w:color w:val="auto"/>
        </w:rPr>
      </w:pPr>
      <w:r>
        <w:rPr>
          <w:rFonts w:hint="eastAsia" w:ascii="宋体" w:hAnsi="宋体" w:cs="宋体"/>
          <w:color w:val="auto"/>
        </w:rPr>
        <w:t>26.5电子交易活动的中止。采购过程中出现以下情形，导致电子交易平台无法正常运行，或者无法保证电子交易的公平、公正和安全时，采购机构可中止电子交易活动：</w:t>
      </w:r>
    </w:p>
    <w:p w14:paraId="7DB10293">
      <w:pPr>
        <w:spacing w:line="440" w:lineRule="exact"/>
        <w:ind w:firstLine="420" w:firstLineChars="200"/>
        <w:rPr>
          <w:rFonts w:ascii="宋体" w:hAnsi="宋体" w:cs="宋体"/>
          <w:color w:val="auto"/>
        </w:rPr>
      </w:pPr>
      <w:r>
        <w:rPr>
          <w:rFonts w:hint="eastAsia" w:ascii="宋体" w:hAnsi="宋体" w:cs="宋体"/>
          <w:color w:val="auto"/>
        </w:rPr>
        <w:t>（1）电子交易平台发生故障而无法登录访问的；</w:t>
      </w:r>
    </w:p>
    <w:p w14:paraId="3857C386">
      <w:pPr>
        <w:spacing w:line="440" w:lineRule="exact"/>
        <w:ind w:firstLine="420" w:firstLineChars="200"/>
        <w:rPr>
          <w:rFonts w:ascii="宋体" w:hAnsi="宋体" w:cs="宋体"/>
          <w:color w:val="auto"/>
        </w:rPr>
      </w:pPr>
      <w:r>
        <w:rPr>
          <w:rFonts w:hint="eastAsia" w:ascii="宋体" w:hAnsi="宋体" w:cs="宋体"/>
          <w:color w:val="auto"/>
        </w:rPr>
        <w:t>（2）电子交易平台应用或数据库出现错误，不能进行正常操作的；</w:t>
      </w:r>
    </w:p>
    <w:p w14:paraId="3341CBAD">
      <w:pPr>
        <w:spacing w:line="440" w:lineRule="exact"/>
        <w:ind w:firstLine="420" w:firstLineChars="200"/>
        <w:rPr>
          <w:rFonts w:ascii="宋体" w:hAnsi="宋体" w:cs="宋体"/>
          <w:color w:val="auto"/>
        </w:rPr>
      </w:pPr>
      <w:r>
        <w:rPr>
          <w:rFonts w:hint="eastAsia" w:ascii="宋体" w:hAnsi="宋体" w:cs="宋体"/>
          <w:color w:val="auto"/>
        </w:rPr>
        <w:t>（3）电子交易平台发现严重安全漏洞，有潜在泄密危险的；</w:t>
      </w:r>
    </w:p>
    <w:p w14:paraId="409EA6FD">
      <w:pPr>
        <w:spacing w:line="440" w:lineRule="exact"/>
        <w:ind w:firstLine="420" w:firstLineChars="200"/>
        <w:rPr>
          <w:rFonts w:ascii="宋体" w:hAnsi="宋体" w:cs="宋体"/>
          <w:color w:val="auto"/>
        </w:rPr>
      </w:pPr>
      <w:r>
        <w:rPr>
          <w:rFonts w:hint="eastAsia" w:ascii="宋体" w:hAnsi="宋体" w:cs="宋体"/>
          <w:color w:val="auto"/>
        </w:rPr>
        <w:t>（4）病毒发作导致不能进行正常操作的；</w:t>
      </w:r>
    </w:p>
    <w:p w14:paraId="3B24E4BE">
      <w:pPr>
        <w:spacing w:line="440" w:lineRule="exact"/>
        <w:ind w:firstLine="420" w:firstLineChars="200"/>
        <w:rPr>
          <w:rFonts w:ascii="宋体" w:hAnsi="宋体" w:cs="宋体"/>
          <w:color w:val="auto"/>
        </w:rPr>
      </w:pPr>
      <w:r>
        <w:rPr>
          <w:rFonts w:hint="eastAsia" w:ascii="宋体" w:hAnsi="宋体" w:cs="宋体"/>
          <w:color w:val="auto"/>
        </w:rPr>
        <w:t>（5）其他无法保证电子交易的公平、公正和安全的情况。</w:t>
      </w:r>
    </w:p>
    <w:p w14:paraId="50A324C3">
      <w:pPr>
        <w:spacing w:line="440" w:lineRule="exact"/>
        <w:ind w:firstLine="420" w:firstLineChars="200"/>
        <w:rPr>
          <w:rFonts w:ascii="宋体" w:hAnsi="宋体" w:cs="宋体"/>
          <w:color w:val="auto"/>
          <w:szCs w:val="21"/>
        </w:rPr>
      </w:pPr>
      <w:r>
        <w:rPr>
          <w:rFonts w:hint="eastAsia" w:ascii="宋体" w:hAnsi="宋体" w:cs="宋体"/>
          <w:color w:val="auto"/>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36779D8">
      <w:pPr>
        <w:spacing w:line="440" w:lineRule="exact"/>
        <w:ind w:firstLine="482" w:firstLineChars="200"/>
        <w:rPr>
          <w:rFonts w:ascii="宋体" w:hAnsi="宋体" w:cs="宋体"/>
          <w:b/>
          <w:bCs/>
          <w:color w:val="auto"/>
          <w:sz w:val="24"/>
        </w:rPr>
      </w:pPr>
      <w:r>
        <w:rPr>
          <w:rFonts w:hint="eastAsia" w:ascii="宋体" w:hAnsi="宋体" w:cs="宋体"/>
          <w:b/>
          <w:bCs/>
          <w:color w:val="auto"/>
          <w:sz w:val="24"/>
        </w:rPr>
        <w:t>27.确定成交供应商及结果公告</w:t>
      </w:r>
    </w:p>
    <w:p w14:paraId="458ECFEA">
      <w:pPr>
        <w:spacing w:line="440" w:lineRule="exact"/>
        <w:ind w:firstLine="420" w:firstLineChars="200"/>
        <w:rPr>
          <w:rFonts w:ascii="宋体" w:hAnsi="宋体" w:cs="宋体"/>
          <w:color w:val="auto"/>
          <w:szCs w:val="21"/>
        </w:rPr>
      </w:pPr>
      <w:r>
        <w:rPr>
          <w:rFonts w:hint="eastAsia" w:ascii="宋体" w:hAnsi="宋体" w:cs="宋体"/>
          <w:color w:val="auto"/>
          <w:szCs w:val="21"/>
        </w:rPr>
        <w:t>27.1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8A9AA72">
      <w:pPr>
        <w:spacing w:line="440" w:lineRule="exact"/>
        <w:ind w:firstLine="420" w:firstLineChars="200"/>
        <w:rPr>
          <w:rFonts w:ascii="宋体" w:hAnsi="宋体" w:cs="宋体"/>
          <w:color w:val="auto"/>
          <w:szCs w:val="21"/>
        </w:rPr>
      </w:pPr>
      <w:r>
        <w:rPr>
          <w:rFonts w:hint="eastAsia" w:ascii="宋体" w:hAnsi="宋体" w:cs="宋体"/>
          <w:color w:val="auto"/>
          <w:szCs w:val="21"/>
        </w:rPr>
        <w:t>27.2采购代理机构应当在</w:t>
      </w:r>
      <w:r>
        <w:rPr>
          <w:rFonts w:hint="eastAsia" w:ascii="宋体" w:hAnsi="宋体" w:cs="宋体"/>
          <w:color w:val="auto"/>
          <w:kern w:val="0"/>
          <w:szCs w:val="21"/>
        </w:rPr>
        <w:t>成交</w:t>
      </w:r>
      <w:r>
        <w:rPr>
          <w:rFonts w:hint="eastAsia" w:ascii="宋体" w:hAnsi="宋体" w:cs="宋体"/>
          <w:color w:val="auto"/>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69" w:name="_Hlk66782294"/>
      <w:r>
        <w:rPr>
          <w:rFonts w:hint="eastAsia" w:ascii="宋体" w:hAnsi="宋体" w:cs="宋体"/>
          <w:color w:val="auto"/>
          <w:szCs w:val="21"/>
        </w:rPr>
        <w:t>成交供应商享受《政府采购促进中小企业发展管理办法》（财库〔2020〕46号）规定的中小企业扶持政策的，采购人、采购代理机构应当随成交结果公开成交供应商的《中小企业声明函》。</w:t>
      </w:r>
      <w:bookmarkEnd w:id="69"/>
    </w:p>
    <w:p w14:paraId="4FF4EABA">
      <w:pPr>
        <w:spacing w:line="440" w:lineRule="exact"/>
        <w:ind w:firstLine="420" w:firstLineChars="200"/>
        <w:rPr>
          <w:rFonts w:ascii="宋体" w:hAnsi="宋体" w:cs="宋体"/>
          <w:color w:val="auto"/>
          <w:szCs w:val="21"/>
        </w:rPr>
      </w:pPr>
      <w:r>
        <w:rPr>
          <w:rFonts w:hint="eastAsia" w:ascii="宋体" w:hAnsi="宋体" w:cs="宋体"/>
          <w:color w:val="auto"/>
          <w:szCs w:val="21"/>
        </w:rPr>
        <w:t>27.3出现下列情形之一的，采购人或者采购代理机构应当终止竞争性磋商采购活动，发布项目终止公告并说明原因，重新开展采购活动：</w:t>
      </w:r>
    </w:p>
    <w:p w14:paraId="0A3FD500">
      <w:pPr>
        <w:spacing w:line="440" w:lineRule="exact"/>
        <w:ind w:firstLine="420" w:firstLineChars="200"/>
        <w:rPr>
          <w:rFonts w:ascii="宋体" w:hAnsi="宋体" w:cs="宋体"/>
          <w:color w:val="auto"/>
          <w:szCs w:val="21"/>
        </w:rPr>
      </w:pPr>
      <w:r>
        <w:rPr>
          <w:rFonts w:hint="eastAsia" w:ascii="宋体" w:hAnsi="宋体" w:cs="宋体"/>
          <w:color w:val="auto"/>
          <w:szCs w:val="21"/>
        </w:rPr>
        <w:t>（1）因情况变化，不再符合规定的竞争性磋商采购方式适用情形的；</w:t>
      </w:r>
    </w:p>
    <w:p w14:paraId="5B40D5D0">
      <w:pPr>
        <w:spacing w:line="440" w:lineRule="exact"/>
        <w:ind w:firstLine="420" w:firstLineChars="200"/>
        <w:rPr>
          <w:rFonts w:ascii="宋体" w:hAnsi="宋体" w:cs="宋体"/>
          <w:color w:val="auto"/>
          <w:szCs w:val="21"/>
        </w:rPr>
      </w:pPr>
      <w:r>
        <w:rPr>
          <w:rFonts w:hint="eastAsia" w:ascii="宋体" w:hAnsi="宋体" w:cs="宋体"/>
          <w:color w:val="auto"/>
          <w:szCs w:val="21"/>
        </w:rPr>
        <w:t>（2）出现影响采购公正的违法、违规行为的；</w:t>
      </w:r>
    </w:p>
    <w:p w14:paraId="58B08949">
      <w:pPr>
        <w:spacing w:line="440" w:lineRule="exact"/>
        <w:ind w:firstLine="420" w:firstLineChars="200"/>
        <w:rPr>
          <w:rFonts w:ascii="宋体" w:hAnsi="宋体" w:cs="宋体"/>
          <w:color w:val="auto"/>
          <w:szCs w:val="21"/>
        </w:rPr>
      </w:pPr>
      <w:r>
        <w:rPr>
          <w:rFonts w:hint="eastAsia" w:ascii="宋体" w:hAnsi="宋体" w:cs="宋体"/>
          <w:color w:val="auto"/>
          <w:szCs w:val="21"/>
        </w:rPr>
        <w:t>（3）除“第四章 评审程序、评审方法和评审标准”第4.3条规定的情形外，在采购过程中符合要求的供应商或者报价未超过采购预算的供应商不足3家的。</w:t>
      </w:r>
    </w:p>
    <w:p w14:paraId="1FA0CAC1">
      <w:pPr>
        <w:spacing w:line="440" w:lineRule="exact"/>
        <w:ind w:firstLine="420" w:firstLineChars="200"/>
        <w:rPr>
          <w:rFonts w:ascii="宋体" w:hAnsi="宋体" w:cs="宋体"/>
          <w:color w:val="auto"/>
          <w:szCs w:val="21"/>
        </w:rPr>
      </w:pPr>
      <w:r>
        <w:rPr>
          <w:rFonts w:hint="eastAsia" w:ascii="宋体" w:hAnsi="宋体" w:cs="宋体"/>
          <w:color w:val="auto"/>
          <w:szCs w:val="21"/>
        </w:rPr>
        <w:t>27.4 在采购活动中因重大变故，采购任务取消的，采购人或者采购代理机构应当终止采购活动，通知所有参加采购活动的供应商，并将项目实施情况和采购任务取消原因报送本级财政部门。</w:t>
      </w:r>
    </w:p>
    <w:p w14:paraId="50092291">
      <w:pPr>
        <w:spacing w:line="440" w:lineRule="exact"/>
        <w:ind w:firstLine="482" w:firstLineChars="200"/>
        <w:rPr>
          <w:rFonts w:ascii="宋体" w:hAnsi="宋体" w:cs="宋体"/>
          <w:b/>
          <w:bCs/>
          <w:color w:val="auto"/>
          <w:sz w:val="24"/>
        </w:rPr>
      </w:pPr>
      <w:r>
        <w:rPr>
          <w:rFonts w:hint="eastAsia" w:ascii="宋体" w:hAnsi="宋体" w:cs="宋体"/>
          <w:b/>
          <w:bCs/>
          <w:color w:val="auto"/>
          <w:sz w:val="24"/>
        </w:rPr>
        <w:t>28.履约保证金</w:t>
      </w:r>
    </w:p>
    <w:p w14:paraId="6D48FD6E">
      <w:pPr>
        <w:spacing w:line="440" w:lineRule="exact"/>
        <w:ind w:firstLine="424" w:firstLineChars="202"/>
        <w:rPr>
          <w:rFonts w:ascii="宋体" w:hAnsi="宋体" w:cs="宋体"/>
          <w:color w:val="auto"/>
          <w:szCs w:val="21"/>
        </w:rPr>
      </w:pPr>
      <w:r>
        <w:rPr>
          <w:rFonts w:hint="eastAsia" w:ascii="宋体" w:hAnsi="宋体" w:cs="宋体"/>
          <w:color w:val="auto"/>
          <w:szCs w:val="21"/>
        </w:rPr>
        <w:t>28.1履约保证金的金额、提交方式、退付的时间和条件详见 “供应商须知前附表”。成交供应商未按规定提交履约保证金的，视为拒绝</w:t>
      </w:r>
      <w:r>
        <w:rPr>
          <w:rFonts w:hint="eastAsia" w:ascii="宋体" w:hAnsi="宋体" w:cs="宋体"/>
          <w:color w:val="auto"/>
        </w:rPr>
        <w:t>与采购人</w:t>
      </w:r>
      <w:r>
        <w:rPr>
          <w:rFonts w:hint="eastAsia" w:ascii="宋体" w:hAnsi="宋体" w:cs="宋体"/>
          <w:color w:val="auto"/>
          <w:szCs w:val="21"/>
        </w:rPr>
        <w:t>签订合同。</w:t>
      </w:r>
    </w:p>
    <w:p w14:paraId="73809922">
      <w:pPr>
        <w:spacing w:line="440" w:lineRule="exact"/>
        <w:ind w:firstLine="424" w:firstLineChars="202"/>
        <w:rPr>
          <w:rFonts w:ascii="宋体" w:hAnsi="宋体" w:cs="宋体"/>
          <w:color w:val="auto"/>
          <w:szCs w:val="21"/>
        </w:rPr>
      </w:pPr>
      <w:r>
        <w:rPr>
          <w:rFonts w:hint="eastAsia" w:ascii="宋体" w:hAnsi="宋体" w:cs="宋体"/>
          <w:color w:val="auto"/>
          <w:szCs w:val="21"/>
        </w:rPr>
        <w:t>28.2在履约保证金退还日期前，若成交供应商的开户名称、开户银行、账号有变动的，请以书面形式通知履约保证金收取单位，否则由此产生的后果由成交供应商自行承担。</w:t>
      </w:r>
    </w:p>
    <w:p w14:paraId="303A8D67">
      <w:pPr>
        <w:spacing w:line="440" w:lineRule="exact"/>
        <w:ind w:firstLine="482" w:firstLineChars="200"/>
        <w:rPr>
          <w:rFonts w:ascii="宋体" w:hAnsi="宋体" w:cs="宋体"/>
          <w:b/>
          <w:bCs/>
          <w:color w:val="auto"/>
          <w:sz w:val="24"/>
        </w:rPr>
      </w:pPr>
      <w:r>
        <w:rPr>
          <w:rFonts w:hint="eastAsia" w:ascii="宋体" w:hAnsi="宋体" w:cs="宋体"/>
          <w:b/>
          <w:bCs/>
          <w:color w:val="auto"/>
          <w:sz w:val="24"/>
        </w:rPr>
        <w:t>29.签订合同</w:t>
      </w:r>
    </w:p>
    <w:p w14:paraId="4FB53D2A">
      <w:pPr>
        <w:spacing w:line="440" w:lineRule="exact"/>
        <w:ind w:firstLine="424" w:firstLineChars="202"/>
        <w:rPr>
          <w:rFonts w:ascii="宋体" w:hAnsi="宋体" w:cs="宋体"/>
          <w:color w:val="auto"/>
          <w:szCs w:val="21"/>
        </w:rPr>
      </w:pPr>
      <w:r>
        <w:rPr>
          <w:rFonts w:hint="eastAsia" w:ascii="宋体" w:hAnsi="宋体" w:cs="宋体"/>
          <w:color w:val="auto"/>
          <w:szCs w:val="21"/>
        </w:rPr>
        <w:t>29.1签订电子采购合同：成交供应商领取电子成交通知书后，在</w:t>
      </w:r>
      <w:r>
        <w:rPr>
          <w:rFonts w:hint="eastAsia" w:ascii="宋体" w:hAnsi="宋体" w:cs="宋体"/>
          <w:color w:val="auto"/>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2E24203A">
      <w:pPr>
        <w:spacing w:line="440" w:lineRule="exact"/>
        <w:ind w:firstLine="424" w:firstLineChars="202"/>
        <w:rPr>
          <w:rFonts w:ascii="宋体" w:hAnsi="宋体" w:cs="宋体"/>
          <w:color w:val="auto"/>
          <w:szCs w:val="21"/>
        </w:rPr>
      </w:pPr>
      <w:r>
        <w:rPr>
          <w:rFonts w:hint="eastAsia" w:ascii="宋体" w:hAnsi="宋体" w:cs="宋体"/>
          <w:color w:val="auto"/>
          <w:szCs w:val="21"/>
        </w:rPr>
        <w:t>线下签订纸质合同：供应商领取成交通知书后，按“供应商须知前附表”规定向采购人出示相关证明材料，经采购人核验合格后方可签订合同。</w:t>
      </w:r>
    </w:p>
    <w:p w14:paraId="65BCE76A">
      <w:pPr>
        <w:spacing w:line="440" w:lineRule="exact"/>
        <w:ind w:firstLine="424" w:firstLineChars="202"/>
        <w:rPr>
          <w:rFonts w:ascii="宋体" w:hAnsi="宋体" w:cs="宋体"/>
          <w:color w:val="auto"/>
          <w:szCs w:val="21"/>
        </w:rPr>
      </w:pPr>
      <w:r>
        <w:rPr>
          <w:rFonts w:hint="eastAsia" w:ascii="宋体" w:hAnsi="宋体" w:cs="宋体"/>
          <w:color w:val="auto"/>
          <w:szCs w:val="21"/>
        </w:rPr>
        <w:t>29.2签订合同时间：按成交通知书规定的时间与采购人签订合同。</w:t>
      </w:r>
    </w:p>
    <w:p w14:paraId="20915F79">
      <w:pPr>
        <w:spacing w:line="440" w:lineRule="exact"/>
        <w:ind w:firstLine="424" w:firstLineChars="202"/>
        <w:rPr>
          <w:rFonts w:ascii="宋体" w:hAnsi="宋体" w:cs="宋体"/>
          <w:color w:val="auto"/>
          <w:szCs w:val="21"/>
        </w:rPr>
      </w:pPr>
      <w:r>
        <w:rPr>
          <w:rFonts w:hint="eastAsia" w:ascii="宋体" w:hAnsi="宋体" w:cs="宋体"/>
          <w:color w:val="auto"/>
          <w:szCs w:val="21"/>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39D1F09D">
      <w:pPr>
        <w:spacing w:line="440" w:lineRule="exact"/>
        <w:ind w:firstLine="424" w:firstLineChars="202"/>
        <w:rPr>
          <w:rFonts w:ascii="宋体" w:hAnsi="宋体" w:cs="宋体"/>
          <w:color w:val="auto"/>
          <w:szCs w:val="21"/>
        </w:rPr>
      </w:pPr>
      <w:r>
        <w:rPr>
          <w:rFonts w:hint="eastAsia" w:ascii="宋体" w:hAnsi="宋体" w:cs="宋体"/>
          <w:color w:val="auto"/>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E87D7D2">
      <w:pPr>
        <w:spacing w:line="440" w:lineRule="exact"/>
        <w:ind w:firstLine="424" w:firstLineChars="202"/>
        <w:rPr>
          <w:rFonts w:ascii="宋体" w:hAnsi="宋体" w:cs="宋体"/>
          <w:color w:val="auto"/>
          <w:szCs w:val="21"/>
        </w:rPr>
      </w:pPr>
      <w:r>
        <w:rPr>
          <w:rFonts w:hint="eastAsia" w:ascii="宋体" w:hAnsi="宋体" w:cs="宋体"/>
          <w:color w:val="auto"/>
          <w:szCs w:val="21"/>
        </w:rPr>
        <w:t>29.5采购人或成交供应商不得单方面向合同另一方提出任何磋商文件没有约定的条件或不合理的要求，作为签订合同的条件；也不得协商另行订立背离磋商文件和合同实质性内容的协议。</w:t>
      </w:r>
    </w:p>
    <w:p w14:paraId="68567EBB">
      <w:pPr>
        <w:spacing w:line="440" w:lineRule="exact"/>
        <w:ind w:firstLine="424" w:firstLineChars="202"/>
        <w:rPr>
          <w:rFonts w:ascii="宋体" w:hAnsi="宋体" w:cs="宋体"/>
          <w:color w:val="auto"/>
          <w:szCs w:val="21"/>
        </w:rPr>
      </w:pPr>
      <w:r>
        <w:rPr>
          <w:rFonts w:hint="eastAsia" w:ascii="宋体" w:hAnsi="宋体" w:cs="宋体"/>
          <w:color w:val="auto"/>
          <w:szCs w:val="21"/>
        </w:rPr>
        <w:t>29.6如签订合同并生效后，供应商无故拒绝或延期，除按照合同条款处理外，将承担相应的法律责任。</w:t>
      </w:r>
    </w:p>
    <w:p w14:paraId="0225DC5D">
      <w:pPr>
        <w:spacing w:line="440" w:lineRule="exact"/>
        <w:ind w:firstLine="424" w:firstLineChars="202"/>
        <w:rPr>
          <w:rFonts w:ascii="宋体" w:hAnsi="宋体" w:cs="宋体"/>
          <w:color w:val="auto"/>
          <w:szCs w:val="21"/>
        </w:rPr>
      </w:pPr>
      <w:r>
        <w:rPr>
          <w:rFonts w:hint="eastAsia" w:ascii="宋体" w:hAnsi="宋体" w:cs="宋体"/>
          <w:color w:val="auto"/>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6C828B47">
      <w:pPr>
        <w:spacing w:line="440" w:lineRule="exact"/>
        <w:ind w:firstLine="482" w:firstLineChars="200"/>
        <w:rPr>
          <w:rFonts w:ascii="宋体" w:hAnsi="宋体" w:cs="宋体"/>
          <w:b/>
          <w:bCs/>
          <w:color w:val="auto"/>
          <w:sz w:val="24"/>
        </w:rPr>
      </w:pPr>
      <w:r>
        <w:rPr>
          <w:rFonts w:hint="eastAsia" w:ascii="宋体" w:hAnsi="宋体" w:cs="宋体"/>
          <w:b/>
          <w:bCs/>
          <w:color w:val="auto"/>
          <w:sz w:val="24"/>
        </w:rPr>
        <w:t>30.政府采购合同公告</w:t>
      </w:r>
    </w:p>
    <w:p w14:paraId="76912B1C">
      <w:pPr>
        <w:spacing w:line="440" w:lineRule="exact"/>
        <w:ind w:firstLine="420" w:firstLineChars="200"/>
        <w:rPr>
          <w:rFonts w:ascii="宋体" w:hAnsi="宋体" w:cs="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D8CA89B">
      <w:pPr>
        <w:spacing w:line="440" w:lineRule="exact"/>
        <w:ind w:firstLine="482" w:firstLineChars="200"/>
        <w:rPr>
          <w:rFonts w:ascii="宋体" w:hAnsi="宋体" w:cs="宋体"/>
          <w:b/>
          <w:bCs/>
          <w:color w:val="auto"/>
          <w:sz w:val="24"/>
        </w:rPr>
      </w:pPr>
      <w:r>
        <w:rPr>
          <w:rFonts w:hint="eastAsia" w:ascii="宋体" w:hAnsi="宋体" w:cs="宋体"/>
          <w:b/>
          <w:bCs/>
          <w:color w:val="auto"/>
          <w:sz w:val="24"/>
        </w:rPr>
        <w:t>31. 询问、质疑和投诉</w:t>
      </w:r>
    </w:p>
    <w:p w14:paraId="1C7EE22D">
      <w:pPr>
        <w:pStyle w:val="7"/>
        <w:spacing w:line="440" w:lineRule="exact"/>
        <w:rPr>
          <w:rFonts w:ascii="宋体" w:hAnsi="宋体" w:cs="宋体"/>
          <w:color w:val="auto"/>
          <w:szCs w:val="21"/>
        </w:rPr>
      </w:pPr>
      <w:r>
        <w:rPr>
          <w:rFonts w:hint="eastAsia" w:ascii="宋体" w:hAnsi="宋体" w:cs="宋体"/>
          <w:color w:val="auto"/>
        </w:rPr>
        <w:t>31.1供应商对政府采购活动事项有疑问的，可以向采购人、采购代理机构提出询问，采购人或者采购代理机构应当在3个工作日内对供应商依法提出的询问作出答复，</w:t>
      </w:r>
      <w:r>
        <w:rPr>
          <w:rFonts w:hint="eastAsia" w:ascii="宋体" w:hAnsi="宋体" w:cs="宋体"/>
          <w:color w:val="auto"/>
          <w:szCs w:val="21"/>
        </w:rPr>
        <w:t>但答复的内容不得涉及商业秘密</w:t>
      </w:r>
      <w:r>
        <w:rPr>
          <w:rFonts w:hint="eastAsia" w:ascii="宋体" w:hAnsi="宋体" w:cs="宋体"/>
          <w:color w:val="auto"/>
        </w:rPr>
        <w:t>。</w:t>
      </w:r>
    </w:p>
    <w:p w14:paraId="6B5E3837">
      <w:pPr>
        <w:spacing w:line="440" w:lineRule="exact"/>
        <w:ind w:firstLine="420" w:firstLineChars="200"/>
        <w:rPr>
          <w:rFonts w:ascii="宋体" w:hAnsi="宋体" w:cs="宋体"/>
          <w:color w:val="auto"/>
        </w:rPr>
      </w:pPr>
      <w:r>
        <w:rPr>
          <w:rFonts w:hint="eastAsia" w:ascii="宋体" w:hAnsi="宋体" w:cs="宋体"/>
          <w:color w:val="auto"/>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shd w:val="clear" w:color="auto" w:fill="FFFFFF"/>
        </w:rPr>
        <w:t>接收质疑函的方式、联系部门、联系电话和通讯地址等信息详见</w:t>
      </w:r>
      <w:r>
        <w:rPr>
          <w:rFonts w:hint="eastAsia" w:ascii="宋体" w:hAnsi="宋体" w:cs="宋体"/>
          <w:color w:val="auto"/>
          <w:szCs w:val="21"/>
        </w:rPr>
        <w:t>“供应商须知前附表”</w:t>
      </w:r>
      <w:r>
        <w:rPr>
          <w:rFonts w:hint="eastAsia" w:ascii="宋体" w:hAnsi="宋体" w:cs="宋体"/>
          <w:color w:val="auto"/>
        </w:rPr>
        <w:t>。具体质疑起算时间如下：</w:t>
      </w:r>
    </w:p>
    <w:p w14:paraId="65765FA0">
      <w:pPr>
        <w:spacing w:line="440" w:lineRule="exact"/>
        <w:ind w:firstLine="420" w:firstLineChars="200"/>
        <w:rPr>
          <w:rFonts w:ascii="宋体" w:hAnsi="宋体" w:cs="宋体"/>
          <w:color w:val="auto"/>
        </w:rPr>
      </w:pPr>
      <w:r>
        <w:rPr>
          <w:rFonts w:hint="eastAsia" w:ascii="宋体" w:hAnsi="宋体" w:cs="宋体"/>
          <w:color w:val="auto"/>
        </w:rPr>
        <w:t>（1）对可以质疑的磋商文件提出质疑的，为获取磋商文件之日或者竞争性磋商公告期限届满之日；</w:t>
      </w:r>
    </w:p>
    <w:p w14:paraId="61645ADA">
      <w:pPr>
        <w:spacing w:line="440" w:lineRule="exact"/>
        <w:ind w:firstLine="420" w:firstLineChars="200"/>
        <w:rPr>
          <w:rFonts w:ascii="宋体" w:hAnsi="宋体" w:cs="宋体"/>
          <w:color w:val="auto"/>
        </w:rPr>
      </w:pPr>
      <w:r>
        <w:rPr>
          <w:rFonts w:hint="eastAsia" w:ascii="宋体" w:hAnsi="宋体" w:cs="宋体"/>
          <w:color w:val="auto"/>
        </w:rPr>
        <w:t>（2）对采购过程提出质疑的，为各采购程序环节结束之日；</w:t>
      </w:r>
    </w:p>
    <w:p w14:paraId="66A25695">
      <w:pPr>
        <w:spacing w:line="440" w:lineRule="exact"/>
        <w:ind w:firstLine="420" w:firstLineChars="200"/>
        <w:rPr>
          <w:rFonts w:ascii="宋体" w:hAnsi="宋体" w:cs="宋体"/>
          <w:color w:val="auto"/>
        </w:rPr>
      </w:pPr>
      <w:r>
        <w:rPr>
          <w:rFonts w:hint="eastAsia" w:ascii="宋体" w:hAnsi="宋体" w:cs="宋体"/>
          <w:color w:val="auto"/>
        </w:rPr>
        <w:t>（3）对成交结果提出质疑的，为成交结果公告期限届满之日。</w:t>
      </w:r>
    </w:p>
    <w:p w14:paraId="184F4979">
      <w:pPr>
        <w:spacing w:line="440" w:lineRule="exact"/>
        <w:ind w:firstLine="420" w:firstLineChars="200"/>
        <w:rPr>
          <w:rFonts w:ascii="宋体" w:hAnsi="宋体" w:cs="宋体"/>
          <w:color w:val="auto"/>
        </w:rPr>
      </w:pPr>
      <w:r>
        <w:rPr>
          <w:rFonts w:hint="eastAsia" w:ascii="宋体" w:hAnsi="宋体" w:cs="宋体"/>
          <w:color w:val="auto"/>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12DDA62">
      <w:pPr>
        <w:spacing w:line="440" w:lineRule="exact"/>
        <w:ind w:firstLine="420" w:firstLineChars="200"/>
        <w:rPr>
          <w:rFonts w:ascii="宋体" w:hAnsi="宋体" w:cs="宋体"/>
          <w:color w:val="auto"/>
        </w:rPr>
      </w:pPr>
      <w:r>
        <w:rPr>
          <w:rFonts w:hint="eastAsia" w:ascii="宋体" w:hAnsi="宋体" w:cs="宋体"/>
          <w:color w:val="auto"/>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rPr>
        <w:t>（质疑函格式后附）</w:t>
      </w:r>
      <w:r>
        <w:rPr>
          <w:rFonts w:hint="eastAsia" w:ascii="宋体" w:hAnsi="宋体" w:cs="宋体"/>
          <w:color w:val="auto"/>
        </w:rPr>
        <w:t>：</w:t>
      </w:r>
    </w:p>
    <w:p w14:paraId="500A9BCC">
      <w:pPr>
        <w:spacing w:line="440" w:lineRule="exact"/>
        <w:ind w:firstLine="420" w:firstLineChars="200"/>
        <w:rPr>
          <w:rFonts w:ascii="宋体" w:hAnsi="宋体" w:cs="宋体"/>
          <w:color w:val="auto"/>
        </w:rPr>
      </w:pPr>
      <w:r>
        <w:rPr>
          <w:rFonts w:hint="eastAsia" w:ascii="宋体" w:hAnsi="宋体" w:cs="宋体"/>
          <w:color w:val="auto"/>
        </w:rPr>
        <w:t>（1）供应商的姓名或者名称、地址、邮编、联系人及联系电话；</w:t>
      </w:r>
    </w:p>
    <w:p w14:paraId="4F2DE0E1">
      <w:pPr>
        <w:spacing w:line="440" w:lineRule="exact"/>
        <w:ind w:firstLine="420" w:firstLineChars="200"/>
        <w:rPr>
          <w:rFonts w:ascii="宋体" w:hAnsi="宋体" w:cs="宋体"/>
          <w:color w:val="auto"/>
        </w:rPr>
      </w:pPr>
      <w:r>
        <w:rPr>
          <w:rFonts w:hint="eastAsia" w:ascii="宋体" w:hAnsi="宋体" w:cs="宋体"/>
          <w:color w:val="auto"/>
        </w:rPr>
        <w:t>（2）质疑项目的名称、编号；</w:t>
      </w:r>
    </w:p>
    <w:p w14:paraId="5778090A">
      <w:pPr>
        <w:spacing w:line="440" w:lineRule="exact"/>
        <w:ind w:firstLine="420" w:firstLineChars="200"/>
        <w:rPr>
          <w:rFonts w:ascii="宋体" w:hAnsi="宋体" w:cs="宋体"/>
          <w:color w:val="auto"/>
        </w:rPr>
      </w:pPr>
      <w:r>
        <w:rPr>
          <w:rFonts w:hint="eastAsia" w:ascii="宋体" w:hAnsi="宋体" w:cs="宋体"/>
          <w:color w:val="auto"/>
        </w:rPr>
        <w:t>（3）具体、明确的质疑事项和与质疑事项相关的请求；</w:t>
      </w:r>
    </w:p>
    <w:p w14:paraId="33A09688">
      <w:pPr>
        <w:spacing w:line="440" w:lineRule="exact"/>
        <w:ind w:firstLine="420" w:firstLineChars="200"/>
        <w:rPr>
          <w:rFonts w:ascii="宋体" w:hAnsi="宋体" w:cs="宋体"/>
          <w:color w:val="auto"/>
        </w:rPr>
      </w:pPr>
      <w:r>
        <w:rPr>
          <w:rFonts w:hint="eastAsia" w:ascii="宋体" w:hAnsi="宋体" w:cs="宋体"/>
          <w:color w:val="auto"/>
        </w:rPr>
        <w:t>（4）事实依据；</w:t>
      </w:r>
    </w:p>
    <w:p w14:paraId="4D80A28C">
      <w:pPr>
        <w:spacing w:line="440" w:lineRule="exact"/>
        <w:ind w:firstLine="420" w:firstLineChars="200"/>
        <w:rPr>
          <w:rFonts w:ascii="宋体" w:hAnsi="宋体" w:cs="宋体"/>
          <w:color w:val="auto"/>
        </w:rPr>
      </w:pPr>
      <w:r>
        <w:rPr>
          <w:rFonts w:hint="eastAsia" w:ascii="宋体" w:hAnsi="宋体" w:cs="宋体"/>
          <w:color w:val="auto"/>
        </w:rPr>
        <w:t>（5）必要的法律依据；</w:t>
      </w:r>
    </w:p>
    <w:p w14:paraId="4BDE8464">
      <w:pPr>
        <w:spacing w:line="440" w:lineRule="exact"/>
        <w:ind w:firstLine="420" w:firstLineChars="200"/>
        <w:rPr>
          <w:rFonts w:ascii="宋体" w:hAnsi="宋体" w:cs="宋体"/>
          <w:color w:val="auto"/>
        </w:rPr>
      </w:pPr>
      <w:r>
        <w:rPr>
          <w:rFonts w:hint="eastAsia" w:ascii="宋体" w:hAnsi="宋体" w:cs="宋体"/>
          <w:color w:val="auto"/>
        </w:rPr>
        <w:t>（6）提出质疑的日期。</w:t>
      </w:r>
    </w:p>
    <w:p w14:paraId="0CCA1619">
      <w:pPr>
        <w:spacing w:line="440" w:lineRule="exact"/>
        <w:ind w:firstLine="420" w:firstLineChars="200"/>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55A5EDF5">
      <w:pPr>
        <w:spacing w:line="440" w:lineRule="exact"/>
        <w:ind w:firstLine="420" w:firstLineChars="200"/>
        <w:rPr>
          <w:rFonts w:ascii="宋体" w:hAnsi="宋体" w:cs="宋体"/>
          <w:color w:val="auto"/>
        </w:rPr>
      </w:pPr>
      <w:r>
        <w:rPr>
          <w:rFonts w:hint="eastAsia" w:ascii="宋体" w:hAnsi="宋体" w:cs="宋体"/>
          <w:color w:val="auto"/>
        </w:rPr>
        <w:t>31.5采购人、采购代理机构认为供应商质疑不成立，或者成立但未对成交结果构成影响的，继续开展采购活动；认为供应商质疑成立且影响或者可能影响成交结果的，按照下列情况处理：</w:t>
      </w:r>
    </w:p>
    <w:p w14:paraId="05EC9269">
      <w:pPr>
        <w:spacing w:line="440" w:lineRule="exact"/>
        <w:ind w:firstLine="420" w:firstLineChars="200"/>
        <w:rPr>
          <w:rFonts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14:paraId="05B019D6">
      <w:pPr>
        <w:spacing w:line="440" w:lineRule="exact"/>
        <w:ind w:firstLine="420" w:firstLineChars="200"/>
        <w:rPr>
          <w:rFonts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40393563">
      <w:pPr>
        <w:spacing w:line="440" w:lineRule="exact"/>
        <w:ind w:firstLine="420" w:firstLineChars="200"/>
        <w:rPr>
          <w:rFonts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127F4858">
      <w:pPr>
        <w:spacing w:line="440" w:lineRule="exact"/>
        <w:ind w:firstLine="420" w:firstLineChars="200"/>
        <w:rPr>
          <w:rFonts w:ascii="宋体" w:hAnsi="宋体" w:cs="宋体"/>
          <w:color w:val="auto"/>
          <w:szCs w:val="21"/>
        </w:rPr>
      </w:pPr>
      <w:r>
        <w:rPr>
          <w:rFonts w:hint="eastAsia" w:ascii="宋体" w:hAnsi="宋体" w:cs="宋体"/>
          <w:color w:val="auto"/>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7670CA64">
      <w:pPr>
        <w:spacing w:line="440" w:lineRule="exact"/>
        <w:ind w:firstLine="482" w:firstLineChars="200"/>
        <w:rPr>
          <w:rFonts w:ascii="宋体" w:hAnsi="宋体" w:cs="宋体"/>
          <w:b/>
          <w:bCs/>
          <w:color w:val="auto"/>
          <w:sz w:val="24"/>
        </w:rPr>
      </w:pPr>
      <w:r>
        <w:rPr>
          <w:rFonts w:hint="eastAsia" w:ascii="宋体" w:hAnsi="宋体" w:cs="宋体"/>
          <w:b/>
          <w:bCs/>
          <w:color w:val="auto"/>
          <w:sz w:val="24"/>
        </w:rPr>
        <w:t>32.其他内容</w:t>
      </w:r>
    </w:p>
    <w:p w14:paraId="59DC9283">
      <w:pPr>
        <w:tabs>
          <w:tab w:val="left" w:pos="2835"/>
        </w:tabs>
        <w:spacing w:line="440" w:lineRule="exact"/>
        <w:ind w:firstLine="420" w:firstLineChars="200"/>
        <w:rPr>
          <w:rFonts w:ascii="宋体" w:hAnsi="宋体" w:cs="宋体"/>
          <w:color w:val="auto"/>
          <w:szCs w:val="21"/>
        </w:rPr>
      </w:pPr>
      <w:r>
        <w:rPr>
          <w:rFonts w:hint="eastAsia" w:ascii="宋体" w:hAnsi="宋体" w:cs="宋体"/>
          <w:color w:val="auto"/>
          <w:szCs w:val="21"/>
        </w:rPr>
        <w:t>32.1代理服务收取标准及缴费账户详见“供应商须知前附表”，供应商为联合体的，可以由联合体中的一方或者多方共同交纳代理服务费。</w:t>
      </w:r>
    </w:p>
    <w:p w14:paraId="2A91E49D">
      <w:pPr>
        <w:spacing w:line="440" w:lineRule="exact"/>
        <w:ind w:firstLine="482" w:firstLineChars="200"/>
        <w:rPr>
          <w:rFonts w:ascii="宋体" w:hAnsi="宋体" w:cs="宋体"/>
          <w:b/>
          <w:bCs/>
          <w:color w:val="auto"/>
          <w:sz w:val="24"/>
        </w:rPr>
      </w:pPr>
      <w:r>
        <w:rPr>
          <w:rFonts w:hint="eastAsia" w:ascii="宋体" w:hAnsi="宋体" w:cs="宋体"/>
          <w:b/>
          <w:bCs/>
          <w:color w:val="auto"/>
          <w:sz w:val="24"/>
        </w:rPr>
        <w:t>33.需要补充的其他内容</w:t>
      </w:r>
    </w:p>
    <w:p w14:paraId="45CA1E82">
      <w:pPr>
        <w:pStyle w:val="28"/>
        <w:spacing w:line="440" w:lineRule="exact"/>
        <w:ind w:firstLine="420" w:firstLineChars="200"/>
        <w:textAlignment w:val="center"/>
        <w:rPr>
          <w:rFonts w:hAnsi="宋体" w:cs="宋体"/>
          <w:color w:val="auto"/>
          <w:kern w:val="2"/>
          <w:sz w:val="21"/>
        </w:rPr>
      </w:pPr>
      <w:r>
        <w:rPr>
          <w:rFonts w:hint="eastAsia" w:hAnsi="宋体" w:cs="宋体"/>
          <w:color w:val="auto"/>
          <w:kern w:val="2"/>
          <w:sz w:val="21"/>
        </w:rPr>
        <w:t>33.1本磋商文件解释规则详见“供应商须知前附表”。</w:t>
      </w:r>
    </w:p>
    <w:p w14:paraId="56ED5C8E">
      <w:pPr>
        <w:pStyle w:val="28"/>
        <w:spacing w:line="440" w:lineRule="exact"/>
        <w:ind w:firstLine="420" w:firstLineChars="200"/>
        <w:textAlignment w:val="center"/>
        <w:rPr>
          <w:rFonts w:hAnsi="宋体" w:cs="宋体"/>
          <w:color w:val="auto"/>
          <w:kern w:val="2"/>
          <w:sz w:val="21"/>
        </w:rPr>
      </w:pPr>
      <w:r>
        <w:rPr>
          <w:rFonts w:hint="eastAsia" w:hAnsi="宋体" w:cs="宋体"/>
          <w:color w:val="auto"/>
          <w:kern w:val="2"/>
          <w:sz w:val="21"/>
        </w:rPr>
        <w:t>33.2农民工工资保证金见“供应商须知前附表”。</w:t>
      </w:r>
    </w:p>
    <w:p w14:paraId="666F00EB">
      <w:pPr>
        <w:pStyle w:val="28"/>
        <w:spacing w:line="440" w:lineRule="exact"/>
        <w:ind w:firstLine="420" w:firstLineChars="200"/>
        <w:textAlignment w:val="center"/>
        <w:rPr>
          <w:rFonts w:hAnsi="宋体" w:cs="宋体"/>
          <w:color w:val="auto"/>
          <w:kern w:val="2"/>
          <w:sz w:val="21"/>
        </w:rPr>
      </w:pPr>
      <w:r>
        <w:rPr>
          <w:rFonts w:hint="eastAsia" w:hAnsi="宋体" w:cs="宋体"/>
          <w:color w:val="auto"/>
          <w:kern w:val="2"/>
          <w:sz w:val="21"/>
        </w:rPr>
        <w:t>33.3 其他事项详见“供应商须知前附表”。</w:t>
      </w:r>
    </w:p>
    <w:p w14:paraId="7FFAA33A">
      <w:pPr>
        <w:pStyle w:val="28"/>
        <w:spacing w:line="440" w:lineRule="exact"/>
        <w:ind w:firstLine="420" w:firstLineChars="200"/>
        <w:textAlignment w:val="center"/>
        <w:rPr>
          <w:rFonts w:hAnsi="宋体" w:cs="宋体"/>
          <w:color w:val="auto"/>
          <w:kern w:val="2"/>
          <w:sz w:val="21"/>
        </w:rPr>
      </w:pPr>
      <w:r>
        <w:rPr>
          <w:rFonts w:hint="eastAsia" w:hAnsi="宋体" w:cs="宋体"/>
          <w:color w:val="auto"/>
          <w:kern w:val="2"/>
          <w:sz w:val="21"/>
        </w:rPr>
        <w:t>33.4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BFDAC59">
      <w:pPr>
        <w:pStyle w:val="28"/>
        <w:spacing w:line="440" w:lineRule="exact"/>
        <w:ind w:firstLine="420" w:firstLineChars="200"/>
        <w:contextualSpacing/>
        <w:rPr>
          <w:rFonts w:hAnsi="宋体" w:cs="宋体"/>
          <w:color w:val="auto"/>
          <w:sz w:val="21"/>
        </w:rPr>
      </w:pPr>
      <w:r>
        <w:rPr>
          <w:rFonts w:hint="eastAsia" w:hAnsi="宋体" w:cs="宋体"/>
          <w:color w:val="auto"/>
          <w:sz w:val="21"/>
        </w:rPr>
        <w:t>（1）在货物采购项目中，货物由中小企业制造，即货物由中小企业生产且使用该中小企业商号或者注册商标，不对其中涉及的工程承建商和服务的承接商作出要求；</w:t>
      </w:r>
    </w:p>
    <w:p w14:paraId="3192F525">
      <w:pPr>
        <w:pStyle w:val="28"/>
        <w:spacing w:line="440" w:lineRule="exact"/>
        <w:ind w:firstLine="420" w:firstLineChars="200"/>
        <w:contextualSpacing/>
        <w:rPr>
          <w:rFonts w:hAnsi="宋体" w:cs="宋体"/>
          <w:color w:val="auto"/>
          <w:sz w:val="21"/>
        </w:rPr>
      </w:pPr>
      <w:r>
        <w:rPr>
          <w:rFonts w:hint="eastAsia" w:hAnsi="宋体" w:cs="宋体"/>
          <w:color w:val="auto"/>
          <w:sz w:val="21"/>
        </w:rPr>
        <w:t>（2）在工程采购项目中，工程由中小企业承建，即工程施工单位为中小企业，不对其中涉及的货物的制造商和服务的承接商作出要求；</w:t>
      </w:r>
    </w:p>
    <w:p w14:paraId="0D057D36">
      <w:pPr>
        <w:pStyle w:val="28"/>
        <w:spacing w:line="440" w:lineRule="exact"/>
        <w:ind w:firstLine="420" w:firstLineChars="200"/>
        <w:contextualSpacing/>
        <w:rPr>
          <w:rFonts w:hAnsi="宋体" w:cs="宋体"/>
          <w:color w:val="auto"/>
          <w:sz w:val="21"/>
        </w:rPr>
      </w:pPr>
      <w:r>
        <w:rPr>
          <w:rFonts w:hint="eastAsia" w:hAnsi="宋体" w:cs="宋体"/>
          <w:color w:val="auto"/>
          <w:sz w:val="21"/>
        </w:rPr>
        <w:t>（3）在服务采购项目中，服务由中小企业承接，即提供服务的人员为中小企业依照《中华人民共和国劳动合同法》订立劳动合同的从业人员，不对其中涉及的货物的制造商和工程承建商作出要求。</w:t>
      </w:r>
    </w:p>
    <w:p w14:paraId="0A4BAEBC">
      <w:pPr>
        <w:pStyle w:val="28"/>
        <w:spacing w:line="440" w:lineRule="exact"/>
        <w:ind w:firstLine="420" w:firstLineChars="200"/>
        <w:contextualSpacing/>
        <w:rPr>
          <w:rFonts w:hAnsi="宋体" w:cs="宋体"/>
          <w:color w:val="auto"/>
          <w:sz w:val="21"/>
        </w:rPr>
      </w:pPr>
      <w:r>
        <w:rPr>
          <w:rFonts w:hint="eastAsia" w:hAnsi="宋体" w:cs="宋体"/>
          <w:color w:val="auto"/>
          <w:kern w:val="2"/>
          <w:sz w:val="21"/>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s="宋体"/>
          <w:color w:val="auto"/>
          <w:sz w:val="21"/>
        </w:rPr>
        <w:t>中小企业的，联合体视同中小企业。其中，联合体各方均为小微企业的，联合体视同小微企业。</w:t>
      </w:r>
    </w:p>
    <w:p w14:paraId="77F5C672">
      <w:pPr>
        <w:pStyle w:val="28"/>
        <w:spacing w:line="440" w:lineRule="exact"/>
        <w:ind w:firstLine="420" w:firstLineChars="200"/>
        <w:contextualSpacing/>
        <w:rPr>
          <w:rFonts w:hAnsi="宋体" w:cs="宋体"/>
          <w:color w:val="auto"/>
          <w:sz w:val="21"/>
        </w:rPr>
      </w:pPr>
      <w:r>
        <w:rPr>
          <w:rFonts w:hint="eastAsia" w:hAnsi="宋体" w:cs="宋体"/>
          <w:color w:val="auto"/>
          <w:sz w:val="21"/>
        </w:rPr>
        <w:t>依据本磋商文件规定享受扶持政策获得政府采购合同的，小微企业不得将合同分包给大中型企业，中型企业不得将合同分包给大型企业。</w:t>
      </w:r>
    </w:p>
    <w:p w14:paraId="68C9BB26">
      <w:pPr>
        <w:spacing w:line="440" w:lineRule="exact"/>
        <w:rPr>
          <w:rFonts w:ascii="宋体" w:hAnsi="宋体" w:cs="宋体"/>
          <w:b/>
          <w:color w:val="auto"/>
        </w:rPr>
      </w:pPr>
      <w:r>
        <w:rPr>
          <w:rFonts w:hint="eastAsia" w:ascii="宋体" w:hAnsi="宋体" w:cs="宋体"/>
          <w:b/>
          <w:color w:val="auto"/>
        </w:rPr>
        <w:br w:type="page"/>
      </w:r>
    </w:p>
    <w:p w14:paraId="10AB2B98">
      <w:pPr>
        <w:spacing w:line="440" w:lineRule="exact"/>
        <w:jc w:val="left"/>
        <w:rPr>
          <w:rFonts w:ascii="宋体" w:hAnsi="宋体" w:cs="宋体"/>
          <w:color w:val="auto"/>
          <w:kern w:val="0"/>
          <w:sz w:val="32"/>
          <w:szCs w:val="32"/>
        </w:rPr>
      </w:pPr>
      <w:r>
        <w:rPr>
          <w:rFonts w:hint="eastAsia" w:ascii="宋体" w:hAnsi="宋体" w:cs="宋体"/>
          <w:color w:val="auto"/>
          <w:kern w:val="0"/>
          <w:sz w:val="32"/>
          <w:szCs w:val="32"/>
        </w:rPr>
        <w:t>附件1</w:t>
      </w:r>
    </w:p>
    <w:p w14:paraId="1E93BFB1">
      <w:pPr>
        <w:jc w:val="center"/>
        <w:rPr>
          <w:rFonts w:ascii="宋体" w:hAnsi="宋体" w:cs="宋体"/>
          <w:b/>
          <w:bCs/>
          <w:color w:val="auto"/>
          <w:sz w:val="32"/>
          <w:szCs w:val="32"/>
        </w:rPr>
      </w:pPr>
      <w:r>
        <w:rPr>
          <w:rFonts w:hint="eastAsia" w:ascii="宋体" w:hAnsi="宋体" w:cs="宋体"/>
          <w:b/>
          <w:bCs/>
          <w:color w:val="auto"/>
          <w:sz w:val="32"/>
          <w:szCs w:val="32"/>
        </w:rPr>
        <w:t>统计上大中小微型企业划分标准</w:t>
      </w:r>
    </w:p>
    <w:tbl>
      <w:tblPr>
        <w:tblStyle w:val="47"/>
        <w:tblW w:w="9825" w:type="dxa"/>
        <w:jc w:val="center"/>
        <w:tblLayout w:type="fixed"/>
        <w:tblCellMar>
          <w:top w:w="0" w:type="dxa"/>
          <w:left w:w="108" w:type="dxa"/>
          <w:bottom w:w="0" w:type="dxa"/>
          <w:right w:w="108" w:type="dxa"/>
        </w:tblCellMar>
      </w:tblPr>
      <w:tblGrid>
        <w:gridCol w:w="2003"/>
        <w:gridCol w:w="1300"/>
        <w:gridCol w:w="733"/>
        <w:gridCol w:w="1362"/>
        <w:gridCol w:w="1805"/>
        <w:gridCol w:w="1587"/>
        <w:gridCol w:w="1035"/>
      </w:tblGrid>
      <w:tr w14:paraId="506DB9D6">
        <w:tblPrEx>
          <w:tblCellMar>
            <w:top w:w="0" w:type="dxa"/>
            <w:left w:w="108" w:type="dxa"/>
            <w:bottom w:w="0" w:type="dxa"/>
            <w:right w:w="108" w:type="dxa"/>
          </w:tblCellMar>
        </w:tblPrEx>
        <w:trPr>
          <w:trHeight w:val="622" w:hRule="exact"/>
          <w:jc w:val="center"/>
        </w:trPr>
        <w:tc>
          <w:tcPr>
            <w:tcW w:w="2003" w:type="dxa"/>
            <w:tcBorders>
              <w:top w:val="single" w:color="auto" w:sz="4" w:space="0"/>
              <w:left w:val="single" w:color="auto" w:sz="4" w:space="0"/>
              <w:bottom w:val="single" w:color="auto" w:sz="4" w:space="0"/>
              <w:right w:val="single" w:color="auto" w:sz="4" w:space="0"/>
            </w:tcBorders>
            <w:noWrap/>
            <w:vAlign w:val="center"/>
          </w:tcPr>
          <w:p w14:paraId="7E8F5AF5">
            <w:pPr>
              <w:widowControl/>
              <w:spacing w:line="240" w:lineRule="exact"/>
              <w:jc w:val="center"/>
              <w:rPr>
                <w:rFonts w:ascii="宋体" w:hAnsi="宋体" w:cs="宋体"/>
                <w:b/>
                <w:bCs/>
                <w:color w:val="auto"/>
                <w:kern w:val="0"/>
                <w:sz w:val="18"/>
                <w:szCs w:val="21"/>
              </w:rPr>
            </w:pPr>
            <w:r>
              <w:rPr>
                <w:rFonts w:hint="eastAsia" w:ascii="宋体" w:hAnsi="宋体" w:cs="宋体"/>
                <w:b/>
                <w:bCs/>
                <w:color w:val="auto"/>
                <w:kern w:val="0"/>
                <w:sz w:val="18"/>
                <w:szCs w:val="21"/>
              </w:rPr>
              <w:t>行业名称</w:t>
            </w:r>
          </w:p>
        </w:tc>
        <w:tc>
          <w:tcPr>
            <w:tcW w:w="1300" w:type="dxa"/>
            <w:tcBorders>
              <w:top w:val="single" w:color="auto" w:sz="4" w:space="0"/>
              <w:left w:val="single" w:color="auto" w:sz="4" w:space="0"/>
              <w:bottom w:val="single" w:color="auto" w:sz="4" w:space="0"/>
              <w:right w:val="single" w:color="auto" w:sz="4" w:space="0"/>
            </w:tcBorders>
            <w:noWrap/>
            <w:vAlign w:val="center"/>
          </w:tcPr>
          <w:p w14:paraId="38A78E16">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指标名称</w:t>
            </w:r>
          </w:p>
        </w:tc>
        <w:tc>
          <w:tcPr>
            <w:tcW w:w="733" w:type="dxa"/>
            <w:tcBorders>
              <w:top w:val="single" w:color="auto" w:sz="4" w:space="0"/>
              <w:left w:val="single" w:color="auto" w:sz="4" w:space="0"/>
              <w:bottom w:val="single" w:color="auto" w:sz="4" w:space="0"/>
              <w:right w:val="single" w:color="auto" w:sz="4" w:space="0"/>
            </w:tcBorders>
            <w:noWrap/>
            <w:vAlign w:val="center"/>
          </w:tcPr>
          <w:p w14:paraId="13E03014">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计量</w:t>
            </w:r>
          </w:p>
          <w:p w14:paraId="19DBCDD4">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单位</w:t>
            </w:r>
          </w:p>
        </w:tc>
        <w:tc>
          <w:tcPr>
            <w:tcW w:w="1362" w:type="dxa"/>
            <w:tcBorders>
              <w:top w:val="single" w:color="auto" w:sz="4" w:space="0"/>
              <w:left w:val="single" w:color="auto" w:sz="4" w:space="0"/>
              <w:bottom w:val="single" w:color="auto" w:sz="4" w:space="0"/>
              <w:right w:val="single" w:color="auto" w:sz="4" w:space="0"/>
            </w:tcBorders>
            <w:noWrap/>
            <w:vAlign w:val="center"/>
          </w:tcPr>
          <w:p w14:paraId="524E1B2A">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大型</w:t>
            </w:r>
          </w:p>
        </w:tc>
        <w:tc>
          <w:tcPr>
            <w:tcW w:w="1805" w:type="dxa"/>
            <w:tcBorders>
              <w:top w:val="single" w:color="auto" w:sz="4" w:space="0"/>
              <w:left w:val="single" w:color="auto" w:sz="4" w:space="0"/>
              <w:bottom w:val="single" w:color="auto" w:sz="4" w:space="0"/>
              <w:right w:val="single" w:color="auto" w:sz="4" w:space="0"/>
            </w:tcBorders>
            <w:noWrap/>
            <w:vAlign w:val="center"/>
          </w:tcPr>
          <w:p w14:paraId="2481D9D1">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中型</w:t>
            </w:r>
          </w:p>
        </w:tc>
        <w:tc>
          <w:tcPr>
            <w:tcW w:w="1587" w:type="dxa"/>
            <w:tcBorders>
              <w:top w:val="single" w:color="auto" w:sz="4" w:space="0"/>
              <w:left w:val="single" w:color="auto" w:sz="4" w:space="0"/>
              <w:bottom w:val="single" w:color="auto" w:sz="4" w:space="0"/>
              <w:right w:val="single" w:color="auto" w:sz="4" w:space="0"/>
            </w:tcBorders>
            <w:noWrap/>
            <w:vAlign w:val="center"/>
          </w:tcPr>
          <w:p w14:paraId="07C5EC7F">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小型</w:t>
            </w:r>
          </w:p>
        </w:tc>
        <w:tc>
          <w:tcPr>
            <w:tcW w:w="1035" w:type="dxa"/>
            <w:tcBorders>
              <w:top w:val="single" w:color="auto" w:sz="4" w:space="0"/>
              <w:left w:val="single" w:color="auto" w:sz="4" w:space="0"/>
              <w:bottom w:val="single" w:color="auto" w:sz="4" w:space="0"/>
              <w:right w:val="single" w:color="auto" w:sz="4" w:space="0"/>
            </w:tcBorders>
            <w:noWrap/>
            <w:vAlign w:val="center"/>
          </w:tcPr>
          <w:p w14:paraId="728ADD6D">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微型</w:t>
            </w:r>
          </w:p>
        </w:tc>
      </w:tr>
      <w:tr w14:paraId="02D3F892">
        <w:tblPrEx>
          <w:tblCellMar>
            <w:top w:w="0" w:type="dxa"/>
            <w:left w:w="108" w:type="dxa"/>
            <w:bottom w:w="0" w:type="dxa"/>
            <w:right w:w="108" w:type="dxa"/>
          </w:tblCellMar>
        </w:tblPrEx>
        <w:trPr>
          <w:trHeight w:val="397" w:hRule="exact"/>
          <w:jc w:val="center"/>
        </w:trPr>
        <w:tc>
          <w:tcPr>
            <w:tcW w:w="2003" w:type="dxa"/>
            <w:tcBorders>
              <w:top w:val="single" w:color="auto" w:sz="4" w:space="0"/>
              <w:left w:val="single" w:color="auto" w:sz="4" w:space="0"/>
              <w:bottom w:val="single" w:color="auto" w:sz="4" w:space="0"/>
              <w:right w:val="single" w:color="auto" w:sz="4" w:space="0"/>
            </w:tcBorders>
            <w:noWrap/>
            <w:vAlign w:val="center"/>
          </w:tcPr>
          <w:p w14:paraId="1E83A30B">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农、林、牧、渔业</w:t>
            </w:r>
          </w:p>
        </w:tc>
        <w:tc>
          <w:tcPr>
            <w:tcW w:w="1300" w:type="dxa"/>
            <w:tcBorders>
              <w:top w:val="single" w:color="auto" w:sz="4" w:space="0"/>
              <w:left w:val="single" w:color="auto" w:sz="4" w:space="0"/>
              <w:bottom w:val="single" w:color="auto" w:sz="4" w:space="0"/>
              <w:right w:val="single" w:color="auto" w:sz="4" w:space="0"/>
            </w:tcBorders>
            <w:noWrap/>
            <w:vAlign w:val="center"/>
          </w:tcPr>
          <w:p w14:paraId="6FC15F23">
            <w:pPr>
              <w:widowControl/>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33" w:type="dxa"/>
            <w:tcBorders>
              <w:top w:val="single" w:color="auto" w:sz="4" w:space="0"/>
              <w:left w:val="single" w:color="auto" w:sz="4" w:space="0"/>
              <w:bottom w:val="single" w:color="auto" w:sz="4" w:space="0"/>
              <w:right w:val="single" w:color="auto" w:sz="4" w:space="0"/>
            </w:tcBorders>
            <w:noWrap/>
            <w:vAlign w:val="center"/>
          </w:tcPr>
          <w:p w14:paraId="73597D13">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362" w:type="dxa"/>
            <w:tcBorders>
              <w:top w:val="single" w:color="auto" w:sz="4" w:space="0"/>
              <w:left w:val="single" w:color="auto" w:sz="4" w:space="0"/>
              <w:bottom w:val="single" w:color="auto" w:sz="4" w:space="0"/>
              <w:right w:val="single" w:color="auto" w:sz="4" w:space="0"/>
            </w:tcBorders>
            <w:noWrap/>
            <w:vAlign w:val="center"/>
          </w:tcPr>
          <w:p w14:paraId="7C8DC00A">
            <w:pPr>
              <w:widowControl/>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805" w:type="dxa"/>
            <w:tcBorders>
              <w:top w:val="single" w:color="auto" w:sz="4" w:space="0"/>
              <w:left w:val="single" w:color="auto" w:sz="4" w:space="0"/>
              <w:bottom w:val="single" w:color="auto" w:sz="4" w:space="0"/>
              <w:right w:val="single" w:color="auto" w:sz="4" w:space="0"/>
            </w:tcBorders>
            <w:noWrap/>
            <w:vAlign w:val="center"/>
          </w:tcPr>
          <w:p w14:paraId="650A7B53">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 500≤Y＜20000</w:t>
            </w:r>
          </w:p>
        </w:tc>
        <w:tc>
          <w:tcPr>
            <w:tcW w:w="1587" w:type="dxa"/>
            <w:tcBorders>
              <w:top w:val="single" w:color="auto" w:sz="4" w:space="0"/>
              <w:left w:val="single" w:color="auto" w:sz="4" w:space="0"/>
              <w:bottom w:val="single" w:color="auto" w:sz="4" w:space="0"/>
              <w:right w:val="single" w:color="auto" w:sz="4" w:space="0"/>
            </w:tcBorders>
            <w:noWrap/>
            <w:vAlign w:val="center"/>
          </w:tcPr>
          <w:p w14:paraId="55AA3101">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 50≤Y＜500</w:t>
            </w:r>
          </w:p>
        </w:tc>
        <w:tc>
          <w:tcPr>
            <w:tcW w:w="1035" w:type="dxa"/>
            <w:tcBorders>
              <w:top w:val="single" w:color="auto" w:sz="4" w:space="0"/>
              <w:left w:val="single" w:color="auto" w:sz="4" w:space="0"/>
              <w:bottom w:val="single" w:color="auto" w:sz="4" w:space="0"/>
              <w:right w:val="single" w:color="auto" w:sz="4" w:space="0"/>
            </w:tcBorders>
            <w:noWrap/>
            <w:vAlign w:val="center"/>
          </w:tcPr>
          <w:p w14:paraId="60EBF8FB">
            <w:pPr>
              <w:widowControl/>
              <w:jc w:val="center"/>
              <w:rPr>
                <w:rFonts w:ascii="宋体" w:hAnsi="宋体" w:cs="宋体"/>
                <w:color w:val="auto"/>
                <w:kern w:val="0"/>
                <w:sz w:val="18"/>
                <w:szCs w:val="18"/>
              </w:rPr>
            </w:pPr>
            <w:r>
              <w:rPr>
                <w:rFonts w:hint="eastAsia" w:ascii="宋体" w:hAnsi="宋体" w:cs="宋体"/>
                <w:color w:val="auto"/>
                <w:kern w:val="0"/>
                <w:sz w:val="18"/>
                <w:szCs w:val="18"/>
              </w:rPr>
              <w:t>Y＜50</w:t>
            </w:r>
          </w:p>
        </w:tc>
      </w:tr>
      <w:tr w14:paraId="4197F32E">
        <w:tblPrEx>
          <w:tblCellMar>
            <w:top w:w="0" w:type="dxa"/>
            <w:left w:w="108" w:type="dxa"/>
            <w:bottom w:w="0" w:type="dxa"/>
            <w:right w:w="108" w:type="dxa"/>
          </w:tblCellMar>
        </w:tblPrEx>
        <w:trPr>
          <w:trHeight w:val="397" w:hRule="exact"/>
          <w:jc w:val="center"/>
        </w:trPr>
        <w:tc>
          <w:tcPr>
            <w:tcW w:w="2003" w:type="dxa"/>
            <w:vMerge w:val="restart"/>
            <w:tcBorders>
              <w:top w:val="single" w:color="auto" w:sz="4" w:space="0"/>
              <w:left w:val="single" w:color="auto" w:sz="4" w:space="0"/>
              <w:bottom w:val="single" w:color="auto" w:sz="4" w:space="0"/>
              <w:right w:val="single" w:color="auto" w:sz="4" w:space="0"/>
            </w:tcBorders>
            <w:noWrap/>
            <w:vAlign w:val="center"/>
          </w:tcPr>
          <w:p w14:paraId="09CB3E17">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工业 *</w:t>
            </w:r>
          </w:p>
        </w:tc>
        <w:tc>
          <w:tcPr>
            <w:tcW w:w="1300" w:type="dxa"/>
            <w:tcBorders>
              <w:top w:val="single" w:color="auto" w:sz="4" w:space="0"/>
              <w:left w:val="single" w:color="auto" w:sz="4" w:space="0"/>
              <w:bottom w:val="single" w:color="auto" w:sz="4" w:space="0"/>
              <w:right w:val="single" w:color="auto" w:sz="4" w:space="0"/>
            </w:tcBorders>
            <w:noWrap/>
            <w:vAlign w:val="center"/>
          </w:tcPr>
          <w:p w14:paraId="3D89A1FB">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33" w:type="dxa"/>
            <w:tcBorders>
              <w:top w:val="single" w:color="auto" w:sz="4" w:space="0"/>
              <w:left w:val="single" w:color="auto" w:sz="4" w:space="0"/>
              <w:bottom w:val="single" w:color="auto" w:sz="4" w:space="0"/>
              <w:right w:val="single" w:color="auto" w:sz="4" w:space="0"/>
            </w:tcBorders>
            <w:noWrap/>
            <w:vAlign w:val="center"/>
          </w:tcPr>
          <w:p w14:paraId="6D17E4AD">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362" w:type="dxa"/>
            <w:tcBorders>
              <w:top w:val="single" w:color="auto" w:sz="4" w:space="0"/>
              <w:left w:val="single" w:color="auto" w:sz="4" w:space="0"/>
              <w:bottom w:val="single" w:color="auto" w:sz="4" w:space="0"/>
              <w:right w:val="single" w:color="auto" w:sz="4" w:space="0"/>
            </w:tcBorders>
            <w:noWrap/>
            <w:vAlign w:val="center"/>
          </w:tcPr>
          <w:p w14:paraId="6B0FE02F">
            <w:pPr>
              <w:widowControl/>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805" w:type="dxa"/>
            <w:tcBorders>
              <w:top w:val="single" w:color="auto" w:sz="4" w:space="0"/>
              <w:left w:val="single" w:color="auto" w:sz="4" w:space="0"/>
              <w:bottom w:val="single" w:color="auto" w:sz="4" w:space="0"/>
              <w:right w:val="single" w:color="auto" w:sz="4" w:space="0"/>
            </w:tcBorders>
            <w:noWrap/>
            <w:vAlign w:val="center"/>
          </w:tcPr>
          <w:p w14:paraId="34D40782">
            <w:pPr>
              <w:widowControl/>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587" w:type="dxa"/>
            <w:tcBorders>
              <w:top w:val="single" w:color="auto" w:sz="4" w:space="0"/>
              <w:left w:val="single" w:color="auto" w:sz="4" w:space="0"/>
              <w:bottom w:val="single" w:color="auto" w:sz="4" w:space="0"/>
              <w:right w:val="single" w:color="auto" w:sz="4" w:space="0"/>
            </w:tcBorders>
            <w:noWrap/>
            <w:vAlign w:val="center"/>
          </w:tcPr>
          <w:p w14:paraId="22AF56C4">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 20≤X＜300</w:t>
            </w:r>
          </w:p>
        </w:tc>
        <w:tc>
          <w:tcPr>
            <w:tcW w:w="1035" w:type="dxa"/>
            <w:tcBorders>
              <w:top w:val="single" w:color="auto" w:sz="4" w:space="0"/>
              <w:left w:val="single" w:color="auto" w:sz="4" w:space="0"/>
              <w:bottom w:val="single" w:color="auto" w:sz="4" w:space="0"/>
              <w:right w:val="single" w:color="auto" w:sz="4" w:space="0"/>
            </w:tcBorders>
            <w:noWrap/>
            <w:vAlign w:val="center"/>
          </w:tcPr>
          <w:p w14:paraId="379F1965">
            <w:pPr>
              <w:widowControl/>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3ABE75EF">
        <w:tblPrEx>
          <w:tblCellMar>
            <w:top w:w="0" w:type="dxa"/>
            <w:left w:w="108" w:type="dxa"/>
            <w:bottom w:w="0" w:type="dxa"/>
            <w:right w:w="108" w:type="dxa"/>
          </w:tblCellMar>
        </w:tblPrEx>
        <w:trPr>
          <w:trHeight w:val="397" w:hRule="exact"/>
          <w:jc w:val="center"/>
        </w:trPr>
        <w:tc>
          <w:tcPr>
            <w:tcW w:w="2003" w:type="dxa"/>
            <w:vMerge w:val="continue"/>
            <w:tcBorders>
              <w:top w:val="single" w:color="auto" w:sz="4" w:space="0"/>
              <w:left w:val="single" w:color="auto" w:sz="4" w:space="0"/>
              <w:bottom w:val="single" w:color="auto" w:sz="4" w:space="0"/>
              <w:right w:val="single" w:color="auto" w:sz="4" w:space="0"/>
            </w:tcBorders>
            <w:noWrap/>
            <w:vAlign w:val="center"/>
          </w:tcPr>
          <w:p w14:paraId="082B4F94">
            <w:pPr>
              <w:widowControl/>
              <w:jc w:val="left"/>
              <w:rPr>
                <w:rFonts w:ascii="宋体" w:hAnsi="宋体" w:cs="宋体"/>
                <w:color w:val="auto"/>
                <w:kern w:val="0"/>
                <w:sz w:val="18"/>
                <w:szCs w:val="18"/>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6117F4F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33" w:type="dxa"/>
            <w:tcBorders>
              <w:top w:val="single" w:color="auto" w:sz="4" w:space="0"/>
              <w:left w:val="single" w:color="auto" w:sz="4" w:space="0"/>
              <w:bottom w:val="single" w:color="auto" w:sz="4" w:space="0"/>
              <w:right w:val="single" w:color="auto" w:sz="4" w:space="0"/>
            </w:tcBorders>
            <w:noWrap/>
            <w:vAlign w:val="center"/>
          </w:tcPr>
          <w:p w14:paraId="323C34D1">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362" w:type="dxa"/>
            <w:tcBorders>
              <w:top w:val="single" w:color="auto" w:sz="4" w:space="0"/>
              <w:left w:val="single" w:color="auto" w:sz="4" w:space="0"/>
              <w:bottom w:val="single" w:color="auto" w:sz="4" w:space="0"/>
              <w:right w:val="single" w:color="auto" w:sz="4" w:space="0"/>
            </w:tcBorders>
            <w:noWrap/>
            <w:vAlign w:val="center"/>
          </w:tcPr>
          <w:p w14:paraId="55554224">
            <w:pPr>
              <w:widowControl/>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805" w:type="dxa"/>
            <w:tcBorders>
              <w:top w:val="single" w:color="auto" w:sz="4" w:space="0"/>
              <w:left w:val="single" w:color="auto" w:sz="4" w:space="0"/>
              <w:bottom w:val="single" w:color="auto" w:sz="4" w:space="0"/>
              <w:right w:val="single" w:color="auto" w:sz="4" w:space="0"/>
            </w:tcBorders>
            <w:noWrap/>
            <w:vAlign w:val="center"/>
          </w:tcPr>
          <w:p w14:paraId="5401C593">
            <w:pPr>
              <w:widowControl/>
              <w:jc w:val="center"/>
              <w:rPr>
                <w:rFonts w:ascii="宋体" w:hAnsi="宋体" w:cs="宋体"/>
                <w:color w:val="auto"/>
                <w:kern w:val="0"/>
                <w:sz w:val="18"/>
                <w:szCs w:val="18"/>
              </w:rPr>
            </w:pPr>
            <w:r>
              <w:rPr>
                <w:rFonts w:hint="eastAsia" w:ascii="宋体" w:hAnsi="宋体" w:cs="宋体"/>
                <w:color w:val="auto"/>
                <w:kern w:val="0"/>
                <w:sz w:val="18"/>
                <w:szCs w:val="18"/>
              </w:rPr>
              <w:t>2000≤Y＜40000</w:t>
            </w:r>
          </w:p>
        </w:tc>
        <w:tc>
          <w:tcPr>
            <w:tcW w:w="1587" w:type="dxa"/>
            <w:tcBorders>
              <w:top w:val="single" w:color="auto" w:sz="4" w:space="0"/>
              <w:left w:val="single" w:color="auto" w:sz="4" w:space="0"/>
              <w:bottom w:val="single" w:color="auto" w:sz="4" w:space="0"/>
              <w:right w:val="single" w:color="auto" w:sz="4" w:space="0"/>
            </w:tcBorders>
            <w:noWrap/>
            <w:vAlign w:val="center"/>
          </w:tcPr>
          <w:p w14:paraId="53C7E835">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 300≤Y＜2000</w:t>
            </w:r>
          </w:p>
        </w:tc>
        <w:tc>
          <w:tcPr>
            <w:tcW w:w="1035" w:type="dxa"/>
            <w:tcBorders>
              <w:top w:val="single" w:color="auto" w:sz="4" w:space="0"/>
              <w:left w:val="single" w:color="auto" w:sz="4" w:space="0"/>
              <w:bottom w:val="single" w:color="auto" w:sz="4" w:space="0"/>
              <w:right w:val="single" w:color="auto" w:sz="4" w:space="0"/>
            </w:tcBorders>
            <w:noWrap/>
            <w:vAlign w:val="center"/>
          </w:tcPr>
          <w:p w14:paraId="1303F450">
            <w:pPr>
              <w:widowControl/>
              <w:jc w:val="center"/>
              <w:rPr>
                <w:rFonts w:ascii="宋体" w:hAnsi="宋体" w:cs="宋体"/>
                <w:color w:val="auto"/>
                <w:kern w:val="0"/>
                <w:sz w:val="18"/>
                <w:szCs w:val="18"/>
              </w:rPr>
            </w:pPr>
            <w:r>
              <w:rPr>
                <w:rFonts w:hint="eastAsia" w:ascii="宋体" w:hAnsi="宋体" w:cs="宋体"/>
                <w:color w:val="auto"/>
                <w:kern w:val="0"/>
                <w:sz w:val="18"/>
                <w:szCs w:val="18"/>
              </w:rPr>
              <w:t>Y＜300</w:t>
            </w:r>
          </w:p>
        </w:tc>
      </w:tr>
      <w:tr w14:paraId="31CE79D5">
        <w:tblPrEx>
          <w:tblCellMar>
            <w:top w:w="0" w:type="dxa"/>
            <w:left w:w="108" w:type="dxa"/>
            <w:bottom w:w="0" w:type="dxa"/>
            <w:right w:w="108" w:type="dxa"/>
          </w:tblCellMar>
        </w:tblPrEx>
        <w:trPr>
          <w:trHeight w:val="397" w:hRule="exact"/>
          <w:jc w:val="center"/>
        </w:trPr>
        <w:tc>
          <w:tcPr>
            <w:tcW w:w="2003" w:type="dxa"/>
            <w:vMerge w:val="restart"/>
            <w:tcBorders>
              <w:top w:val="single" w:color="auto" w:sz="4" w:space="0"/>
              <w:left w:val="single" w:color="auto" w:sz="4" w:space="0"/>
              <w:bottom w:val="single" w:color="auto" w:sz="4" w:space="0"/>
              <w:right w:val="single" w:color="auto" w:sz="4" w:space="0"/>
            </w:tcBorders>
            <w:noWrap/>
            <w:vAlign w:val="center"/>
          </w:tcPr>
          <w:p w14:paraId="71602149">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建筑业</w:t>
            </w:r>
          </w:p>
        </w:tc>
        <w:tc>
          <w:tcPr>
            <w:tcW w:w="1300" w:type="dxa"/>
            <w:tcBorders>
              <w:top w:val="single" w:color="auto" w:sz="4" w:space="0"/>
              <w:left w:val="single" w:color="auto" w:sz="4" w:space="0"/>
              <w:bottom w:val="single" w:color="auto" w:sz="4" w:space="0"/>
              <w:right w:val="single" w:color="auto" w:sz="4" w:space="0"/>
            </w:tcBorders>
            <w:noWrap/>
            <w:vAlign w:val="center"/>
          </w:tcPr>
          <w:p w14:paraId="7D9188E8">
            <w:pPr>
              <w:widowControl/>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33" w:type="dxa"/>
            <w:tcBorders>
              <w:top w:val="single" w:color="auto" w:sz="4" w:space="0"/>
              <w:left w:val="single" w:color="auto" w:sz="4" w:space="0"/>
              <w:bottom w:val="single" w:color="auto" w:sz="4" w:space="0"/>
              <w:right w:val="single" w:color="auto" w:sz="4" w:space="0"/>
            </w:tcBorders>
            <w:noWrap/>
            <w:vAlign w:val="center"/>
          </w:tcPr>
          <w:p w14:paraId="488D56B7">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362" w:type="dxa"/>
            <w:tcBorders>
              <w:top w:val="single" w:color="auto" w:sz="4" w:space="0"/>
              <w:left w:val="single" w:color="auto" w:sz="4" w:space="0"/>
              <w:bottom w:val="single" w:color="auto" w:sz="4" w:space="0"/>
              <w:right w:val="single" w:color="auto" w:sz="4" w:space="0"/>
            </w:tcBorders>
            <w:noWrap/>
            <w:vAlign w:val="center"/>
          </w:tcPr>
          <w:p w14:paraId="6466DAC5">
            <w:pPr>
              <w:widowControl/>
              <w:jc w:val="center"/>
              <w:rPr>
                <w:rFonts w:ascii="宋体" w:hAnsi="宋体" w:cs="宋体"/>
                <w:color w:val="auto"/>
                <w:kern w:val="0"/>
                <w:sz w:val="18"/>
                <w:szCs w:val="18"/>
              </w:rPr>
            </w:pPr>
            <w:r>
              <w:rPr>
                <w:rFonts w:hint="eastAsia" w:ascii="宋体" w:hAnsi="宋体" w:cs="宋体"/>
                <w:color w:val="auto"/>
                <w:kern w:val="0"/>
                <w:sz w:val="18"/>
                <w:szCs w:val="18"/>
              </w:rPr>
              <w:t>Y≥80000</w:t>
            </w:r>
          </w:p>
        </w:tc>
        <w:tc>
          <w:tcPr>
            <w:tcW w:w="1805" w:type="dxa"/>
            <w:tcBorders>
              <w:top w:val="single" w:color="auto" w:sz="4" w:space="0"/>
              <w:left w:val="single" w:color="auto" w:sz="4" w:space="0"/>
              <w:bottom w:val="single" w:color="auto" w:sz="4" w:space="0"/>
              <w:right w:val="single" w:color="auto" w:sz="4" w:space="0"/>
            </w:tcBorders>
            <w:noWrap/>
            <w:vAlign w:val="center"/>
          </w:tcPr>
          <w:p w14:paraId="7AEB280C">
            <w:pPr>
              <w:widowControl/>
              <w:jc w:val="center"/>
              <w:rPr>
                <w:rFonts w:ascii="宋体" w:hAnsi="宋体" w:cs="宋体"/>
                <w:color w:val="auto"/>
                <w:kern w:val="0"/>
                <w:sz w:val="18"/>
                <w:szCs w:val="18"/>
              </w:rPr>
            </w:pPr>
            <w:r>
              <w:rPr>
                <w:rFonts w:hint="eastAsia" w:ascii="宋体" w:hAnsi="宋体" w:cs="宋体"/>
                <w:color w:val="auto"/>
                <w:kern w:val="0"/>
                <w:sz w:val="18"/>
                <w:szCs w:val="18"/>
              </w:rPr>
              <w:t>6000≤Y＜80000</w:t>
            </w:r>
          </w:p>
        </w:tc>
        <w:tc>
          <w:tcPr>
            <w:tcW w:w="1587" w:type="dxa"/>
            <w:tcBorders>
              <w:top w:val="single" w:color="auto" w:sz="4" w:space="0"/>
              <w:left w:val="single" w:color="auto" w:sz="4" w:space="0"/>
              <w:bottom w:val="single" w:color="auto" w:sz="4" w:space="0"/>
              <w:right w:val="single" w:color="auto" w:sz="4" w:space="0"/>
            </w:tcBorders>
            <w:noWrap/>
            <w:vAlign w:val="center"/>
          </w:tcPr>
          <w:p w14:paraId="4590E35A">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 300≤Y＜6000</w:t>
            </w:r>
          </w:p>
        </w:tc>
        <w:tc>
          <w:tcPr>
            <w:tcW w:w="1035" w:type="dxa"/>
            <w:tcBorders>
              <w:top w:val="single" w:color="auto" w:sz="4" w:space="0"/>
              <w:left w:val="single" w:color="auto" w:sz="4" w:space="0"/>
              <w:bottom w:val="single" w:color="auto" w:sz="4" w:space="0"/>
              <w:right w:val="single" w:color="auto" w:sz="4" w:space="0"/>
            </w:tcBorders>
            <w:noWrap/>
            <w:vAlign w:val="center"/>
          </w:tcPr>
          <w:p w14:paraId="75291BE8">
            <w:pPr>
              <w:widowControl/>
              <w:jc w:val="center"/>
              <w:rPr>
                <w:rFonts w:ascii="宋体" w:hAnsi="宋体" w:cs="宋体"/>
                <w:color w:val="auto"/>
                <w:kern w:val="0"/>
                <w:sz w:val="18"/>
                <w:szCs w:val="18"/>
              </w:rPr>
            </w:pPr>
            <w:r>
              <w:rPr>
                <w:rFonts w:hint="eastAsia" w:ascii="宋体" w:hAnsi="宋体" w:cs="宋体"/>
                <w:color w:val="auto"/>
                <w:kern w:val="0"/>
                <w:sz w:val="18"/>
                <w:szCs w:val="18"/>
              </w:rPr>
              <w:t>Y＜300</w:t>
            </w:r>
          </w:p>
        </w:tc>
      </w:tr>
      <w:tr w14:paraId="22EC02E5">
        <w:tblPrEx>
          <w:tblCellMar>
            <w:top w:w="0" w:type="dxa"/>
            <w:left w:w="108" w:type="dxa"/>
            <w:bottom w:w="0" w:type="dxa"/>
            <w:right w:w="108" w:type="dxa"/>
          </w:tblCellMar>
        </w:tblPrEx>
        <w:trPr>
          <w:trHeight w:val="397" w:hRule="exact"/>
          <w:jc w:val="center"/>
        </w:trPr>
        <w:tc>
          <w:tcPr>
            <w:tcW w:w="2003" w:type="dxa"/>
            <w:vMerge w:val="continue"/>
            <w:tcBorders>
              <w:top w:val="single" w:color="auto" w:sz="4" w:space="0"/>
              <w:left w:val="single" w:color="auto" w:sz="4" w:space="0"/>
              <w:bottom w:val="single" w:color="auto" w:sz="4" w:space="0"/>
              <w:right w:val="single" w:color="auto" w:sz="4" w:space="0"/>
            </w:tcBorders>
            <w:noWrap/>
            <w:vAlign w:val="center"/>
          </w:tcPr>
          <w:p w14:paraId="4F65E693">
            <w:pPr>
              <w:widowControl/>
              <w:jc w:val="left"/>
              <w:rPr>
                <w:rFonts w:ascii="宋体" w:hAnsi="宋体" w:cs="宋体"/>
                <w:color w:val="auto"/>
                <w:kern w:val="0"/>
                <w:sz w:val="18"/>
                <w:szCs w:val="18"/>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132C54F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33" w:type="dxa"/>
            <w:tcBorders>
              <w:top w:val="single" w:color="auto" w:sz="4" w:space="0"/>
              <w:left w:val="single" w:color="auto" w:sz="4" w:space="0"/>
              <w:bottom w:val="single" w:color="auto" w:sz="4" w:space="0"/>
              <w:right w:val="single" w:color="auto" w:sz="4" w:space="0"/>
            </w:tcBorders>
            <w:noWrap/>
            <w:vAlign w:val="center"/>
          </w:tcPr>
          <w:p w14:paraId="0F563BF3">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362" w:type="dxa"/>
            <w:tcBorders>
              <w:top w:val="single" w:color="auto" w:sz="4" w:space="0"/>
              <w:left w:val="single" w:color="auto" w:sz="4" w:space="0"/>
              <w:bottom w:val="single" w:color="auto" w:sz="4" w:space="0"/>
              <w:right w:val="single" w:color="auto" w:sz="4" w:space="0"/>
            </w:tcBorders>
            <w:noWrap/>
            <w:vAlign w:val="center"/>
          </w:tcPr>
          <w:p w14:paraId="51BD91FA">
            <w:pPr>
              <w:widowControl/>
              <w:jc w:val="center"/>
              <w:rPr>
                <w:rFonts w:ascii="宋体" w:hAnsi="宋体" w:cs="宋体"/>
                <w:color w:val="auto"/>
                <w:kern w:val="0"/>
                <w:sz w:val="18"/>
                <w:szCs w:val="18"/>
              </w:rPr>
            </w:pPr>
            <w:r>
              <w:rPr>
                <w:rFonts w:hint="eastAsia" w:ascii="宋体" w:hAnsi="宋体" w:cs="宋体"/>
                <w:color w:val="auto"/>
                <w:kern w:val="0"/>
                <w:sz w:val="18"/>
                <w:szCs w:val="18"/>
              </w:rPr>
              <w:t>Z≥80000</w:t>
            </w:r>
          </w:p>
        </w:tc>
        <w:tc>
          <w:tcPr>
            <w:tcW w:w="1805" w:type="dxa"/>
            <w:tcBorders>
              <w:top w:val="single" w:color="auto" w:sz="4" w:space="0"/>
              <w:left w:val="single" w:color="auto" w:sz="4" w:space="0"/>
              <w:bottom w:val="single" w:color="auto" w:sz="4" w:space="0"/>
              <w:right w:val="single" w:color="auto" w:sz="4" w:space="0"/>
            </w:tcBorders>
            <w:noWrap/>
            <w:vAlign w:val="center"/>
          </w:tcPr>
          <w:p w14:paraId="5CAEA649">
            <w:pPr>
              <w:widowControl/>
              <w:jc w:val="center"/>
              <w:rPr>
                <w:rFonts w:ascii="宋体" w:hAnsi="宋体" w:cs="宋体"/>
                <w:color w:val="auto"/>
                <w:kern w:val="0"/>
                <w:sz w:val="18"/>
                <w:szCs w:val="18"/>
              </w:rPr>
            </w:pPr>
            <w:r>
              <w:rPr>
                <w:rFonts w:hint="eastAsia" w:ascii="宋体" w:hAnsi="宋体" w:cs="宋体"/>
                <w:color w:val="auto"/>
                <w:kern w:val="0"/>
                <w:sz w:val="18"/>
                <w:szCs w:val="18"/>
              </w:rPr>
              <w:t>5000≤Z＜80000</w:t>
            </w:r>
          </w:p>
        </w:tc>
        <w:tc>
          <w:tcPr>
            <w:tcW w:w="1587" w:type="dxa"/>
            <w:tcBorders>
              <w:top w:val="single" w:color="auto" w:sz="4" w:space="0"/>
              <w:left w:val="single" w:color="auto" w:sz="4" w:space="0"/>
              <w:bottom w:val="single" w:color="auto" w:sz="4" w:space="0"/>
              <w:right w:val="single" w:color="auto" w:sz="4" w:space="0"/>
            </w:tcBorders>
            <w:noWrap/>
            <w:vAlign w:val="center"/>
          </w:tcPr>
          <w:p w14:paraId="33A5E86D">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 300≤Z＜5000</w:t>
            </w:r>
          </w:p>
        </w:tc>
        <w:tc>
          <w:tcPr>
            <w:tcW w:w="1035" w:type="dxa"/>
            <w:tcBorders>
              <w:top w:val="single" w:color="auto" w:sz="4" w:space="0"/>
              <w:left w:val="single" w:color="auto" w:sz="4" w:space="0"/>
              <w:bottom w:val="single" w:color="auto" w:sz="4" w:space="0"/>
              <w:right w:val="single" w:color="auto" w:sz="4" w:space="0"/>
            </w:tcBorders>
            <w:noWrap/>
            <w:vAlign w:val="center"/>
          </w:tcPr>
          <w:p w14:paraId="01F7E2FD">
            <w:pPr>
              <w:widowControl/>
              <w:jc w:val="center"/>
              <w:rPr>
                <w:rFonts w:ascii="宋体" w:hAnsi="宋体" w:cs="宋体"/>
                <w:color w:val="auto"/>
                <w:kern w:val="0"/>
                <w:sz w:val="18"/>
                <w:szCs w:val="18"/>
              </w:rPr>
            </w:pPr>
            <w:r>
              <w:rPr>
                <w:rFonts w:hint="eastAsia" w:ascii="宋体" w:hAnsi="宋体" w:cs="宋体"/>
                <w:color w:val="auto"/>
                <w:kern w:val="0"/>
                <w:sz w:val="18"/>
                <w:szCs w:val="18"/>
              </w:rPr>
              <w:t>Z＜300</w:t>
            </w:r>
          </w:p>
        </w:tc>
      </w:tr>
      <w:tr w14:paraId="3FBC8947">
        <w:tblPrEx>
          <w:tblCellMar>
            <w:top w:w="0" w:type="dxa"/>
            <w:left w:w="108" w:type="dxa"/>
            <w:bottom w:w="0" w:type="dxa"/>
            <w:right w:w="108" w:type="dxa"/>
          </w:tblCellMar>
        </w:tblPrEx>
        <w:trPr>
          <w:trHeight w:val="397" w:hRule="exact"/>
          <w:jc w:val="center"/>
        </w:trPr>
        <w:tc>
          <w:tcPr>
            <w:tcW w:w="2003" w:type="dxa"/>
            <w:vMerge w:val="restart"/>
            <w:tcBorders>
              <w:top w:val="single" w:color="auto" w:sz="4" w:space="0"/>
              <w:left w:val="single" w:color="auto" w:sz="4" w:space="0"/>
              <w:bottom w:val="single" w:color="auto" w:sz="4" w:space="0"/>
              <w:right w:val="single" w:color="auto" w:sz="4" w:space="0"/>
            </w:tcBorders>
            <w:noWrap/>
            <w:vAlign w:val="center"/>
          </w:tcPr>
          <w:p w14:paraId="212A75E7">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批发业</w:t>
            </w:r>
          </w:p>
        </w:tc>
        <w:tc>
          <w:tcPr>
            <w:tcW w:w="1300" w:type="dxa"/>
            <w:tcBorders>
              <w:top w:val="single" w:color="auto" w:sz="4" w:space="0"/>
              <w:left w:val="single" w:color="auto" w:sz="4" w:space="0"/>
              <w:bottom w:val="single" w:color="auto" w:sz="4" w:space="0"/>
              <w:right w:val="single" w:color="auto" w:sz="4" w:space="0"/>
            </w:tcBorders>
            <w:noWrap/>
            <w:vAlign w:val="center"/>
          </w:tcPr>
          <w:p w14:paraId="0B4099B6">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33" w:type="dxa"/>
            <w:tcBorders>
              <w:top w:val="single" w:color="auto" w:sz="4" w:space="0"/>
              <w:left w:val="single" w:color="auto" w:sz="4" w:space="0"/>
              <w:bottom w:val="single" w:color="auto" w:sz="4" w:space="0"/>
              <w:right w:val="single" w:color="auto" w:sz="4" w:space="0"/>
            </w:tcBorders>
            <w:noWrap/>
            <w:vAlign w:val="center"/>
          </w:tcPr>
          <w:p w14:paraId="6D85568F">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362" w:type="dxa"/>
            <w:tcBorders>
              <w:top w:val="single" w:color="auto" w:sz="4" w:space="0"/>
              <w:left w:val="single" w:color="auto" w:sz="4" w:space="0"/>
              <w:bottom w:val="single" w:color="auto" w:sz="4" w:space="0"/>
              <w:right w:val="single" w:color="auto" w:sz="4" w:space="0"/>
            </w:tcBorders>
            <w:noWrap/>
            <w:vAlign w:val="center"/>
          </w:tcPr>
          <w:p w14:paraId="4B50BEE7">
            <w:pPr>
              <w:widowControl/>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805" w:type="dxa"/>
            <w:tcBorders>
              <w:top w:val="single" w:color="auto" w:sz="4" w:space="0"/>
              <w:left w:val="single" w:color="auto" w:sz="4" w:space="0"/>
              <w:bottom w:val="single" w:color="auto" w:sz="4" w:space="0"/>
              <w:right w:val="single" w:color="auto" w:sz="4" w:space="0"/>
            </w:tcBorders>
            <w:noWrap/>
            <w:vAlign w:val="center"/>
          </w:tcPr>
          <w:p w14:paraId="482CBC3E">
            <w:pPr>
              <w:widowControl/>
              <w:jc w:val="center"/>
              <w:rPr>
                <w:rFonts w:ascii="宋体" w:hAnsi="宋体" w:cs="宋体"/>
                <w:color w:val="auto"/>
                <w:kern w:val="0"/>
                <w:sz w:val="18"/>
                <w:szCs w:val="18"/>
              </w:rPr>
            </w:pPr>
            <w:r>
              <w:rPr>
                <w:rFonts w:hint="eastAsia" w:ascii="宋体" w:hAnsi="宋体" w:cs="宋体"/>
                <w:color w:val="auto"/>
                <w:kern w:val="0"/>
                <w:sz w:val="18"/>
                <w:szCs w:val="18"/>
              </w:rPr>
              <w:t>20≤X＜200</w:t>
            </w:r>
          </w:p>
        </w:tc>
        <w:tc>
          <w:tcPr>
            <w:tcW w:w="1587" w:type="dxa"/>
            <w:tcBorders>
              <w:top w:val="single" w:color="auto" w:sz="4" w:space="0"/>
              <w:left w:val="single" w:color="auto" w:sz="4" w:space="0"/>
              <w:bottom w:val="single" w:color="auto" w:sz="4" w:space="0"/>
              <w:right w:val="single" w:color="auto" w:sz="4" w:space="0"/>
            </w:tcBorders>
            <w:noWrap/>
            <w:vAlign w:val="center"/>
          </w:tcPr>
          <w:p w14:paraId="42B0B09F">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 5≤X＜20</w:t>
            </w:r>
          </w:p>
        </w:tc>
        <w:tc>
          <w:tcPr>
            <w:tcW w:w="1035" w:type="dxa"/>
            <w:tcBorders>
              <w:top w:val="single" w:color="auto" w:sz="4" w:space="0"/>
              <w:left w:val="single" w:color="auto" w:sz="4" w:space="0"/>
              <w:bottom w:val="single" w:color="auto" w:sz="4" w:space="0"/>
              <w:right w:val="single" w:color="auto" w:sz="4" w:space="0"/>
            </w:tcBorders>
            <w:noWrap/>
            <w:vAlign w:val="center"/>
          </w:tcPr>
          <w:p w14:paraId="1945ECC0">
            <w:pPr>
              <w:widowControl/>
              <w:jc w:val="center"/>
              <w:rPr>
                <w:rFonts w:ascii="宋体" w:hAnsi="宋体" w:cs="宋体"/>
                <w:color w:val="auto"/>
                <w:kern w:val="0"/>
                <w:sz w:val="18"/>
                <w:szCs w:val="18"/>
              </w:rPr>
            </w:pPr>
            <w:r>
              <w:rPr>
                <w:rFonts w:hint="eastAsia" w:ascii="宋体" w:hAnsi="宋体" w:cs="宋体"/>
                <w:color w:val="auto"/>
                <w:kern w:val="0"/>
                <w:sz w:val="18"/>
                <w:szCs w:val="18"/>
              </w:rPr>
              <w:t>X＜5</w:t>
            </w:r>
          </w:p>
        </w:tc>
      </w:tr>
      <w:tr w14:paraId="4776B685">
        <w:tblPrEx>
          <w:tblCellMar>
            <w:top w:w="0" w:type="dxa"/>
            <w:left w:w="108" w:type="dxa"/>
            <w:bottom w:w="0" w:type="dxa"/>
            <w:right w:w="108" w:type="dxa"/>
          </w:tblCellMar>
        </w:tblPrEx>
        <w:trPr>
          <w:trHeight w:val="397" w:hRule="exact"/>
          <w:jc w:val="center"/>
        </w:trPr>
        <w:tc>
          <w:tcPr>
            <w:tcW w:w="2003" w:type="dxa"/>
            <w:vMerge w:val="continue"/>
            <w:tcBorders>
              <w:top w:val="single" w:color="auto" w:sz="4" w:space="0"/>
              <w:left w:val="single" w:color="auto" w:sz="4" w:space="0"/>
              <w:bottom w:val="single" w:color="auto" w:sz="4" w:space="0"/>
              <w:right w:val="single" w:color="auto" w:sz="4" w:space="0"/>
            </w:tcBorders>
            <w:noWrap/>
            <w:vAlign w:val="center"/>
          </w:tcPr>
          <w:p w14:paraId="0732EA4E">
            <w:pPr>
              <w:widowControl/>
              <w:jc w:val="left"/>
              <w:rPr>
                <w:rFonts w:ascii="宋体" w:hAnsi="宋体" w:cs="宋体"/>
                <w:color w:val="auto"/>
                <w:kern w:val="0"/>
                <w:sz w:val="18"/>
                <w:szCs w:val="18"/>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5352AA9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33" w:type="dxa"/>
            <w:tcBorders>
              <w:top w:val="single" w:color="auto" w:sz="4" w:space="0"/>
              <w:left w:val="single" w:color="auto" w:sz="4" w:space="0"/>
              <w:bottom w:val="single" w:color="auto" w:sz="4" w:space="0"/>
              <w:right w:val="single" w:color="auto" w:sz="4" w:space="0"/>
            </w:tcBorders>
            <w:noWrap/>
            <w:vAlign w:val="center"/>
          </w:tcPr>
          <w:p w14:paraId="6EA8016E">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362" w:type="dxa"/>
            <w:tcBorders>
              <w:top w:val="single" w:color="auto" w:sz="4" w:space="0"/>
              <w:left w:val="single" w:color="auto" w:sz="4" w:space="0"/>
              <w:bottom w:val="single" w:color="auto" w:sz="4" w:space="0"/>
              <w:right w:val="single" w:color="auto" w:sz="4" w:space="0"/>
            </w:tcBorders>
            <w:noWrap/>
            <w:vAlign w:val="center"/>
          </w:tcPr>
          <w:p w14:paraId="47279B6B">
            <w:pPr>
              <w:widowControl/>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805" w:type="dxa"/>
            <w:tcBorders>
              <w:top w:val="single" w:color="auto" w:sz="4" w:space="0"/>
              <w:left w:val="single" w:color="auto" w:sz="4" w:space="0"/>
              <w:bottom w:val="single" w:color="auto" w:sz="4" w:space="0"/>
              <w:right w:val="single" w:color="auto" w:sz="4" w:space="0"/>
            </w:tcBorders>
            <w:noWrap/>
            <w:vAlign w:val="center"/>
          </w:tcPr>
          <w:p w14:paraId="1596E8E8">
            <w:pPr>
              <w:widowControl/>
              <w:jc w:val="center"/>
              <w:rPr>
                <w:rFonts w:ascii="宋体" w:hAnsi="宋体" w:cs="宋体"/>
                <w:color w:val="auto"/>
                <w:kern w:val="0"/>
                <w:sz w:val="18"/>
                <w:szCs w:val="18"/>
              </w:rPr>
            </w:pPr>
            <w:r>
              <w:rPr>
                <w:rFonts w:hint="eastAsia" w:ascii="宋体" w:hAnsi="宋体" w:cs="宋体"/>
                <w:color w:val="auto"/>
                <w:kern w:val="0"/>
                <w:sz w:val="18"/>
                <w:szCs w:val="18"/>
              </w:rPr>
              <w:t>5000≤Y＜40000</w:t>
            </w:r>
          </w:p>
        </w:tc>
        <w:tc>
          <w:tcPr>
            <w:tcW w:w="1587" w:type="dxa"/>
            <w:tcBorders>
              <w:top w:val="single" w:color="auto" w:sz="4" w:space="0"/>
              <w:left w:val="single" w:color="auto" w:sz="4" w:space="0"/>
              <w:bottom w:val="single" w:color="auto" w:sz="4" w:space="0"/>
              <w:right w:val="single" w:color="auto" w:sz="4" w:space="0"/>
            </w:tcBorders>
            <w:noWrap/>
            <w:vAlign w:val="center"/>
          </w:tcPr>
          <w:p w14:paraId="56D03A50">
            <w:pPr>
              <w:widowControl/>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1035" w:type="dxa"/>
            <w:tcBorders>
              <w:top w:val="single" w:color="auto" w:sz="4" w:space="0"/>
              <w:left w:val="single" w:color="auto" w:sz="4" w:space="0"/>
              <w:bottom w:val="single" w:color="auto" w:sz="4" w:space="0"/>
              <w:right w:val="single" w:color="auto" w:sz="4" w:space="0"/>
            </w:tcBorders>
            <w:noWrap/>
            <w:vAlign w:val="center"/>
          </w:tcPr>
          <w:p w14:paraId="72AA5CA8">
            <w:pPr>
              <w:widowControl/>
              <w:jc w:val="center"/>
              <w:rPr>
                <w:rFonts w:ascii="宋体" w:hAnsi="宋体" w:cs="宋体"/>
                <w:color w:val="auto"/>
                <w:kern w:val="0"/>
                <w:sz w:val="18"/>
                <w:szCs w:val="18"/>
              </w:rPr>
            </w:pPr>
            <w:r>
              <w:rPr>
                <w:rFonts w:hint="eastAsia" w:ascii="宋体" w:hAnsi="宋体" w:cs="宋体"/>
                <w:color w:val="auto"/>
                <w:kern w:val="0"/>
                <w:sz w:val="18"/>
                <w:szCs w:val="18"/>
              </w:rPr>
              <w:t>Y＜1000</w:t>
            </w:r>
          </w:p>
        </w:tc>
      </w:tr>
      <w:tr w14:paraId="3DEA5B0D">
        <w:tblPrEx>
          <w:tblCellMar>
            <w:top w:w="0" w:type="dxa"/>
            <w:left w:w="108" w:type="dxa"/>
            <w:bottom w:w="0" w:type="dxa"/>
            <w:right w:w="108" w:type="dxa"/>
          </w:tblCellMar>
        </w:tblPrEx>
        <w:trPr>
          <w:trHeight w:val="397" w:hRule="exact"/>
          <w:jc w:val="center"/>
        </w:trPr>
        <w:tc>
          <w:tcPr>
            <w:tcW w:w="2003" w:type="dxa"/>
            <w:vMerge w:val="restart"/>
            <w:tcBorders>
              <w:top w:val="single" w:color="auto" w:sz="4" w:space="0"/>
              <w:left w:val="single" w:color="auto" w:sz="4" w:space="0"/>
              <w:bottom w:val="single" w:color="auto" w:sz="4" w:space="0"/>
              <w:right w:val="single" w:color="auto" w:sz="4" w:space="0"/>
            </w:tcBorders>
            <w:noWrap/>
            <w:vAlign w:val="center"/>
          </w:tcPr>
          <w:p w14:paraId="338F9F11">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零售业</w:t>
            </w:r>
          </w:p>
        </w:tc>
        <w:tc>
          <w:tcPr>
            <w:tcW w:w="1300" w:type="dxa"/>
            <w:tcBorders>
              <w:top w:val="single" w:color="auto" w:sz="4" w:space="0"/>
              <w:left w:val="single" w:color="auto" w:sz="4" w:space="0"/>
              <w:bottom w:val="single" w:color="auto" w:sz="4" w:space="0"/>
              <w:right w:val="single" w:color="auto" w:sz="4" w:space="0"/>
            </w:tcBorders>
            <w:noWrap/>
            <w:vAlign w:val="center"/>
          </w:tcPr>
          <w:p w14:paraId="307AEC37">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33" w:type="dxa"/>
            <w:tcBorders>
              <w:top w:val="single" w:color="auto" w:sz="4" w:space="0"/>
              <w:left w:val="single" w:color="auto" w:sz="4" w:space="0"/>
              <w:bottom w:val="single" w:color="auto" w:sz="4" w:space="0"/>
              <w:right w:val="single" w:color="auto" w:sz="4" w:space="0"/>
            </w:tcBorders>
            <w:noWrap/>
            <w:vAlign w:val="center"/>
          </w:tcPr>
          <w:p w14:paraId="631CAE5F">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362" w:type="dxa"/>
            <w:tcBorders>
              <w:top w:val="single" w:color="auto" w:sz="4" w:space="0"/>
              <w:left w:val="single" w:color="auto" w:sz="4" w:space="0"/>
              <w:bottom w:val="single" w:color="auto" w:sz="4" w:space="0"/>
              <w:right w:val="single" w:color="auto" w:sz="4" w:space="0"/>
            </w:tcBorders>
            <w:noWrap/>
            <w:vAlign w:val="center"/>
          </w:tcPr>
          <w:p w14:paraId="5F1BC46F">
            <w:pPr>
              <w:widowControl/>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805" w:type="dxa"/>
            <w:tcBorders>
              <w:top w:val="single" w:color="auto" w:sz="4" w:space="0"/>
              <w:left w:val="single" w:color="auto" w:sz="4" w:space="0"/>
              <w:bottom w:val="single" w:color="auto" w:sz="4" w:space="0"/>
              <w:right w:val="single" w:color="auto" w:sz="4" w:space="0"/>
            </w:tcBorders>
            <w:noWrap/>
            <w:vAlign w:val="center"/>
          </w:tcPr>
          <w:p w14:paraId="1352F1C6">
            <w:pPr>
              <w:widowControl/>
              <w:jc w:val="center"/>
              <w:rPr>
                <w:rFonts w:ascii="宋体" w:hAnsi="宋体" w:cs="宋体"/>
                <w:color w:val="auto"/>
                <w:kern w:val="0"/>
                <w:sz w:val="18"/>
                <w:szCs w:val="18"/>
              </w:rPr>
            </w:pPr>
            <w:r>
              <w:rPr>
                <w:rFonts w:hint="eastAsia" w:ascii="宋体" w:hAnsi="宋体" w:cs="宋体"/>
                <w:color w:val="auto"/>
                <w:kern w:val="0"/>
                <w:sz w:val="18"/>
                <w:szCs w:val="18"/>
              </w:rPr>
              <w:t>50≤X＜300</w:t>
            </w:r>
          </w:p>
        </w:tc>
        <w:tc>
          <w:tcPr>
            <w:tcW w:w="1587" w:type="dxa"/>
            <w:tcBorders>
              <w:top w:val="single" w:color="auto" w:sz="4" w:space="0"/>
              <w:left w:val="single" w:color="auto" w:sz="4" w:space="0"/>
              <w:bottom w:val="single" w:color="auto" w:sz="4" w:space="0"/>
              <w:right w:val="single" w:color="auto" w:sz="4" w:space="0"/>
            </w:tcBorders>
            <w:noWrap/>
            <w:vAlign w:val="center"/>
          </w:tcPr>
          <w:p w14:paraId="6FD7EA30">
            <w:pPr>
              <w:widowControl/>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 xml:space="preserve">10≤X＜50 </w:t>
            </w:r>
          </w:p>
        </w:tc>
        <w:tc>
          <w:tcPr>
            <w:tcW w:w="1035" w:type="dxa"/>
            <w:tcBorders>
              <w:top w:val="single" w:color="auto" w:sz="4" w:space="0"/>
              <w:left w:val="single" w:color="auto" w:sz="4" w:space="0"/>
              <w:bottom w:val="single" w:color="auto" w:sz="4" w:space="0"/>
              <w:right w:val="single" w:color="auto" w:sz="4" w:space="0"/>
            </w:tcBorders>
            <w:noWrap/>
            <w:vAlign w:val="center"/>
          </w:tcPr>
          <w:p w14:paraId="362EC14A">
            <w:pPr>
              <w:widowControl/>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2D29E741">
        <w:tblPrEx>
          <w:tblCellMar>
            <w:top w:w="0" w:type="dxa"/>
            <w:left w:w="108" w:type="dxa"/>
            <w:bottom w:w="0" w:type="dxa"/>
            <w:right w:w="108" w:type="dxa"/>
          </w:tblCellMar>
        </w:tblPrEx>
        <w:trPr>
          <w:trHeight w:val="397" w:hRule="exact"/>
          <w:jc w:val="center"/>
        </w:trPr>
        <w:tc>
          <w:tcPr>
            <w:tcW w:w="2003" w:type="dxa"/>
            <w:vMerge w:val="continue"/>
            <w:tcBorders>
              <w:top w:val="single" w:color="auto" w:sz="4" w:space="0"/>
              <w:left w:val="single" w:color="auto" w:sz="4" w:space="0"/>
              <w:bottom w:val="single" w:color="auto" w:sz="4" w:space="0"/>
              <w:right w:val="single" w:color="auto" w:sz="4" w:space="0"/>
            </w:tcBorders>
            <w:noWrap/>
            <w:vAlign w:val="center"/>
          </w:tcPr>
          <w:p w14:paraId="11C12521">
            <w:pPr>
              <w:widowControl/>
              <w:jc w:val="left"/>
              <w:rPr>
                <w:rFonts w:ascii="宋体" w:hAnsi="宋体" w:cs="宋体"/>
                <w:color w:val="auto"/>
                <w:kern w:val="0"/>
                <w:sz w:val="18"/>
                <w:szCs w:val="18"/>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4F60027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33" w:type="dxa"/>
            <w:tcBorders>
              <w:top w:val="single" w:color="auto" w:sz="4" w:space="0"/>
              <w:left w:val="single" w:color="auto" w:sz="4" w:space="0"/>
              <w:bottom w:val="single" w:color="auto" w:sz="4" w:space="0"/>
              <w:right w:val="single" w:color="auto" w:sz="4" w:space="0"/>
            </w:tcBorders>
            <w:noWrap/>
            <w:vAlign w:val="center"/>
          </w:tcPr>
          <w:p w14:paraId="4AF21B46">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362" w:type="dxa"/>
            <w:tcBorders>
              <w:top w:val="single" w:color="auto" w:sz="4" w:space="0"/>
              <w:left w:val="single" w:color="auto" w:sz="4" w:space="0"/>
              <w:bottom w:val="single" w:color="auto" w:sz="4" w:space="0"/>
              <w:right w:val="single" w:color="auto" w:sz="4" w:space="0"/>
            </w:tcBorders>
            <w:noWrap/>
            <w:vAlign w:val="center"/>
          </w:tcPr>
          <w:p w14:paraId="580A8188">
            <w:pPr>
              <w:widowControl/>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805" w:type="dxa"/>
            <w:tcBorders>
              <w:top w:val="single" w:color="auto" w:sz="4" w:space="0"/>
              <w:left w:val="single" w:color="auto" w:sz="4" w:space="0"/>
              <w:bottom w:val="single" w:color="auto" w:sz="4" w:space="0"/>
              <w:right w:val="single" w:color="auto" w:sz="4" w:space="0"/>
            </w:tcBorders>
            <w:noWrap/>
            <w:vAlign w:val="center"/>
          </w:tcPr>
          <w:p w14:paraId="7FB013CD">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 500≤Y＜20000</w:t>
            </w:r>
          </w:p>
        </w:tc>
        <w:tc>
          <w:tcPr>
            <w:tcW w:w="1587" w:type="dxa"/>
            <w:tcBorders>
              <w:top w:val="single" w:color="auto" w:sz="4" w:space="0"/>
              <w:left w:val="single" w:color="auto" w:sz="4" w:space="0"/>
              <w:bottom w:val="single" w:color="auto" w:sz="4" w:space="0"/>
              <w:right w:val="single" w:color="auto" w:sz="4" w:space="0"/>
            </w:tcBorders>
            <w:noWrap/>
            <w:vAlign w:val="center"/>
          </w:tcPr>
          <w:p w14:paraId="1655FD89">
            <w:pPr>
              <w:widowControl/>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 xml:space="preserve">100≤Y＜500 </w:t>
            </w:r>
          </w:p>
        </w:tc>
        <w:tc>
          <w:tcPr>
            <w:tcW w:w="1035" w:type="dxa"/>
            <w:tcBorders>
              <w:top w:val="single" w:color="auto" w:sz="4" w:space="0"/>
              <w:left w:val="single" w:color="auto" w:sz="4" w:space="0"/>
              <w:bottom w:val="single" w:color="auto" w:sz="4" w:space="0"/>
              <w:right w:val="single" w:color="auto" w:sz="4" w:space="0"/>
            </w:tcBorders>
            <w:noWrap/>
            <w:vAlign w:val="center"/>
          </w:tcPr>
          <w:p w14:paraId="0F2197AC">
            <w:pPr>
              <w:widowControl/>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7E3FDD0C">
        <w:tblPrEx>
          <w:tblCellMar>
            <w:top w:w="0" w:type="dxa"/>
            <w:left w:w="108" w:type="dxa"/>
            <w:bottom w:w="0" w:type="dxa"/>
            <w:right w:w="108" w:type="dxa"/>
          </w:tblCellMar>
        </w:tblPrEx>
        <w:trPr>
          <w:trHeight w:val="397" w:hRule="exact"/>
          <w:jc w:val="center"/>
        </w:trPr>
        <w:tc>
          <w:tcPr>
            <w:tcW w:w="2003" w:type="dxa"/>
            <w:vMerge w:val="restart"/>
            <w:tcBorders>
              <w:top w:val="single" w:color="auto" w:sz="4" w:space="0"/>
              <w:left w:val="single" w:color="auto" w:sz="4" w:space="0"/>
              <w:bottom w:val="single" w:color="auto" w:sz="4" w:space="0"/>
              <w:right w:val="single" w:color="auto" w:sz="4" w:space="0"/>
            </w:tcBorders>
            <w:noWrap/>
            <w:vAlign w:val="center"/>
          </w:tcPr>
          <w:p w14:paraId="5D9DBCC4">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交通运输业 *</w:t>
            </w:r>
          </w:p>
        </w:tc>
        <w:tc>
          <w:tcPr>
            <w:tcW w:w="1300" w:type="dxa"/>
            <w:tcBorders>
              <w:top w:val="single" w:color="auto" w:sz="4" w:space="0"/>
              <w:left w:val="single" w:color="auto" w:sz="4" w:space="0"/>
              <w:bottom w:val="single" w:color="auto" w:sz="4" w:space="0"/>
              <w:right w:val="single" w:color="auto" w:sz="4" w:space="0"/>
            </w:tcBorders>
            <w:noWrap/>
            <w:vAlign w:val="center"/>
          </w:tcPr>
          <w:p w14:paraId="022A0822">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33" w:type="dxa"/>
            <w:tcBorders>
              <w:top w:val="single" w:color="auto" w:sz="4" w:space="0"/>
              <w:left w:val="single" w:color="auto" w:sz="4" w:space="0"/>
              <w:bottom w:val="single" w:color="auto" w:sz="4" w:space="0"/>
              <w:right w:val="single" w:color="auto" w:sz="4" w:space="0"/>
            </w:tcBorders>
            <w:noWrap/>
            <w:vAlign w:val="center"/>
          </w:tcPr>
          <w:p w14:paraId="097BDC8F">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362" w:type="dxa"/>
            <w:tcBorders>
              <w:top w:val="single" w:color="auto" w:sz="4" w:space="0"/>
              <w:left w:val="single" w:color="auto" w:sz="4" w:space="0"/>
              <w:bottom w:val="single" w:color="auto" w:sz="4" w:space="0"/>
              <w:right w:val="single" w:color="auto" w:sz="4" w:space="0"/>
            </w:tcBorders>
            <w:noWrap/>
            <w:vAlign w:val="center"/>
          </w:tcPr>
          <w:p w14:paraId="00998398">
            <w:pPr>
              <w:widowControl/>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805" w:type="dxa"/>
            <w:tcBorders>
              <w:top w:val="single" w:color="auto" w:sz="4" w:space="0"/>
              <w:left w:val="single" w:color="auto" w:sz="4" w:space="0"/>
              <w:bottom w:val="single" w:color="auto" w:sz="4" w:space="0"/>
              <w:right w:val="single" w:color="auto" w:sz="4" w:space="0"/>
            </w:tcBorders>
            <w:noWrap/>
            <w:vAlign w:val="center"/>
          </w:tcPr>
          <w:p w14:paraId="4BA6C16B">
            <w:pPr>
              <w:widowControl/>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587" w:type="dxa"/>
            <w:tcBorders>
              <w:top w:val="single" w:color="auto" w:sz="4" w:space="0"/>
              <w:left w:val="single" w:color="auto" w:sz="4" w:space="0"/>
              <w:bottom w:val="single" w:color="auto" w:sz="4" w:space="0"/>
              <w:right w:val="single" w:color="auto" w:sz="4" w:space="0"/>
            </w:tcBorders>
            <w:noWrap/>
            <w:vAlign w:val="center"/>
          </w:tcPr>
          <w:p w14:paraId="2FB9C740">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 20≤X＜300</w:t>
            </w:r>
          </w:p>
        </w:tc>
        <w:tc>
          <w:tcPr>
            <w:tcW w:w="1035" w:type="dxa"/>
            <w:tcBorders>
              <w:top w:val="single" w:color="auto" w:sz="4" w:space="0"/>
              <w:left w:val="single" w:color="auto" w:sz="4" w:space="0"/>
              <w:bottom w:val="single" w:color="auto" w:sz="4" w:space="0"/>
              <w:right w:val="single" w:color="auto" w:sz="4" w:space="0"/>
            </w:tcBorders>
            <w:noWrap/>
            <w:vAlign w:val="center"/>
          </w:tcPr>
          <w:p w14:paraId="115CD7E8">
            <w:pPr>
              <w:widowControl/>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37D3206C">
        <w:tblPrEx>
          <w:tblCellMar>
            <w:top w:w="0" w:type="dxa"/>
            <w:left w:w="108" w:type="dxa"/>
            <w:bottom w:w="0" w:type="dxa"/>
            <w:right w:w="108" w:type="dxa"/>
          </w:tblCellMar>
        </w:tblPrEx>
        <w:trPr>
          <w:trHeight w:val="397" w:hRule="exact"/>
          <w:jc w:val="center"/>
        </w:trPr>
        <w:tc>
          <w:tcPr>
            <w:tcW w:w="2003" w:type="dxa"/>
            <w:vMerge w:val="continue"/>
            <w:tcBorders>
              <w:top w:val="single" w:color="auto" w:sz="4" w:space="0"/>
              <w:left w:val="single" w:color="auto" w:sz="4" w:space="0"/>
              <w:bottom w:val="single" w:color="auto" w:sz="4" w:space="0"/>
              <w:right w:val="single" w:color="auto" w:sz="4" w:space="0"/>
            </w:tcBorders>
            <w:noWrap/>
            <w:vAlign w:val="center"/>
          </w:tcPr>
          <w:p w14:paraId="4C81B4A7">
            <w:pPr>
              <w:widowControl/>
              <w:jc w:val="left"/>
              <w:rPr>
                <w:rFonts w:ascii="宋体" w:hAnsi="宋体" w:cs="宋体"/>
                <w:color w:val="auto"/>
                <w:kern w:val="0"/>
                <w:sz w:val="18"/>
                <w:szCs w:val="18"/>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7164685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33" w:type="dxa"/>
            <w:tcBorders>
              <w:top w:val="single" w:color="auto" w:sz="4" w:space="0"/>
              <w:left w:val="single" w:color="auto" w:sz="4" w:space="0"/>
              <w:bottom w:val="single" w:color="auto" w:sz="4" w:space="0"/>
              <w:right w:val="single" w:color="auto" w:sz="4" w:space="0"/>
            </w:tcBorders>
            <w:noWrap/>
            <w:vAlign w:val="center"/>
          </w:tcPr>
          <w:p w14:paraId="73658A1A">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362" w:type="dxa"/>
            <w:tcBorders>
              <w:top w:val="single" w:color="auto" w:sz="4" w:space="0"/>
              <w:left w:val="single" w:color="auto" w:sz="4" w:space="0"/>
              <w:bottom w:val="single" w:color="auto" w:sz="4" w:space="0"/>
              <w:right w:val="single" w:color="auto" w:sz="4" w:space="0"/>
            </w:tcBorders>
            <w:noWrap/>
            <w:vAlign w:val="center"/>
          </w:tcPr>
          <w:p w14:paraId="29F7A7C6">
            <w:pPr>
              <w:widowControl/>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805" w:type="dxa"/>
            <w:tcBorders>
              <w:top w:val="single" w:color="auto" w:sz="4" w:space="0"/>
              <w:left w:val="single" w:color="auto" w:sz="4" w:space="0"/>
              <w:bottom w:val="single" w:color="auto" w:sz="4" w:space="0"/>
              <w:right w:val="single" w:color="auto" w:sz="4" w:space="0"/>
            </w:tcBorders>
            <w:noWrap/>
            <w:vAlign w:val="center"/>
          </w:tcPr>
          <w:p w14:paraId="6BEFF05C">
            <w:pPr>
              <w:widowControl/>
              <w:jc w:val="center"/>
              <w:rPr>
                <w:rFonts w:ascii="宋体" w:hAnsi="宋体" w:cs="宋体"/>
                <w:color w:val="auto"/>
                <w:kern w:val="0"/>
                <w:sz w:val="18"/>
                <w:szCs w:val="18"/>
              </w:rPr>
            </w:pPr>
            <w:r>
              <w:rPr>
                <w:rFonts w:hint="eastAsia" w:ascii="宋体" w:hAnsi="宋体" w:cs="宋体"/>
                <w:color w:val="auto"/>
                <w:kern w:val="0"/>
                <w:sz w:val="18"/>
                <w:szCs w:val="18"/>
              </w:rPr>
              <w:t>3000≤Y＜30000</w:t>
            </w:r>
          </w:p>
        </w:tc>
        <w:tc>
          <w:tcPr>
            <w:tcW w:w="1587" w:type="dxa"/>
            <w:tcBorders>
              <w:top w:val="single" w:color="auto" w:sz="4" w:space="0"/>
              <w:left w:val="single" w:color="auto" w:sz="4" w:space="0"/>
              <w:bottom w:val="single" w:color="auto" w:sz="4" w:space="0"/>
              <w:right w:val="single" w:color="auto" w:sz="4" w:space="0"/>
            </w:tcBorders>
            <w:noWrap/>
            <w:vAlign w:val="center"/>
          </w:tcPr>
          <w:p w14:paraId="2E8DE84D">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 200≤Y＜3000</w:t>
            </w:r>
          </w:p>
        </w:tc>
        <w:tc>
          <w:tcPr>
            <w:tcW w:w="1035" w:type="dxa"/>
            <w:tcBorders>
              <w:top w:val="single" w:color="auto" w:sz="4" w:space="0"/>
              <w:left w:val="single" w:color="auto" w:sz="4" w:space="0"/>
              <w:bottom w:val="single" w:color="auto" w:sz="4" w:space="0"/>
              <w:right w:val="single" w:color="auto" w:sz="4" w:space="0"/>
            </w:tcBorders>
            <w:noWrap/>
            <w:vAlign w:val="center"/>
          </w:tcPr>
          <w:p w14:paraId="0F1F2733">
            <w:pPr>
              <w:widowControl/>
              <w:jc w:val="center"/>
              <w:rPr>
                <w:rFonts w:ascii="宋体" w:hAnsi="宋体" w:cs="宋体"/>
                <w:color w:val="auto"/>
                <w:kern w:val="0"/>
                <w:sz w:val="18"/>
                <w:szCs w:val="18"/>
              </w:rPr>
            </w:pPr>
            <w:r>
              <w:rPr>
                <w:rFonts w:hint="eastAsia" w:ascii="宋体" w:hAnsi="宋体" w:cs="宋体"/>
                <w:color w:val="auto"/>
                <w:kern w:val="0"/>
                <w:sz w:val="18"/>
                <w:szCs w:val="18"/>
              </w:rPr>
              <w:t>Y＜200</w:t>
            </w:r>
          </w:p>
        </w:tc>
      </w:tr>
      <w:tr w14:paraId="06989225">
        <w:tblPrEx>
          <w:tblCellMar>
            <w:top w:w="0" w:type="dxa"/>
            <w:left w:w="108" w:type="dxa"/>
            <w:bottom w:w="0" w:type="dxa"/>
            <w:right w:w="108" w:type="dxa"/>
          </w:tblCellMar>
        </w:tblPrEx>
        <w:trPr>
          <w:trHeight w:val="397" w:hRule="exact"/>
          <w:jc w:val="center"/>
        </w:trPr>
        <w:tc>
          <w:tcPr>
            <w:tcW w:w="2003" w:type="dxa"/>
            <w:vMerge w:val="restart"/>
            <w:tcBorders>
              <w:top w:val="single" w:color="auto" w:sz="4" w:space="0"/>
              <w:left w:val="single" w:color="auto" w:sz="4" w:space="0"/>
              <w:bottom w:val="single" w:color="auto" w:sz="4" w:space="0"/>
              <w:right w:val="single" w:color="auto" w:sz="4" w:space="0"/>
            </w:tcBorders>
            <w:noWrap/>
            <w:vAlign w:val="center"/>
          </w:tcPr>
          <w:p w14:paraId="71EF5AB0">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仓储业*</w:t>
            </w:r>
          </w:p>
        </w:tc>
        <w:tc>
          <w:tcPr>
            <w:tcW w:w="1300" w:type="dxa"/>
            <w:tcBorders>
              <w:top w:val="single" w:color="auto" w:sz="4" w:space="0"/>
              <w:left w:val="single" w:color="auto" w:sz="4" w:space="0"/>
              <w:bottom w:val="single" w:color="auto" w:sz="4" w:space="0"/>
              <w:right w:val="single" w:color="auto" w:sz="4" w:space="0"/>
            </w:tcBorders>
            <w:noWrap/>
            <w:vAlign w:val="center"/>
          </w:tcPr>
          <w:p w14:paraId="54CB6909">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33" w:type="dxa"/>
            <w:tcBorders>
              <w:top w:val="single" w:color="auto" w:sz="4" w:space="0"/>
              <w:left w:val="single" w:color="auto" w:sz="4" w:space="0"/>
              <w:bottom w:val="single" w:color="auto" w:sz="4" w:space="0"/>
              <w:right w:val="single" w:color="auto" w:sz="4" w:space="0"/>
            </w:tcBorders>
            <w:noWrap/>
            <w:vAlign w:val="center"/>
          </w:tcPr>
          <w:p w14:paraId="6F6FF122">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362" w:type="dxa"/>
            <w:tcBorders>
              <w:top w:val="single" w:color="auto" w:sz="4" w:space="0"/>
              <w:left w:val="single" w:color="auto" w:sz="4" w:space="0"/>
              <w:bottom w:val="single" w:color="auto" w:sz="4" w:space="0"/>
              <w:right w:val="single" w:color="auto" w:sz="4" w:space="0"/>
            </w:tcBorders>
            <w:noWrap/>
            <w:vAlign w:val="center"/>
          </w:tcPr>
          <w:p w14:paraId="79351B95">
            <w:pPr>
              <w:widowControl/>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805" w:type="dxa"/>
            <w:tcBorders>
              <w:top w:val="single" w:color="auto" w:sz="4" w:space="0"/>
              <w:left w:val="single" w:color="auto" w:sz="4" w:space="0"/>
              <w:bottom w:val="single" w:color="auto" w:sz="4" w:space="0"/>
              <w:right w:val="single" w:color="auto" w:sz="4" w:space="0"/>
            </w:tcBorders>
            <w:noWrap/>
            <w:vAlign w:val="center"/>
          </w:tcPr>
          <w:p w14:paraId="79F06526">
            <w:pPr>
              <w:widowControl/>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100≤X＜200</w:t>
            </w:r>
          </w:p>
        </w:tc>
        <w:tc>
          <w:tcPr>
            <w:tcW w:w="1587" w:type="dxa"/>
            <w:tcBorders>
              <w:top w:val="single" w:color="auto" w:sz="4" w:space="0"/>
              <w:left w:val="single" w:color="auto" w:sz="4" w:space="0"/>
              <w:bottom w:val="single" w:color="auto" w:sz="4" w:space="0"/>
              <w:right w:val="single" w:color="auto" w:sz="4" w:space="0"/>
            </w:tcBorders>
            <w:noWrap/>
            <w:vAlign w:val="center"/>
          </w:tcPr>
          <w:p w14:paraId="7F3C3522">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 20≤X＜100</w:t>
            </w:r>
          </w:p>
        </w:tc>
        <w:tc>
          <w:tcPr>
            <w:tcW w:w="1035" w:type="dxa"/>
            <w:tcBorders>
              <w:top w:val="single" w:color="auto" w:sz="4" w:space="0"/>
              <w:left w:val="single" w:color="auto" w:sz="4" w:space="0"/>
              <w:bottom w:val="single" w:color="auto" w:sz="4" w:space="0"/>
              <w:right w:val="single" w:color="auto" w:sz="4" w:space="0"/>
            </w:tcBorders>
            <w:noWrap/>
            <w:vAlign w:val="center"/>
          </w:tcPr>
          <w:p w14:paraId="01B6A26D">
            <w:pPr>
              <w:widowControl/>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4A2D434F">
        <w:tblPrEx>
          <w:tblCellMar>
            <w:top w:w="0" w:type="dxa"/>
            <w:left w:w="108" w:type="dxa"/>
            <w:bottom w:w="0" w:type="dxa"/>
            <w:right w:w="108" w:type="dxa"/>
          </w:tblCellMar>
        </w:tblPrEx>
        <w:trPr>
          <w:trHeight w:val="397" w:hRule="exact"/>
          <w:jc w:val="center"/>
        </w:trPr>
        <w:tc>
          <w:tcPr>
            <w:tcW w:w="2003" w:type="dxa"/>
            <w:vMerge w:val="continue"/>
            <w:tcBorders>
              <w:top w:val="single" w:color="auto" w:sz="4" w:space="0"/>
              <w:left w:val="single" w:color="auto" w:sz="4" w:space="0"/>
              <w:bottom w:val="single" w:color="auto" w:sz="4" w:space="0"/>
              <w:right w:val="single" w:color="auto" w:sz="4" w:space="0"/>
            </w:tcBorders>
            <w:noWrap/>
            <w:vAlign w:val="center"/>
          </w:tcPr>
          <w:p w14:paraId="4FCAEA1C">
            <w:pPr>
              <w:widowControl/>
              <w:jc w:val="left"/>
              <w:rPr>
                <w:rFonts w:ascii="宋体" w:hAnsi="宋体" w:cs="宋体"/>
                <w:color w:val="auto"/>
                <w:kern w:val="0"/>
                <w:sz w:val="18"/>
                <w:szCs w:val="18"/>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0F066BB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33" w:type="dxa"/>
            <w:tcBorders>
              <w:top w:val="single" w:color="auto" w:sz="4" w:space="0"/>
              <w:left w:val="single" w:color="auto" w:sz="4" w:space="0"/>
              <w:bottom w:val="single" w:color="auto" w:sz="4" w:space="0"/>
              <w:right w:val="single" w:color="auto" w:sz="4" w:space="0"/>
            </w:tcBorders>
            <w:noWrap/>
            <w:vAlign w:val="center"/>
          </w:tcPr>
          <w:p w14:paraId="29E7DDB6">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362" w:type="dxa"/>
            <w:tcBorders>
              <w:top w:val="single" w:color="auto" w:sz="4" w:space="0"/>
              <w:left w:val="single" w:color="auto" w:sz="4" w:space="0"/>
              <w:bottom w:val="single" w:color="auto" w:sz="4" w:space="0"/>
              <w:right w:val="single" w:color="auto" w:sz="4" w:space="0"/>
            </w:tcBorders>
            <w:noWrap/>
            <w:vAlign w:val="center"/>
          </w:tcPr>
          <w:p w14:paraId="006E21B6">
            <w:pPr>
              <w:widowControl/>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805" w:type="dxa"/>
            <w:tcBorders>
              <w:top w:val="single" w:color="auto" w:sz="4" w:space="0"/>
              <w:left w:val="single" w:color="auto" w:sz="4" w:space="0"/>
              <w:bottom w:val="single" w:color="auto" w:sz="4" w:space="0"/>
              <w:right w:val="single" w:color="auto" w:sz="4" w:space="0"/>
            </w:tcBorders>
            <w:noWrap/>
            <w:vAlign w:val="center"/>
          </w:tcPr>
          <w:p w14:paraId="0007B5F1">
            <w:pPr>
              <w:widowControl/>
              <w:jc w:val="center"/>
              <w:rPr>
                <w:rFonts w:ascii="宋体" w:hAnsi="宋体" w:cs="宋体"/>
                <w:color w:val="auto"/>
                <w:kern w:val="0"/>
                <w:sz w:val="18"/>
                <w:szCs w:val="18"/>
              </w:rPr>
            </w:pPr>
            <w:r>
              <w:rPr>
                <w:rFonts w:hint="eastAsia" w:ascii="宋体" w:hAnsi="宋体" w:cs="宋体"/>
                <w:color w:val="auto"/>
                <w:kern w:val="0"/>
                <w:sz w:val="18"/>
                <w:szCs w:val="18"/>
              </w:rPr>
              <w:t>1000≤Y＜30000</w:t>
            </w:r>
          </w:p>
        </w:tc>
        <w:tc>
          <w:tcPr>
            <w:tcW w:w="1587" w:type="dxa"/>
            <w:tcBorders>
              <w:top w:val="single" w:color="auto" w:sz="4" w:space="0"/>
              <w:left w:val="single" w:color="auto" w:sz="4" w:space="0"/>
              <w:bottom w:val="single" w:color="auto" w:sz="4" w:space="0"/>
              <w:right w:val="single" w:color="auto" w:sz="4" w:space="0"/>
            </w:tcBorders>
            <w:noWrap/>
            <w:vAlign w:val="center"/>
          </w:tcPr>
          <w:p w14:paraId="4B203691">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 100≤Y＜1000</w:t>
            </w:r>
          </w:p>
        </w:tc>
        <w:tc>
          <w:tcPr>
            <w:tcW w:w="1035" w:type="dxa"/>
            <w:tcBorders>
              <w:top w:val="single" w:color="auto" w:sz="4" w:space="0"/>
              <w:left w:val="single" w:color="auto" w:sz="4" w:space="0"/>
              <w:bottom w:val="single" w:color="auto" w:sz="4" w:space="0"/>
              <w:right w:val="single" w:color="auto" w:sz="4" w:space="0"/>
            </w:tcBorders>
            <w:noWrap/>
            <w:vAlign w:val="center"/>
          </w:tcPr>
          <w:p w14:paraId="33A9C835">
            <w:pPr>
              <w:widowControl/>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35AE3A91">
        <w:tblPrEx>
          <w:tblCellMar>
            <w:top w:w="0" w:type="dxa"/>
            <w:left w:w="108" w:type="dxa"/>
            <w:bottom w:w="0" w:type="dxa"/>
            <w:right w:w="108" w:type="dxa"/>
          </w:tblCellMar>
        </w:tblPrEx>
        <w:trPr>
          <w:trHeight w:val="397" w:hRule="exact"/>
          <w:jc w:val="center"/>
        </w:trPr>
        <w:tc>
          <w:tcPr>
            <w:tcW w:w="2003" w:type="dxa"/>
            <w:vMerge w:val="restart"/>
            <w:tcBorders>
              <w:top w:val="single" w:color="auto" w:sz="4" w:space="0"/>
              <w:left w:val="single" w:color="auto" w:sz="4" w:space="0"/>
              <w:bottom w:val="single" w:color="auto" w:sz="4" w:space="0"/>
              <w:right w:val="single" w:color="auto" w:sz="4" w:space="0"/>
            </w:tcBorders>
            <w:noWrap/>
            <w:vAlign w:val="center"/>
          </w:tcPr>
          <w:p w14:paraId="75AD57BC">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邮政业</w:t>
            </w:r>
          </w:p>
        </w:tc>
        <w:tc>
          <w:tcPr>
            <w:tcW w:w="1300" w:type="dxa"/>
            <w:tcBorders>
              <w:top w:val="single" w:color="auto" w:sz="4" w:space="0"/>
              <w:left w:val="single" w:color="auto" w:sz="4" w:space="0"/>
              <w:bottom w:val="single" w:color="auto" w:sz="4" w:space="0"/>
              <w:right w:val="single" w:color="auto" w:sz="4" w:space="0"/>
            </w:tcBorders>
            <w:noWrap/>
            <w:vAlign w:val="center"/>
          </w:tcPr>
          <w:p w14:paraId="2890E33D">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33" w:type="dxa"/>
            <w:tcBorders>
              <w:top w:val="single" w:color="auto" w:sz="4" w:space="0"/>
              <w:left w:val="single" w:color="auto" w:sz="4" w:space="0"/>
              <w:bottom w:val="single" w:color="auto" w:sz="4" w:space="0"/>
              <w:right w:val="single" w:color="auto" w:sz="4" w:space="0"/>
            </w:tcBorders>
            <w:noWrap/>
            <w:vAlign w:val="center"/>
          </w:tcPr>
          <w:p w14:paraId="20AD754D">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362" w:type="dxa"/>
            <w:tcBorders>
              <w:top w:val="single" w:color="auto" w:sz="4" w:space="0"/>
              <w:left w:val="single" w:color="auto" w:sz="4" w:space="0"/>
              <w:bottom w:val="single" w:color="auto" w:sz="4" w:space="0"/>
              <w:right w:val="single" w:color="auto" w:sz="4" w:space="0"/>
            </w:tcBorders>
            <w:noWrap/>
            <w:vAlign w:val="center"/>
          </w:tcPr>
          <w:p w14:paraId="68EDA5A5">
            <w:pPr>
              <w:widowControl/>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805" w:type="dxa"/>
            <w:tcBorders>
              <w:top w:val="single" w:color="auto" w:sz="4" w:space="0"/>
              <w:left w:val="single" w:color="auto" w:sz="4" w:space="0"/>
              <w:bottom w:val="single" w:color="auto" w:sz="4" w:space="0"/>
              <w:right w:val="single" w:color="auto" w:sz="4" w:space="0"/>
            </w:tcBorders>
            <w:noWrap/>
            <w:vAlign w:val="center"/>
          </w:tcPr>
          <w:p w14:paraId="7E864D07">
            <w:pPr>
              <w:widowControl/>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587" w:type="dxa"/>
            <w:tcBorders>
              <w:top w:val="single" w:color="auto" w:sz="4" w:space="0"/>
              <w:left w:val="single" w:color="auto" w:sz="4" w:space="0"/>
              <w:bottom w:val="single" w:color="auto" w:sz="4" w:space="0"/>
              <w:right w:val="single" w:color="auto" w:sz="4" w:space="0"/>
            </w:tcBorders>
            <w:noWrap/>
            <w:vAlign w:val="center"/>
          </w:tcPr>
          <w:p w14:paraId="2C0E50DD">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 20≤X＜300</w:t>
            </w:r>
          </w:p>
        </w:tc>
        <w:tc>
          <w:tcPr>
            <w:tcW w:w="1035" w:type="dxa"/>
            <w:tcBorders>
              <w:top w:val="single" w:color="auto" w:sz="4" w:space="0"/>
              <w:left w:val="single" w:color="auto" w:sz="4" w:space="0"/>
              <w:bottom w:val="single" w:color="auto" w:sz="4" w:space="0"/>
              <w:right w:val="single" w:color="auto" w:sz="4" w:space="0"/>
            </w:tcBorders>
            <w:noWrap/>
            <w:vAlign w:val="center"/>
          </w:tcPr>
          <w:p w14:paraId="624AC69F">
            <w:pPr>
              <w:widowControl/>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3FCBCD22">
        <w:tblPrEx>
          <w:tblCellMar>
            <w:top w:w="0" w:type="dxa"/>
            <w:left w:w="108" w:type="dxa"/>
            <w:bottom w:w="0" w:type="dxa"/>
            <w:right w:w="108" w:type="dxa"/>
          </w:tblCellMar>
        </w:tblPrEx>
        <w:trPr>
          <w:trHeight w:val="397" w:hRule="exact"/>
          <w:jc w:val="center"/>
        </w:trPr>
        <w:tc>
          <w:tcPr>
            <w:tcW w:w="2003" w:type="dxa"/>
            <w:vMerge w:val="continue"/>
            <w:tcBorders>
              <w:top w:val="single" w:color="auto" w:sz="4" w:space="0"/>
              <w:left w:val="single" w:color="auto" w:sz="4" w:space="0"/>
              <w:bottom w:val="single" w:color="auto" w:sz="4" w:space="0"/>
              <w:right w:val="single" w:color="auto" w:sz="4" w:space="0"/>
            </w:tcBorders>
            <w:noWrap/>
            <w:vAlign w:val="center"/>
          </w:tcPr>
          <w:p w14:paraId="0A58D220">
            <w:pPr>
              <w:widowControl/>
              <w:jc w:val="left"/>
              <w:rPr>
                <w:rFonts w:ascii="宋体" w:hAnsi="宋体" w:cs="宋体"/>
                <w:color w:val="auto"/>
                <w:kern w:val="0"/>
                <w:sz w:val="18"/>
                <w:szCs w:val="18"/>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29D0C11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33" w:type="dxa"/>
            <w:tcBorders>
              <w:top w:val="single" w:color="auto" w:sz="4" w:space="0"/>
              <w:left w:val="single" w:color="auto" w:sz="4" w:space="0"/>
              <w:bottom w:val="single" w:color="auto" w:sz="4" w:space="0"/>
              <w:right w:val="single" w:color="auto" w:sz="4" w:space="0"/>
            </w:tcBorders>
            <w:noWrap/>
            <w:vAlign w:val="center"/>
          </w:tcPr>
          <w:p w14:paraId="4950DB3C">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362" w:type="dxa"/>
            <w:tcBorders>
              <w:top w:val="single" w:color="auto" w:sz="4" w:space="0"/>
              <w:left w:val="single" w:color="auto" w:sz="4" w:space="0"/>
              <w:bottom w:val="single" w:color="auto" w:sz="4" w:space="0"/>
              <w:right w:val="single" w:color="auto" w:sz="4" w:space="0"/>
            </w:tcBorders>
            <w:noWrap/>
            <w:vAlign w:val="center"/>
          </w:tcPr>
          <w:p w14:paraId="6ABE9737">
            <w:pPr>
              <w:widowControl/>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805" w:type="dxa"/>
            <w:tcBorders>
              <w:top w:val="single" w:color="auto" w:sz="4" w:space="0"/>
              <w:left w:val="single" w:color="auto" w:sz="4" w:space="0"/>
              <w:bottom w:val="single" w:color="auto" w:sz="4" w:space="0"/>
              <w:right w:val="single" w:color="auto" w:sz="4" w:space="0"/>
            </w:tcBorders>
            <w:noWrap/>
            <w:vAlign w:val="center"/>
          </w:tcPr>
          <w:p w14:paraId="686BD616">
            <w:pPr>
              <w:widowControl/>
              <w:jc w:val="center"/>
              <w:rPr>
                <w:rFonts w:ascii="宋体" w:hAnsi="宋体" w:cs="宋体"/>
                <w:color w:val="auto"/>
                <w:kern w:val="0"/>
                <w:sz w:val="18"/>
                <w:szCs w:val="18"/>
              </w:rPr>
            </w:pPr>
            <w:r>
              <w:rPr>
                <w:rFonts w:hint="eastAsia" w:ascii="宋体" w:hAnsi="宋体" w:cs="宋体"/>
                <w:color w:val="auto"/>
                <w:kern w:val="0"/>
                <w:sz w:val="18"/>
                <w:szCs w:val="18"/>
              </w:rPr>
              <w:t>2000≤Y＜30000</w:t>
            </w:r>
          </w:p>
        </w:tc>
        <w:tc>
          <w:tcPr>
            <w:tcW w:w="1587" w:type="dxa"/>
            <w:tcBorders>
              <w:top w:val="single" w:color="auto" w:sz="4" w:space="0"/>
              <w:left w:val="single" w:color="auto" w:sz="4" w:space="0"/>
              <w:bottom w:val="single" w:color="auto" w:sz="4" w:space="0"/>
              <w:right w:val="single" w:color="auto" w:sz="4" w:space="0"/>
            </w:tcBorders>
            <w:noWrap/>
            <w:vAlign w:val="center"/>
          </w:tcPr>
          <w:p w14:paraId="0CFE9436">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 100≤Y＜2000</w:t>
            </w:r>
          </w:p>
        </w:tc>
        <w:tc>
          <w:tcPr>
            <w:tcW w:w="1035" w:type="dxa"/>
            <w:tcBorders>
              <w:top w:val="single" w:color="auto" w:sz="4" w:space="0"/>
              <w:left w:val="single" w:color="auto" w:sz="4" w:space="0"/>
              <w:bottom w:val="single" w:color="auto" w:sz="4" w:space="0"/>
              <w:right w:val="single" w:color="auto" w:sz="4" w:space="0"/>
            </w:tcBorders>
            <w:noWrap/>
            <w:vAlign w:val="center"/>
          </w:tcPr>
          <w:p w14:paraId="30AA6921">
            <w:pPr>
              <w:widowControl/>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5C411ACB">
        <w:tblPrEx>
          <w:tblCellMar>
            <w:top w:w="0" w:type="dxa"/>
            <w:left w:w="108" w:type="dxa"/>
            <w:bottom w:w="0" w:type="dxa"/>
            <w:right w:w="108" w:type="dxa"/>
          </w:tblCellMar>
        </w:tblPrEx>
        <w:trPr>
          <w:trHeight w:val="397" w:hRule="exact"/>
          <w:jc w:val="center"/>
        </w:trPr>
        <w:tc>
          <w:tcPr>
            <w:tcW w:w="2003" w:type="dxa"/>
            <w:vMerge w:val="restart"/>
            <w:tcBorders>
              <w:top w:val="single" w:color="auto" w:sz="4" w:space="0"/>
              <w:left w:val="single" w:color="auto" w:sz="4" w:space="0"/>
              <w:bottom w:val="single" w:color="auto" w:sz="4" w:space="0"/>
              <w:right w:val="single" w:color="auto" w:sz="4" w:space="0"/>
            </w:tcBorders>
            <w:noWrap/>
            <w:vAlign w:val="center"/>
          </w:tcPr>
          <w:p w14:paraId="0675175D">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住宿业</w:t>
            </w:r>
          </w:p>
        </w:tc>
        <w:tc>
          <w:tcPr>
            <w:tcW w:w="1300" w:type="dxa"/>
            <w:tcBorders>
              <w:top w:val="single" w:color="auto" w:sz="4" w:space="0"/>
              <w:left w:val="single" w:color="auto" w:sz="4" w:space="0"/>
              <w:bottom w:val="single" w:color="auto" w:sz="4" w:space="0"/>
              <w:right w:val="single" w:color="auto" w:sz="4" w:space="0"/>
            </w:tcBorders>
            <w:noWrap/>
            <w:vAlign w:val="center"/>
          </w:tcPr>
          <w:p w14:paraId="195B43C0">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33" w:type="dxa"/>
            <w:tcBorders>
              <w:top w:val="single" w:color="auto" w:sz="4" w:space="0"/>
              <w:left w:val="single" w:color="auto" w:sz="4" w:space="0"/>
              <w:bottom w:val="single" w:color="auto" w:sz="4" w:space="0"/>
              <w:right w:val="single" w:color="auto" w:sz="4" w:space="0"/>
            </w:tcBorders>
            <w:noWrap/>
            <w:vAlign w:val="center"/>
          </w:tcPr>
          <w:p w14:paraId="3FF21081">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362" w:type="dxa"/>
            <w:tcBorders>
              <w:top w:val="single" w:color="auto" w:sz="4" w:space="0"/>
              <w:left w:val="single" w:color="auto" w:sz="4" w:space="0"/>
              <w:bottom w:val="single" w:color="auto" w:sz="4" w:space="0"/>
              <w:right w:val="single" w:color="auto" w:sz="4" w:space="0"/>
            </w:tcBorders>
            <w:noWrap/>
            <w:vAlign w:val="center"/>
          </w:tcPr>
          <w:p w14:paraId="072C28BC">
            <w:pPr>
              <w:widowControl/>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805" w:type="dxa"/>
            <w:tcBorders>
              <w:top w:val="single" w:color="auto" w:sz="4" w:space="0"/>
              <w:left w:val="single" w:color="auto" w:sz="4" w:space="0"/>
              <w:bottom w:val="single" w:color="auto" w:sz="4" w:space="0"/>
              <w:right w:val="single" w:color="auto" w:sz="4" w:space="0"/>
            </w:tcBorders>
            <w:noWrap/>
            <w:vAlign w:val="center"/>
          </w:tcPr>
          <w:p w14:paraId="01B13B41">
            <w:pPr>
              <w:widowControl/>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587" w:type="dxa"/>
            <w:tcBorders>
              <w:top w:val="single" w:color="auto" w:sz="4" w:space="0"/>
              <w:left w:val="single" w:color="auto" w:sz="4" w:space="0"/>
              <w:bottom w:val="single" w:color="auto" w:sz="4" w:space="0"/>
              <w:right w:val="single" w:color="auto" w:sz="4" w:space="0"/>
            </w:tcBorders>
            <w:noWrap/>
            <w:vAlign w:val="center"/>
          </w:tcPr>
          <w:p w14:paraId="7907F79E">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 10≤X＜100</w:t>
            </w:r>
          </w:p>
        </w:tc>
        <w:tc>
          <w:tcPr>
            <w:tcW w:w="1035" w:type="dxa"/>
            <w:tcBorders>
              <w:top w:val="single" w:color="auto" w:sz="4" w:space="0"/>
              <w:left w:val="single" w:color="auto" w:sz="4" w:space="0"/>
              <w:bottom w:val="single" w:color="auto" w:sz="4" w:space="0"/>
              <w:right w:val="single" w:color="auto" w:sz="4" w:space="0"/>
            </w:tcBorders>
            <w:noWrap/>
            <w:vAlign w:val="center"/>
          </w:tcPr>
          <w:p w14:paraId="7D20AE5D">
            <w:pPr>
              <w:widowControl/>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2C532FB8">
        <w:tblPrEx>
          <w:tblCellMar>
            <w:top w:w="0" w:type="dxa"/>
            <w:left w:w="108" w:type="dxa"/>
            <w:bottom w:w="0" w:type="dxa"/>
            <w:right w:w="108" w:type="dxa"/>
          </w:tblCellMar>
        </w:tblPrEx>
        <w:trPr>
          <w:trHeight w:val="397" w:hRule="exact"/>
          <w:jc w:val="center"/>
        </w:trPr>
        <w:tc>
          <w:tcPr>
            <w:tcW w:w="2003" w:type="dxa"/>
            <w:vMerge w:val="continue"/>
            <w:tcBorders>
              <w:top w:val="single" w:color="auto" w:sz="4" w:space="0"/>
              <w:left w:val="single" w:color="auto" w:sz="4" w:space="0"/>
              <w:bottom w:val="single" w:color="auto" w:sz="4" w:space="0"/>
              <w:right w:val="single" w:color="auto" w:sz="4" w:space="0"/>
            </w:tcBorders>
            <w:noWrap/>
            <w:vAlign w:val="center"/>
          </w:tcPr>
          <w:p w14:paraId="13411DAA">
            <w:pPr>
              <w:widowControl/>
              <w:jc w:val="left"/>
              <w:rPr>
                <w:rFonts w:ascii="宋体" w:hAnsi="宋体" w:cs="宋体"/>
                <w:color w:val="auto"/>
                <w:kern w:val="0"/>
                <w:sz w:val="18"/>
                <w:szCs w:val="18"/>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2374F74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33" w:type="dxa"/>
            <w:tcBorders>
              <w:top w:val="single" w:color="auto" w:sz="4" w:space="0"/>
              <w:left w:val="single" w:color="auto" w:sz="4" w:space="0"/>
              <w:bottom w:val="single" w:color="auto" w:sz="4" w:space="0"/>
              <w:right w:val="single" w:color="auto" w:sz="4" w:space="0"/>
            </w:tcBorders>
            <w:noWrap/>
            <w:vAlign w:val="center"/>
          </w:tcPr>
          <w:p w14:paraId="59E0BA49">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362" w:type="dxa"/>
            <w:tcBorders>
              <w:top w:val="single" w:color="auto" w:sz="4" w:space="0"/>
              <w:left w:val="single" w:color="auto" w:sz="4" w:space="0"/>
              <w:bottom w:val="single" w:color="auto" w:sz="4" w:space="0"/>
              <w:right w:val="single" w:color="auto" w:sz="4" w:space="0"/>
            </w:tcBorders>
            <w:noWrap/>
            <w:vAlign w:val="center"/>
          </w:tcPr>
          <w:p w14:paraId="5A23BC22">
            <w:pPr>
              <w:widowControl/>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805" w:type="dxa"/>
            <w:tcBorders>
              <w:top w:val="single" w:color="auto" w:sz="4" w:space="0"/>
              <w:left w:val="single" w:color="auto" w:sz="4" w:space="0"/>
              <w:bottom w:val="single" w:color="auto" w:sz="4" w:space="0"/>
              <w:right w:val="single" w:color="auto" w:sz="4" w:space="0"/>
            </w:tcBorders>
            <w:noWrap/>
            <w:vAlign w:val="center"/>
          </w:tcPr>
          <w:p w14:paraId="0EC5CC41">
            <w:pPr>
              <w:widowControl/>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587" w:type="dxa"/>
            <w:tcBorders>
              <w:top w:val="single" w:color="auto" w:sz="4" w:space="0"/>
              <w:left w:val="single" w:color="auto" w:sz="4" w:space="0"/>
              <w:bottom w:val="single" w:color="auto" w:sz="4" w:space="0"/>
              <w:right w:val="single" w:color="auto" w:sz="4" w:space="0"/>
            </w:tcBorders>
            <w:noWrap/>
            <w:vAlign w:val="center"/>
          </w:tcPr>
          <w:p w14:paraId="099FE520">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 100≤Y＜2000</w:t>
            </w:r>
          </w:p>
        </w:tc>
        <w:tc>
          <w:tcPr>
            <w:tcW w:w="1035" w:type="dxa"/>
            <w:tcBorders>
              <w:top w:val="single" w:color="auto" w:sz="4" w:space="0"/>
              <w:left w:val="single" w:color="auto" w:sz="4" w:space="0"/>
              <w:bottom w:val="single" w:color="auto" w:sz="4" w:space="0"/>
              <w:right w:val="single" w:color="auto" w:sz="4" w:space="0"/>
            </w:tcBorders>
            <w:noWrap/>
            <w:vAlign w:val="center"/>
          </w:tcPr>
          <w:p w14:paraId="2423BA90">
            <w:pPr>
              <w:widowControl/>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7695A6C5">
        <w:tblPrEx>
          <w:tblCellMar>
            <w:top w:w="0" w:type="dxa"/>
            <w:left w:w="108" w:type="dxa"/>
            <w:bottom w:w="0" w:type="dxa"/>
            <w:right w:w="108" w:type="dxa"/>
          </w:tblCellMar>
        </w:tblPrEx>
        <w:trPr>
          <w:trHeight w:val="397" w:hRule="exact"/>
          <w:jc w:val="center"/>
        </w:trPr>
        <w:tc>
          <w:tcPr>
            <w:tcW w:w="2003" w:type="dxa"/>
            <w:vMerge w:val="restart"/>
            <w:tcBorders>
              <w:top w:val="single" w:color="auto" w:sz="4" w:space="0"/>
              <w:left w:val="single" w:color="auto" w:sz="4" w:space="0"/>
              <w:bottom w:val="single" w:color="auto" w:sz="4" w:space="0"/>
              <w:right w:val="single" w:color="auto" w:sz="4" w:space="0"/>
            </w:tcBorders>
            <w:noWrap/>
            <w:vAlign w:val="center"/>
          </w:tcPr>
          <w:p w14:paraId="2E6AF21F">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餐饮业</w:t>
            </w:r>
          </w:p>
        </w:tc>
        <w:tc>
          <w:tcPr>
            <w:tcW w:w="1300" w:type="dxa"/>
            <w:tcBorders>
              <w:top w:val="single" w:color="auto" w:sz="4" w:space="0"/>
              <w:left w:val="single" w:color="auto" w:sz="4" w:space="0"/>
              <w:bottom w:val="single" w:color="auto" w:sz="4" w:space="0"/>
              <w:right w:val="single" w:color="auto" w:sz="4" w:space="0"/>
            </w:tcBorders>
            <w:noWrap/>
            <w:vAlign w:val="center"/>
          </w:tcPr>
          <w:p w14:paraId="4D2D3A68">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33" w:type="dxa"/>
            <w:tcBorders>
              <w:top w:val="single" w:color="auto" w:sz="4" w:space="0"/>
              <w:left w:val="single" w:color="auto" w:sz="4" w:space="0"/>
              <w:bottom w:val="single" w:color="auto" w:sz="4" w:space="0"/>
              <w:right w:val="single" w:color="auto" w:sz="4" w:space="0"/>
            </w:tcBorders>
            <w:noWrap/>
            <w:vAlign w:val="center"/>
          </w:tcPr>
          <w:p w14:paraId="17AD721C">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362" w:type="dxa"/>
            <w:tcBorders>
              <w:top w:val="single" w:color="auto" w:sz="4" w:space="0"/>
              <w:left w:val="single" w:color="auto" w:sz="4" w:space="0"/>
              <w:bottom w:val="single" w:color="auto" w:sz="4" w:space="0"/>
              <w:right w:val="single" w:color="auto" w:sz="4" w:space="0"/>
            </w:tcBorders>
            <w:noWrap/>
            <w:vAlign w:val="center"/>
          </w:tcPr>
          <w:p w14:paraId="770FCFCD">
            <w:pPr>
              <w:widowControl/>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805" w:type="dxa"/>
            <w:tcBorders>
              <w:top w:val="single" w:color="auto" w:sz="4" w:space="0"/>
              <w:left w:val="single" w:color="auto" w:sz="4" w:space="0"/>
              <w:bottom w:val="single" w:color="auto" w:sz="4" w:space="0"/>
              <w:right w:val="single" w:color="auto" w:sz="4" w:space="0"/>
            </w:tcBorders>
            <w:noWrap/>
            <w:vAlign w:val="center"/>
          </w:tcPr>
          <w:p w14:paraId="13B1C416">
            <w:pPr>
              <w:widowControl/>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587" w:type="dxa"/>
            <w:tcBorders>
              <w:top w:val="single" w:color="auto" w:sz="4" w:space="0"/>
              <w:left w:val="single" w:color="auto" w:sz="4" w:space="0"/>
              <w:bottom w:val="single" w:color="auto" w:sz="4" w:space="0"/>
              <w:right w:val="single" w:color="auto" w:sz="4" w:space="0"/>
            </w:tcBorders>
            <w:noWrap/>
            <w:vAlign w:val="center"/>
          </w:tcPr>
          <w:p w14:paraId="6BF8C419">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 10≤X＜100</w:t>
            </w:r>
          </w:p>
        </w:tc>
        <w:tc>
          <w:tcPr>
            <w:tcW w:w="1035" w:type="dxa"/>
            <w:tcBorders>
              <w:top w:val="single" w:color="auto" w:sz="4" w:space="0"/>
              <w:left w:val="single" w:color="auto" w:sz="4" w:space="0"/>
              <w:bottom w:val="single" w:color="auto" w:sz="4" w:space="0"/>
              <w:right w:val="single" w:color="auto" w:sz="4" w:space="0"/>
            </w:tcBorders>
            <w:noWrap/>
            <w:vAlign w:val="center"/>
          </w:tcPr>
          <w:p w14:paraId="39D83262">
            <w:pPr>
              <w:widowControl/>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7225B68B">
        <w:tblPrEx>
          <w:tblCellMar>
            <w:top w:w="0" w:type="dxa"/>
            <w:left w:w="108" w:type="dxa"/>
            <w:bottom w:w="0" w:type="dxa"/>
            <w:right w:w="108" w:type="dxa"/>
          </w:tblCellMar>
        </w:tblPrEx>
        <w:trPr>
          <w:trHeight w:val="397" w:hRule="exact"/>
          <w:jc w:val="center"/>
        </w:trPr>
        <w:tc>
          <w:tcPr>
            <w:tcW w:w="2003" w:type="dxa"/>
            <w:vMerge w:val="continue"/>
            <w:tcBorders>
              <w:top w:val="single" w:color="auto" w:sz="4" w:space="0"/>
              <w:left w:val="single" w:color="auto" w:sz="4" w:space="0"/>
              <w:bottom w:val="single" w:color="auto" w:sz="4" w:space="0"/>
              <w:right w:val="single" w:color="auto" w:sz="4" w:space="0"/>
            </w:tcBorders>
            <w:noWrap/>
            <w:vAlign w:val="center"/>
          </w:tcPr>
          <w:p w14:paraId="0E82071F">
            <w:pPr>
              <w:widowControl/>
              <w:jc w:val="left"/>
              <w:rPr>
                <w:rFonts w:ascii="宋体" w:hAnsi="宋体" w:cs="宋体"/>
                <w:color w:val="auto"/>
                <w:kern w:val="0"/>
                <w:sz w:val="18"/>
                <w:szCs w:val="18"/>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7681E17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33" w:type="dxa"/>
            <w:tcBorders>
              <w:top w:val="single" w:color="auto" w:sz="4" w:space="0"/>
              <w:left w:val="single" w:color="auto" w:sz="4" w:space="0"/>
              <w:bottom w:val="single" w:color="auto" w:sz="4" w:space="0"/>
              <w:right w:val="single" w:color="auto" w:sz="4" w:space="0"/>
            </w:tcBorders>
            <w:noWrap/>
            <w:vAlign w:val="center"/>
          </w:tcPr>
          <w:p w14:paraId="00CCB1B2">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362" w:type="dxa"/>
            <w:tcBorders>
              <w:top w:val="single" w:color="auto" w:sz="4" w:space="0"/>
              <w:left w:val="single" w:color="auto" w:sz="4" w:space="0"/>
              <w:bottom w:val="single" w:color="auto" w:sz="4" w:space="0"/>
              <w:right w:val="single" w:color="auto" w:sz="4" w:space="0"/>
            </w:tcBorders>
            <w:noWrap/>
            <w:vAlign w:val="center"/>
          </w:tcPr>
          <w:p w14:paraId="07D7DB18">
            <w:pPr>
              <w:widowControl/>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805" w:type="dxa"/>
            <w:tcBorders>
              <w:top w:val="single" w:color="auto" w:sz="4" w:space="0"/>
              <w:left w:val="single" w:color="auto" w:sz="4" w:space="0"/>
              <w:bottom w:val="single" w:color="auto" w:sz="4" w:space="0"/>
              <w:right w:val="single" w:color="auto" w:sz="4" w:space="0"/>
            </w:tcBorders>
            <w:noWrap/>
            <w:vAlign w:val="center"/>
          </w:tcPr>
          <w:p w14:paraId="7B8D29CA">
            <w:pPr>
              <w:widowControl/>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587" w:type="dxa"/>
            <w:tcBorders>
              <w:top w:val="single" w:color="auto" w:sz="4" w:space="0"/>
              <w:left w:val="single" w:color="auto" w:sz="4" w:space="0"/>
              <w:bottom w:val="single" w:color="auto" w:sz="4" w:space="0"/>
              <w:right w:val="single" w:color="auto" w:sz="4" w:space="0"/>
            </w:tcBorders>
            <w:noWrap/>
            <w:vAlign w:val="center"/>
          </w:tcPr>
          <w:p w14:paraId="4355E0E3">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 100≤Y＜2000</w:t>
            </w:r>
          </w:p>
        </w:tc>
        <w:tc>
          <w:tcPr>
            <w:tcW w:w="1035" w:type="dxa"/>
            <w:tcBorders>
              <w:top w:val="single" w:color="auto" w:sz="4" w:space="0"/>
              <w:left w:val="single" w:color="auto" w:sz="4" w:space="0"/>
              <w:bottom w:val="single" w:color="auto" w:sz="4" w:space="0"/>
              <w:right w:val="single" w:color="auto" w:sz="4" w:space="0"/>
            </w:tcBorders>
            <w:noWrap/>
            <w:vAlign w:val="center"/>
          </w:tcPr>
          <w:p w14:paraId="45C4E860">
            <w:pPr>
              <w:widowControl/>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0C787A34">
        <w:tblPrEx>
          <w:tblCellMar>
            <w:top w:w="0" w:type="dxa"/>
            <w:left w:w="108" w:type="dxa"/>
            <w:bottom w:w="0" w:type="dxa"/>
            <w:right w:w="108" w:type="dxa"/>
          </w:tblCellMar>
        </w:tblPrEx>
        <w:trPr>
          <w:trHeight w:val="397" w:hRule="exact"/>
          <w:jc w:val="center"/>
        </w:trPr>
        <w:tc>
          <w:tcPr>
            <w:tcW w:w="2003" w:type="dxa"/>
            <w:vMerge w:val="restart"/>
            <w:tcBorders>
              <w:top w:val="single" w:color="auto" w:sz="4" w:space="0"/>
              <w:left w:val="single" w:color="auto" w:sz="4" w:space="0"/>
              <w:bottom w:val="single" w:color="auto" w:sz="4" w:space="0"/>
              <w:right w:val="single" w:color="auto" w:sz="4" w:space="0"/>
            </w:tcBorders>
            <w:noWrap/>
            <w:vAlign w:val="center"/>
          </w:tcPr>
          <w:p w14:paraId="2A1D5A74">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信息传输业 *</w:t>
            </w:r>
          </w:p>
        </w:tc>
        <w:tc>
          <w:tcPr>
            <w:tcW w:w="1300" w:type="dxa"/>
            <w:tcBorders>
              <w:top w:val="single" w:color="auto" w:sz="4" w:space="0"/>
              <w:left w:val="single" w:color="auto" w:sz="4" w:space="0"/>
              <w:bottom w:val="single" w:color="auto" w:sz="4" w:space="0"/>
              <w:right w:val="single" w:color="auto" w:sz="4" w:space="0"/>
            </w:tcBorders>
            <w:noWrap/>
            <w:vAlign w:val="center"/>
          </w:tcPr>
          <w:p w14:paraId="5CCF4F49">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33" w:type="dxa"/>
            <w:tcBorders>
              <w:top w:val="single" w:color="auto" w:sz="4" w:space="0"/>
              <w:left w:val="single" w:color="auto" w:sz="4" w:space="0"/>
              <w:bottom w:val="single" w:color="auto" w:sz="4" w:space="0"/>
              <w:right w:val="single" w:color="auto" w:sz="4" w:space="0"/>
            </w:tcBorders>
            <w:noWrap/>
            <w:vAlign w:val="center"/>
          </w:tcPr>
          <w:p w14:paraId="13425BE4">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362" w:type="dxa"/>
            <w:tcBorders>
              <w:top w:val="single" w:color="auto" w:sz="4" w:space="0"/>
              <w:left w:val="single" w:color="auto" w:sz="4" w:space="0"/>
              <w:bottom w:val="single" w:color="auto" w:sz="4" w:space="0"/>
              <w:right w:val="single" w:color="auto" w:sz="4" w:space="0"/>
            </w:tcBorders>
            <w:noWrap/>
            <w:vAlign w:val="center"/>
          </w:tcPr>
          <w:p w14:paraId="2C13EEAF">
            <w:pPr>
              <w:widowControl/>
              <w:jc w:val="center"/>
              <w:rPr>
                <w:rFonts w:ascii="宋体" w:hAnsi="宋体" w:cs="宋体"/>
                <w:color w:val="auto"/>
                <w:kern w:val="0"/>
                <w:sz w:val="18"/>
                <w:szCs w:val="18"/>
              </w:rPr>
            </w:pPr>
            <w:r>
              <w:rPr>
                <w:rFonts w:hint="eastAsia" w:ascii="宋体" w:hAnsi="宋体" w:cs="宋体"/>
                <w:color w:val="auto"/>
                <w:kern w:val="0"/>
                <w:sz w:val="18"/>
                <w:szCs w:val="18"/>
              </w:rPr>
              <w:t>X≥2000</w:t>
            </w:r>
          </w:p>
        </w:tc>
        <w:tc>
          <w:tcPr>
            <w:tcW w:w="1805" w:type="dxa"/>
            <w:tcBorders>
              <w:top w:val="single" w:color="auto" w:sz="4" w:space="0"/>
              <w:left w:val="single" w:color="auto" w:sz="4" w:space="0"/>
              <w:bottom w:val="single" w:color="auto" w:sz="4" w:space="0"/>
              <w:right w:val="single" w:color="auto" w:sz="4" w:space="0"/>
            </w:tcBorders>
            <w:noWrap/>
            <w:vAlign w:val="center"/>
          </w:tcPr>
          <w:p w14:paraId="07AA6B3E">
            <w:pPr>
              <w:widowControl/>
              <w:jc w:val="center"/>
              <w:rPr>
                <w:rFonts w:ascii="宋体" w:hAnsi="宋体" w:cs="宋体"/>
                <w:color w:val="auto"/>
                <w:kern w:val="0"/>
                <w:sz w:val="18"/>
                <w:szCs w:val="18"/>
              </w:rPr>
            </w:pPr>
            <w:r>
              <w:rPr>
                <w:rFonts w:hint="eastAsia" w:ascii="宋体" w:hAnsi="宋体" w:cs="宋体"/>
                <w:color w:val="auto"/>
                <w:kern w:val="0"/>
                <w:sz w:val="18"/>
                <w:szCs w:val="18"/>
              </w:rPr>
              <w:t>100≤X＜2000</w:t>
            </w:r>
          </w:p>
        </w:tc>
        <w:tc>
          <w:tcPr>
            <w:tcW w:w="1587" w:type="dxa"/>
            <w:tcBorders>
              <w:top w:val="single" w:color="auto" w:sz="4" w:space="0"/>
              <w:left w:val="single" w:color="auto" w:sz="4" w:space="0"/>
              <w:bottom w:val="single" w:color="auto" w:sz="4" w:space="0"/>
              <w:right w:val="single" w:color="auto" w:sz="4" w:space="0"/>
            </w:tcBorders>
            <w:noWrap/>
            <w:vAlign w:val="center"/>
          </w:tcPr>
          <w:p w14:paraId="7090E610">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 10≤X＜100</w:t>
            </w:r>
          </w:p>
        </w:tc>
        <w:tc>
          <w:tcPr>
            <w:tcW w:w="1035" w:type="dxa"/>
            <w:tcBorders>
              <w:top w:val="single" w:color="auto" w:sz="4" w:space="0"/>
              <w:left w:val="single" w:color="auto" w:sz="4" w:space="0"/>
              <w:bottom w:val="single" w:color="auto" w:sz="4" w:space="0"/>
              <w:right w:val="single" w:color="auto" w:sz="4" w:space="0"/>
            </w:tcBorders>
            <w:noWrap/>
            <w:vAlign w:val="center"/>
          </w:tcPr>
          <w:p w14:paraId="58A30F7A">
            <w:pPr>
              <w:widowControl/>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141110F2">
        <w:tblPrEx>
          <w:tblCellMar>
            <w:top w:w="0" w:type="dxa"/>
            <w:left w:w="108" w:type="dxa"/>
            <w:bottom w:w="0" w:type="dxa"/>
            <w:right w:w="108" w:type="dxa"/>
          </w:tblCellMar>
        </w:tblPrEx>
        <w:trPr>
          <w:trHeight w:val="397" w:hRule="exact"/>
          <w:jc w:val="center"/>
        </w:trPr>
        <w:tc>
          <w:tcPr>
            <w:tcW w:w="2003" w:type="dxa"/>
            <w:vMerge w:val="continue"/>
            <w:tcBorders>
              <w:top w:val="single" w:color="auto" w:sz="4" w:space="0"/>
              <w:left w:val="single" w:color="auto" w:sz="4" w:space="0"/>
              <w:bottom w:val="single" w:color="auto" w:sz="4" w:space="0"/>
              <w:right w:val="single" w:color="auto" w:sz="4" w:space="0"/>
            </w:tcBorders>
            <w:noWrap/>
            <w:vAlign w:val="center"/>
          </w:tcPr>
          <w:p w14:paraId="02503A31">
            <w:pPr>
              <w:widowControl/>
              <w:jc w:val="left"/>
              <w:rPr>
                <w:rFonts w:ascii="宋体" w:hAnsi="宋体" w:cs="宋体"/>
                <w:color w:val="auto"/>
                <w:kern w:val="0"/>
                <w:sz w:val="18"/>
                <w:szCs w:val="18"/>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1DC5F44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33" w:type="dxa"/>
            <w:tcBorders>
              <w:top w:val="single" w:color="auto" w:sz="4" w:space="0"/>
              <w:left w:val="single" w:color="auto" w:sz="4" w:space="0"/>
              <w:bottom w:val="single" w:color="auto" w:sz="4" w:space="0"/>
              <w:right w:val="single" w:color="auto" w:sz="4" w:space="0"/>
            </w:tcBorders>
            <w:noWrap/>
            <w:vAlign w:val="center"/>
          </w:tcPr>
          <w:p w14:paraId="453A6E94">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362" w:type="dxa"/>
            <w:tcBorders>
              <w:top w:val="single" w:color="auto" w:sz="4" w:space="0"/>
              <w:left w:val="single" w:color="auto" w:sz="4" w:space="0"/>
              <w:bottom w:val="single" w:color="auto" w:sz="4" w:space="0"/>
              <w:right w:val="single" w:color="auto" w:sz="4" w:space="0"/>
            </w:tcBorders>
            <w:noWrap/>
            <w:vAlign w:val="center"/>
          </w:tcPr>
          <w:p w14:paraId="39103C88">
            <w:pPr>
              <w:widowControl/>
              <w:jc w:val="center"/>
              <w:rPr>
                <w:rFonts w:ascii="宋体" w:hAnsi="宋体" w:cs="宋体"/>
                <w:color w:val="auto"/>
                <w:kern w:val="0"/>
                <w:sz w:val="18"/>
                <w:szCs w:val="18"/>
              </w:rPr>
            </w:pPr>
            <w:r>
              <w:rPr>
                <w:rFonts w:hint="eastAsia" w:ascii="宋体" w:hAnsi="宋体" w:cs="宋体"/>
                <w:color w:val="auto"/>
                <w:kern w:val="0"/>
                <w:sz w:val="18"/>
                <w:szCs w:val="18"/>
              </w:rPr>
              <w:t>Y≥100000</w:t>
            </w:r>
          </w:p>
        </w:tc>
        <w:tc>
          <w:tcPr>
            <w:tcW w:w="1805" w:type="dxa"/>
            <w:tcBorders>
              <w:top w:val="single" w:color="auto" w:sz="4" w:space="0"/>
              <w:left w:val="single" w:color="auto" w:sz="4" w:space="0"/>
              <w:bottom w:val="single" w:color="auto" w:sz="4" w:space="0"/>
              <w:right w:val="single" w:color="auto" w:sz="4" w:space="0"/>
            </w:tcBorders>
            <w:noWrap/>
            <w:vAlign w:val="center"/>
          </w:tcPr>
          <w:p w14:paraId="471E15EB">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 1000≤Y＜100000</w:t>
            </w:r>
          </w:p>
        </w:tc>
        <w:tc>
          <w:tcPr>
            <w:tcW w:w="1587" w:type="dxa"/>
            <w:tcBorders>
              <w:top w:val="single" w:color="auto" w:sz="4" w:space="0"/>
              <w:left w:val="single" w:color="auto" w:sz="4" w:space="0"/>
              <w:bottom w:val="single" w:color="auto" w:sz="4" w:space="0"/>
              <w:right w:val="single" w:color="auto" w:sz="4" w:space="0"/>
            </w:tcBorders>
            <w:noWrap/>
            <w:vAlign w:val="center"/>
          </w:tcPr>
          <w:p w14:paraId="062032ED">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 100≤Y＜1000</w:t>
            </w:r>
          </w:p>
        </w:tc>
        <w:tc>
          <w:tcPr>
            <w:tcW w:w="1035" w:type="dxa"/>
            <w:tcBorders>
              <w:top w:val="single" w:color="auto" w:sz="4" w:space="0"/>
              <w:left w:val="single" w:color="auto" w:sz="4" w:space="0"/>
              <w:bottom w:val="single" w:color="auto" w:sz="4" w:space="0"/>
              <w:right w:val="single" w:color="auto" w:sz="4" w:space="0"/>
            </w:tcBorders>
            <w:noWrap/>
            <w:vAlign w:val="center"/>
          </w:tcPr>
          <w:p w14:paraId="68CBC289">
            <w:pPr>
              <w:widowControl/>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0E941669">
        <w:tblPrEx>
          <w:tblCellMar>
            <w:top w:w="0" w:type="dxa"/>
            <w:left w:w="108" w:type="dxa"/>
            <w:bottom w:w="0" w:type="dxa"/>
            <w:right w:w="108" w:type="dxa"/>
          </w:tblCellMar>
        </w:tblPrEx>
        <w:trPr>
          <w:trHeight w:val="340" w:hRule="exact"/>
          <w:jc w:val="center"/>
        </w:trPr>
        <w:tc>
          <w:tcPr>
            <w:tcW w:w="2003" w:type="dxa"/>
            <w:vMerge w:val="restart"/>
            <w:tcBorders>
              <w:top w:val="single" w:color="auto" w:sz="4" w:space="0"/>
              <w:left w:val="single" w:color="auto" w:sz="4" w:space="0"/>
              <w:bottom w:val="single" w:color="auto" w:sz="4" w:space="0"/>
              <w:right w:val="single" w:color="auto" w:sz="4" w:space="0"/>
            </w:tcBorders>
            <w:noWrap/>
            <w:vAlign w:val="center"/>
          </w:tcPr>
          <w:p w14:paraId="793FA795">
            <w:pPr>
              <w:widowControl/>
              <w:spacing w:line="240" w:lineRule="exact"/>
              <w:jc w:val="left"/>
              <w:rPr>
                <w:rFonts w:ascii="宋体" w:hAnsi="宋体" w:cs="宋体"/>
                <w:color w:val="auto"/>
                <w:spacing w:val="-12"/>
                <w:kern w:val="0"/>
                <w:sz w:val="18"/>
                <w:szCs w:val="18"/>
              </w:rPr>
            </w:pPr>
            <w:r>
              <w:rPr>
                <w:rFonts w:hint="eastAsia" w:ascii="宋体" w:hAnsi="宋体" w:cs="宋体"/>
                <w:color w:val="auto"/>
                <w:spacing w:val="-12"/>
                <w:kern w:val="0"/>
                <w:sz w:val="18"/>
                <w:szCs w:val="18"/>
              </w:rPr>
              <w:t>软件和信息技术服</w:t>
            </w:r>
            <w:r>
              <w:rPr>
                <w:rFonts w:hint="eastAsia" w:ascii="宋体" w:hAnsi="宋体" w:cs="宋体"/>
                <w:color w:val="auto"/>
                <w:kern w:val="0"/>
                <w:sz w:val="18"/>
                <w:szCs w:val="18"/>
              </w:rPr>
              <w:t>务业</w:t>
            </w:r>
          </w:p>
        </w:tc>
        <w:tc>
          <w:tcPr>
            <w:tcW w:w="1300" w:type="dxa"/>
            <w:tcBorders>
              <w:top w:val="single" w:color="auto" w:sz="4" w:space="0"/>
              <w:left w:val="single" w:color="auto" w:sz="4" w:space="0"/>
              <w:bottom w:val="single" w:color="auto" w:sz="4" w:space="0"/>
              <w:right w:val="single" w:color="auto" w:sz="4" w:space="0"/>
            </w:tcBorders>
            <w:noWrap/>
            <w:vAlign w:val="center"/>
          </w:tcPr>
          <w:p w14:paraId="484B059C">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33" w:type="dxa"/>
            <w:tcBorders>
              <w:top w:val="single" w:color="auto" w:sz="4" w:space="0"/>
              <w:left w:val="single" w:color="auto" w:sz="4" w:space="0"/>
              <w:bottom w:val="single" w:color="auto" w:sz="4" w:space="0"/>
              <w:right w:val="single" w:color="auto" w:sz="4" w:space="0"/>
            </w:tcBorders>
            <w:noWrap/>
            <w:vAlign w:val="center"/>
          </w:tcPr>
          <w:p w14:paraId="48E8DEA8">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362" w:type="dxa"/>
            <w:tcBorders>
              <w:top w:val="single" w:color="auto" w:sz="4" w:space="0"/>
              <w:left w:val="single" w:color="auto" w:sz="4" w:space="0"/>
              <w:bottom w:val="single" w:color="auto" w:sz="4" w:space="0"/>
              <w:right w:val="single" w:color="auto" w:sz="4" w:space="0"/>
            </w:tcBorders>
            <w:noWrap/>
            <w:vAlign w:val="center"/>
          </w:tcPr>
          <w:p w14:paraId="359B1AE8">
            <w:pPr>
              <w:widowControl/>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805" w:type="dxa"/>
            <w:tcBorders>
              <w:top w:val="single" w:color="auto" w:sz="4" w:space="0"/>
              <w:left w:val="single" w:color="auto" w:sz="4" w:space="0"/>
              <w:bottom w:val="single" w:color="auto" w:sz="4" w:space="0"/>
              <w:right w:val="single" w:color="auto" w:sz="4" w:space="0"/>
            </w:tcBorders>
            <w:noWrap/>
            <w:vAlign w:val="center"/>
          </w:tcPr>
          <w:p w14:paraId="15E9B5C6">
            <w:pPr>
              <w:widowControl/>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587" w:type="dxa"/>
            <w:tcBorders>
              <w:top w:val="single" w:color="auto" w:sz="4" w:space="0"/>
              <w:left w:val="single" w:color="auto" w:sz="4" w:space="0"/>
              <w:bottom w:val="single" w:color="auto" w:sz="4" w:space="0"/>
              <w:right w:val="single" w:color="auto" w:sz="4" w:space="0"/>
            </w:tcBorders>
            <w:noWrap/>
            <w:vAlign w:val="center"/>
          </w:tcPr>
          <w:p w14:paraId="0C647137">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 10≤X＜100</w:t>
            </w:r>
          </w:p>
        </w:tc>
        <w:tc>
          <w:tcPr>
            <w:tcW w:w="1035" w:type="dxa"/>
            <w:tcBorders>
              <w:top w:val="single" w:color="auto" w:sz="4" w:space="0"/>
              <w:left w:val="single" w:color="auto" w:sz="4" w:space="0"/>
              <w:bottom w:val="single" w:color="auto" w:sz="4" w:space="0"/>
              <w:right w:val="single" w:color="auto" w:sz="4" w:space="0"/>
            </w:tcBorders>
            <w:noWrap/>
            <w:vAlign w:val="center"/>
          </w:tcPr>
          <w:p w14:paraId="12A9F333">
            <w:pPr>
              <w:widowControl/>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51B63421">
        <w:tblPrEx>
          <w:tblCellMar>
            <w:top w:w="0" w:type="dxa"/>
            <w:left w:w="108" w:type="dxa"/>
            <w:bottom w:w="0" w:type="dxa"/>
            <w:right w:w="108" w:type="dxa"/>
          </w:tblCellMar>
        </w:tblPrEx>
        <w:trPr>
          <w:trHeight w:val="340" w:hRule="exact"/>
          <w:jc w:val="center"/>
        </w:trPr>
        <w:tc>
          <w:tcPr>
            <w:tcW w:w="2003" w:type="dxa"/>
            <w:vMerge w:val="continue"/>
            <w:tcBorders>
              <w:top w:val="single" w:color="auto" w:sz="4" w:space="0"/>
              <w:left w:val="single" w:color="auto" w:sz="4" w:space="0"/>
              <w:bottom w:val="single" w:color="auto" w:sz="4" w:space="0"/>
              <w:right w:val="single" w:color="auto" w:sz="4" w:space="0"/>
            </w:tcBorders>
            <w:noWrap/>
            <w:vAlign w:val="center"/>
          </w:tcPr>
          <w:p w14:paraId="750729B3">
            <w:pPr>
              <w:widowControl/>
              <w:jc w:val="left"/>
              <w:rPr>
                <w:rFonts w:ascii="宋体" w:hAnsi="宋体" w:cs="宋体"/>
                <w:color w:val="auto"/>
                <w:spacing w:val="-12"/>
                <w:kern w:val="0"/>
                <w:sz w:val="18"/>
                <w:szCs w:val="18"/>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572D6DBA">
            <w:pPr>
              <w:widowControl/>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33" w:type="dxa"/>
            <w:tcBorders>
              <w:top w:val="single" w:color="auto" w:sz="4" w:space="0"/>
              <w:left w:val="single" w:color="auto" w:sz="4" w:space="0"/>
              <w:bottom w:val="single" w:color="auto" w:sz="4" w:space="0"/>
              <w:right w:val="single" w:color="auto" w:sz="4" w:space="0"/>
            </w:tcBorders>
            <w:noWrap/>
            <w:vAlign w:val="center"/>
          </w:tcPr>
          <w:p w14:paraId="7146C932">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362" w:type="dxa"/>
            <w:tcBorders>
              <w:top w:val="single" w:color="auto" w:sz="4" w:space="0"/>
              <w:left w:val="single" w:color="auto" w:sz="4" w:space="0"/>
              <w:bottom w:val="single" w:color="auto" w:sz="4" w:space="0"/>
              <w:right w:val="single" w:color="auto" w:sz="4" w:space="0"/>
            </w:tcBorders>
            <w:noWrap/>
            <w:vAlign w:val="center"/>
          </w:tcPr>
          <w:p w14:paraId="0B688BAD">
            <w:pPr>
              <w:widowControl/>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805" w:type="dxa"/>
            <w:tcBorders>
              <w:top w:val="single" w:color="auto" w:sz="4" w:space="0"/>
              <w:left w:val="single" w:color="auto" w:sz="4" w:space="0"/>
              <w:bottom w:val="single" w:color="auto" w:sz="4" w:space="0"/>
              <w:right w:val="single" w:color="auto" w:sz="4" w:space="0"/>
            </w:tcBorders>
            <w:noWrap/>
            <w:vAlign w:val="center"/>
          </w:tcPr>
          <w:p w14:paraId="3DE99CC8">
            <w:pPr>
              <w:widowControl/>
              <w:jc w:val="center"/>
              <w:rPr>
                <w:rFonts w:ascii="宋体" w:hAnsi="宋体" w:cs="宋体"/>
                <w:color w:val="auto"/>
                <w:kern w:val="0"/>
                <w:sz w:val="18"/>
                <w:szCs w:val="18"/>
              </w:rPr>
            </w:pPr>
            <w:r>
              <w:rPr>
                <w:rFonts w:hint="eastAsia" w:ascii="宋体" w:hAnsi="宋体" w:cs="宋体"/>
                <w:color w:val="auto"/>
                <w:kern w:val="0"/>
                <w:sz w:val="18"/>
                <w:szCs w:val="18"/>
              </w:rPr>
              <w:t>1000≤Y＜10000</w:t>
            </w:r>
          </w:p>
        </w:tc>
        <w:tc>
          <w:tcPr>
            <w:tcW w:w="1587" w:type="dxa"/>
            <w:tcBorders>
              <w:top w:val="single" w:color="auto" w:sz="4" w:space="0"/>
              <w:left w:val="single" w:color="auto" w:sz="4" w:space="0"/>
              <w:bottom w:val="single" w:color="auto" w:sz="4" w:space="0"/>
              <w:right w:val="single" w:color="auto" w:sz="4" w:space="0"/>
            </w:tcBorders>
            <w:noWrap/>
            <w:vAlign w:val="center"/>
          </w:tcPr>
          <w:p w14:paraId="6FBE185A">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  50≤Y＜1000</w:t>
            </w:r>
          </w:p>
        </w:tc>
        <w:tc>
          <w:tcPr>
            <w:tcW w:w="1035" w:type="dxa"/>
            <w:tcBorders>
              <w:top w:val="single" w:color="auto" w:sz="4" w:space="0"/>
              <w:left w:val="single" w:color="auto" w:sz="4" w:space="0"/>
              <w:bottom w:val="single" w:color="auto" w:sz="4" w:space="0"/>
              <w:right w:val="single" w:color="auto" w:sz="4" w:space="0"/>
            </w:tcBorders>
            <w:noWrap/>
            <w:vAlign w:val="center"/>
          </w:tcPr>
          <w:p w14:paraId="54C7602E">
            <w:pPr>
              <w:widowControl/>
              <w:jc w:val="center"/>
              <w:rPr>
                <w:rFonts w:ascii="宋体" w:hAnsi="宋体" w:cs="宋体"/>
                <w:color w:val="auto"/>
                <w:kern w:val="0"/>
                <w:sz w:val="18"/>
                <w:szCs w:val="18"/>
              </w:rPr>
            </w:pPr>
            <w:r>
              <w:rPr>
                <w:rFonts w:hint="eastAsia" w:ascii="宋体" w:hAnsi="宋体" w:cs="宋体"/>
                <w:color w:val="auto"/>
                <w:kern w:val="0"/>
                <w:sz w:val="18"/>
                <w:szCs w:val="18"/>
              </w:rPr>
              <w:t>Y＜50</w:t>
            </w:r>
          </w:p>
        </w:tc>
      </w:tr>
      <w:tr w14:paraId="1A4DA646">
        <w:tblPrEx>
          <w:tblCellMar>
            <w:top w:w="0" w:type="dxa"/>
            <w:left w:w="108" w:type="dxa"/>
            <w:bottom w:w="0" w:type="dxa"/>
            <w:right w:w="108" w:type="dxa"/>
          </w:tblCellMar>
        </w:tblPrEx>
        <w:trPr>
          <w:trHeight w:val="340" w:hRule="exact"/>
          <w:jc w:val="center"/>
        </w:trPr>
        <w:tc>
          <w:tcPr>
            <w:tcW w:w="2003" w:type="dxa"/>
            <w:vMerge w:val="restart"/>
            <w:tcBorders>
              <w:top w:val="single" w:color="auto" w:sz="4" w:space="0"/>
              <w:left w:val="single" w:color="auto" w:sz="4" w:space="0"/>
              <w:bottom w:val="single" w:color="auto" w:sz="4" w:space="0"/>
              <w:right w:val="single" w:color="auto" w:sz="4" w:space="0"/>
            </w:tcBorders>
            <w:noWrap/>
            <w:vAlign w:val="center"/>
          </w:tcPr>
          <w:p w14:paraId="4E6EC652">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房地产开发经营</w:t>
            </w:r>
          </w:p>
        </w:tc>
        <w:tc>
          <w:tcPr>
            <w:tcW w:w="1300" w:type="dxa"/>
            <w:tcBorders>
              <w:top w:val="single" w:color="auto" w:sz="4" w:space="0"/>
              <w:left w:val="single" w:color="auto" w:sz="4" w:space="0"/>
              <w:bottom w:val="single" w:color="auto" w:sz="4" w:space="0"/>
              <w:right w:val="single" w:color="auto" w:sz="4" w:space="0"/>
            </w:tcBorders>
            <w:noWrap/>
            <w:vAlign w:val="center"/>
          </w:tcPr>
          <w:p w14:paraId="306C55F0">
            <w:pPr>
              <w:widowControl/>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33" w:type="dxa"/>
            <w:tcBorders>
              <w:top w:val="single" w:color="auto" w:sz="4" w:space="0"/>
              <w:left w:val="single" w:color="auto" w:sz="4" w:space="0"/>
              <w:bottom w:val="single" w:color="auto" w:sz="4" w:space="0"/>
              <w:right w:val="single" w:color="auto" w:sz="4" w:space="0"/>
            </w:tcBorders>
            <w:noWrap/>
            <w:vAlign w:val="center"/>
          </w:tcPr>
          <w:p w14:paraId="4D7EC88F">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362" w:type="dxa"/>
            <w:tcBorders>
              <w:top w:val="single" w:color="auto" w:sz="4" w:space="0"/>
              <w:left w:val="single" w:color="auto" w:sz="4" w:space="0"/>
              <w:bottom w:val="single" w:color="auto" w:sz="4" w:space="0"/>
              <w:right w:val="single" w:color="auto" w:sz="4" w:space="0"/>
            </w:tcBorders>
            <w:noWrap/>
            <w:vAlign w:val="center"/>
          </w:tcPr>
          <w:p w14:paraId="00457FBC">
            <w:pPr>
              <w:widowControl/>
              <w:jc w:val="center"/>
              <w:rPr>
                <w:rFonts w:ascii="宋体" w:hAnsi="宋体" w:cs="宋体"/>
                <w:color w:val="auto"/>
                <w:kern w:val="0"/>
                <w:sz w:val="18"/>
                <w:szCs w:val="18"/>
              </w:rPr>
            </w:pPr>
            <w:r>
              <w:rPr>
                <w:rFonts w:hint="eastAsia" w:ascii="宋体" w:hAnsi="宋体" w:cs="宋体"/>
                <w:color w:val="auto"/>
                <w:kern w:val="0"/>
                <w:sz w:val="18"/>
                <w:szCs w:val="18"/>
              </w:rPr>
              <w:t>Y≥200000</w:t>
            </w:r>
          </w:p>
        </w:tc>
        <w:tc>
          <w:tcPr>
            <w:tcW w:w="1805" w:type="dxa"/>
            <w:tcBorders>
              <w:top w:val="single" w:color="auto" w:sz="4" w:space="0"/>
              <w:left w:val="single" w:color="auto" w:sz="4" w:space="0"/>
              <w:bottom w:val="single" w:color="auto" w:sz="4" w:space="0"/>
              <w:right w:val="single" w:color="auto" w:sz="4" w:space="0"/>
            </w:tcBorders>
            <w:noWrap/>
            <w:vAlign w:val="center"/>
          </w:tcPr>
          <w:p w14:paraId="52C7CCCD">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 1000≤Y＜200000</w:t>
            </w:r>
          </w:p>
        </w:tc>
        <w:tc>
          <w:tcPr>
            <w:tcW w:w="1587" w:type="dxa"/>
            <w:tcBorders>
              <w:top w:val="single" w:color="auto" w:sz="4" w:space="0"/>
              <w:left w:val="single" w:color="auto" w:sz="4" w:space="0"/>
              <w:bottom w:val="single" w:color="auto" w:sz="4" w:space="0"/>
              <w:right w:val="single" w:color="auto" w:sz="4" w:space="0"/>
            </w:tcBorders>
            <w:noWrap/>
            <w:vAlign w:val="center"/>
          </w:tcPr>
          <w:p w14:paraId="22DAC975">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 100≤Y＜1000</w:t>
            </w:r>
          </w:p>
        </w:tc>
        <w:tc>
          <w:tcPr>
            <w:tcW w:w="1035" w:type="dxa"/>
            <w:tcBorders>
              <w:top w:val="single" w:color="auto" w:sz="4" w:space="0"/>
              <w:left w:val="single" w:color="auto" w:sz="4" w:space="0"/>
              <w:bottom w:val="single" w:color="auto" w:sz="4" w:space="0"/>
              <w:right w:val="single" w:color="auto" w:sz="4" w:space="0"/>
            </w:tcBorders>
            <w:noWrap/>
            <w:vAlign w:val="center"/>
          </w:tcPr>
          <w:p w14:paraId="67930AB5">
            <w:pPr>
              <w:widowControl/>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492C1079">
        <w:tblPrEx>
          <w:tblCellMar>
            <w:top w:w="0" w:type="dxa"/>
            <w:left w:w="108" w:type="dxa"/>
            <w:bottom w:w="0" w:type="dxa"/>
            <w:right w:w="108" w:type="dxa"/>
          </w:tblCellMar>
        </w:tblPrEx>
        <w:trPr>
          <w:trHeight w:val="340" w:hRule="exact"/>
          <w:jc w:val="center"/>
        </w:trPr>
        <w:tc>
          <w:tcPr>
            <w:tcW w:w="2003" w:type="dxa"/>
            <w:vMerge w:val="continue"/>
            <w:tcBorders>
              <w:top w:val="single" w:color="auto" w:sz="4" w:space="0"/>
              <w:left w:val="single" w:color="auto" w:sz="4" w:space="0"/>
              <w:bottom w:val="single" w:color="auto" w:sz="4" w:space="0"/>
              <w:right w:val="single" w:color="auto" w:sz="4" w:space="0"/>
            </w:tcBorders>
            <w:noWrap/>
            <w:vAlign w:val="center"/>
          </w:tcPr>
          <w:p w14:paraId="3D180E5F">
            <w:pPr>
              <w:widowControl/>
              <w:jc w:val="left"/>
              <w:rPr>
                <w:rFonts w:ascii="宋体" w:hAnsi="宋体" w:cs="宋体"/>
                <w:color w:val="auto"/>
                <w:kern w:val="0"/>
                <w:sz w:val="18"/>
                <w:szCs w:val="18"/>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36412C6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33" w:type="dxa"/>
            <w:tcBorders>
              <w:top w:val="single" w:color="auto" w:sz="4" w:space="0"/>
              <w:left w:val="single" w:color="auto" w:sz="4" w:space="0"/>
              <w:bottom w:val="single" w:color="auto" w:sz="4" w:space="0"/>
              <w:right w:val="single" w:color="auto" w:sz="4" w:space="0"/>
            </w:tcBorders>
            <w:noWrap/>
            <w:vAlign w:val="center"/>
          </w:tcPr>
          <w:p w14:paraId="4A8B5A24">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362" w:type="dxa"/>
            <w:tcBorders>
              <w:top w:val="single" w:color="auto" w:sz="4" w:space="0"/>
              <w:left w:val="single" w:color="auto" w:sz="4" w:space="0"/>
              <w:bottom w:val="single" w:color="auto" w:sz="4" w:space="0"/>
              <w:right w:val="single" w:color="auto" w:sz="4" w:space="0"/>
            </w:tcBorders>
            <w:noWrap/>
            <w:vAlign w:val="center"/>
          </w:tcPr>
          <w:p w14:paraId="0418838E">
            <w:pPr>
              <w:widowControl/>
              <w:jc w:val="center"/>
              <w:rPr>
                <w:rFonts w:ascii="宋体" w:hAnsi="宋体" w:cs="宋体"/>
                <w:color w:val="auto"/>
                <w:kern w:val="0"/>
                <w:sz w:val="18"/>
                <w:szCs w:val="18"/>
              </w:rPr>
            </w:pPr>
            <w:r>
              <w:rPr>
                <w:rFonts w:hint="eastAsia" w:ascii="宋体" w:hAnsi="宋体" w:cs="宋体"/>
                <w:color w:val="auto"/>
                <w:kern w:val="0"/>
                <w:sz w:val="18"/>
                <w:szCs w:val="18"/>
              </w:rPr>
              <w:t>Z≥10000</w:t>
            </w:r>
          </w:p>
        </w:tc>
        <w:tc>
          <w:tcPr>
            <w:tcW w:w="1805" w:type="dxa"/>
            <w:tcBorders>
              <w:top w:val="single" w:color="auto" w:sz="4" w:space="0"/>
              <w:left w:val="single" w:color="auto" w:sz="4" w:space="0"/>
              <w:bottom w:val="single" w:color="auto" w:sz="4" w:space="0"/>
              <w:right w:val="single" w:color="auto" w:sz="4" w:space="0"/>
            </w:tcBorders>
            <w:noWrap/>
            <w:vAlign w:val="center"/>
          </w:tcPr>
          <w:p w14:paraId="3F692DB8">
            <w:pPr>
              <w:widowControl/>
              <w:jc w:val="center"/>
              <w:rPr>
                <w:rFonts w:ascii="宋体" w:hAnsi="宋体" w:cs="宋体"/>
                <w:color w:val="auto"/>
                <w:kern w:val="0"/>
                <w:sz w:val="18"/>
                <w:szCs w:val="18"/>
              </w:rPr>
            </w:pPr>
            <w:r>
              <w:rPr>
                <w:rFonts w:hint="eastAsia" w:ascii="宋体" w:hAnsi="宋体" w:cs="宋体"/>
                <w:color w:val="auto"/>
                <w:kern w:val="0"/>
                <w:sz w:val="18"/>
                <w:szCs w:val="18"/>
              </w:rPr>
              <w:t>5000≤Z＜10000</w:t>
            </w:r>
          </w:p>
        </w:tc>
        <w:tc>
          <w:tcPr>
            <w:tcW w:w="1587" w:type="dxa"/>
            <w:tcBorders>
              <w:top w:val="single" w:color="auto" w:sz="4" w:space="0"/>
              <w:left w:val="single" w:color="auto" w:sz="4" w:space="0"/>
              <w:bottom w:val="single" w:color="auto" w:sz="4" w:space="0"/>
              <w:right w:val="single" w:color="auto" w:sz="4" w:space="0"/>
            </w:tcBorders>
            <w:noWrap/>
            <w:vAlign w:val="center"/>
          </w:tcPr>
          <w:p w14:paraId="5E56D904">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2000≤Z＜5000   </w:t>
            </w:r>
          </w:p>
        </w:tc>
        <w:tc>
          <w:tcPr>
            <w:tcW w:w="1035" w:type="dxa"/>
            <w:tcBorders>
              <w:top w:val="single" w:color="auto" w:sz="4" w:space="0"/>
              <w:left w:val="single" w:color="auto" w:sz="4" w:space="0"/>
              <w:bottom w:val="single" w:color="auto" w:sz="4" w:space="0"/>
              <w:right w:val="single" w:color="auto" w:sz="4" w:space="0"/>
            </w:tcBorders>
            <w:noWrap/>
            <w:vAlign w:val="center"/>
          </w:tcPr>
          <w:p w14:paraId="7558FA30">
            <w:pPr>
              <w:widowControl/>
              <w:jc w:val="center"/>
              <w:rPr>
                <w:rFonts w:ascii="宋体" w:hAnsi="宋体" w:cs="宋体"/>
                <w:color w:val="auto"/>
                <w:kern w:val="0"/>
                <w:sz w:val="18"/>
                <w:szCs w:val="18"/>
              </w:rPr>
            </w:pPr>
            <w:r>
              <w:rPr>
                <w:rFonts w:hint="eastAsia" w:ascii="宋体" w:hAnsi="宋体" w:cs="宋体"/>
                <w:color w:val="auto"/>
                <w:kern w:val="0"/>
                <w:sz w:val="18"/>
                <w:szCs w:val="18"/>
              </w:rPr>
              <w:t>Z＜2000</w:t>
            </w:r>
          </w:p>
        </w:tc>
      </w:tr>
      <w:tr w14:paraId="550303DC">
        <w:tblPrEx>
          <w:tblCellMar>
            <w:top w:w="0" w:type="dxa"/>
            <w:left w:w="108" w:type="dxa"/>
            <w:bottom w:w="0" w:type="dxa"/>
            <w:right w:w="108" w:type="dxa"/>
          </w:tblCellMar>
        </w:tblPrEx>
        <w:trPr>
          <w:trHeight w:val="340" w:hRule="exact"/>
          <w:jc w:val="center"/>
        </w:trPr>
        <w:tc>
          <w:tcPr>
            <w:tcW w:w="2003" w:type="dxa"/>
            <w:vMerge w:val="restart"/>
            <w:tcBorders>
              <w:top w:val="single" w:color="auto" w:sz="4" w:space="0"/>
              <w:left w:val="single" w:color="auto" w:sz="4" w:space="0"/>
              <w:bottom w:val="single" w:color="auto" w:sz="4" w:space="0"/>
              <w:right w:val="single" w:color="auto" w:sz="4" w:space="0"/>
            </w:tcBorders>
            <w:noWrap/>
            <w:vAlign w:val="center"/>
          </w:tcPr>
          <w:p w14:paraId="5EA7AC30">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物业管理</w:t>
            </w:r>
          </w:p>
        </w:tc>
        <w:tc>
          <w:tcPr>
            <w:tcW w:w="1300" w:type="dxa"/>
            <w:tcBorders>
              <w:top w:val="single" w:color="auto" w:sz="4" w:space="0"/>
              <w:left w:val="single" w:color="auto" w:sz="4" w:space="0"/>
              <w:bottom w:val="single" w:color="auto" w:sz="4" w:space="0"/>
              <w:right w:val="single" w:color="auto" w:sz="4" w:space="0"/>
            </w:tcBorders>
            <w:noWrap/>
            <w:vAlign w:val="center"/>
          </w:tcPr>
          <w:p w14:paraId="5095B868">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33" w:type="dxa"/>
            <w:tcBorders>
              <w:top w:val="single" w:color="auto" w:sz="4" w:space="0"/>
              <w:left w:val="single" w:color="auto" w:sz="4" w:space="0"/>
              <w:bottom w:val="single" w:color="auto" w:sz="4" w:space="0"/>
              <w:right w:val="single" w:color="auto" w:sz="4" w:space="0"/>
            </w:tcBorders>
            <w:noWrap/>
            <w:vAlign w:val="center"/>
          </w:tcPr>
          <w:p w14:paraId="46F55A66">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362" w:type="dxa"/>
            <w:tcBorders>
              <w:top w:val="single" w:color="auto" w:sz="4" w:space="0"/>
              <w:left w:val="single" w:color="auto" w:sz="4" w:space="0"/>
              <w:bottom w:val="single" w:color="auto" w:sz="4" w:space="0"/>
              <w:right w:val="single" w:color="auto" w:sz="4" w:space="0"/>
            </w:tcBorders>
            <w:noWrap/>
            <w:vAlign w:val="center"/>
          </w:tcPr>
          <w:p w14:paraId="022110D8">
            <w:pPr>
              <w:widowControl/>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805" w:type="dxa"/>
            <w:tcBorders>
              <w:top w:val="single" w:color="auto" w:sz="4" w:space="0"/>
              <w:left w:val="single" w:color="auto" w:sz="4" w:space="0"/>
              <w:bottom w:val="single" w:color="auto" w:sz="4" w:space="0"/>
              <w:right w:val="single" w:color="auto" w:sz="4" w:space="0"/>
            </w:tcBorders>
            <w:noWrap/>
            <w:vAlign w:val="center"/>
          </w:tcPr>
          <w:p w14:paraId="36CF9AC6">
            <w:pPr>
              <w:widowControl/>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587" w:type="dxa"/>
            <w:tcBorders>
              <w:top w:val="single" w:color="auto" w:sz="4" w:space="0"/>
              <w:left w:val="single" w:color="auto" w:sz="4" w:space="0"/>
              <w:bottom w:val="single" w:color="auto" w:sz="4" w:space="0"/>
              <w:right w:val="single" w:color="auto" w:sz="4" w:space="0"/>
            </w:tcBorders>
            <w:noWrap/>
            <w:vAlign w:val="center"/>
          </w:tcPr>
          <w:p w14:paraId="418C7D25">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035" w:type="dxa"/>
            <w:tcBorders>
              <w:top w:val="single" w:color="auto" w:sz="4" w:space="0"/>
              <w:left w:val="single" w:color="auto" w:sz="4" w:space="0"/>
              <w:bottom w:val="single" w:color="auto" w:sz="4" w:space="0"/>
              <w:right w:val="single" w:color="auto" w:sz="4" w:space="0"/>
            </w:tcBorders>
            <w:noWrap/>
            <w:vAlign w:val="center"/>
          </w:tcPr>
          <w:p w14:paraId="71E132B9">
            <w:pPr>
              <w:widowControl/>
              <w:jc w:val="center"/>
              <w:rPr>
                <w:rFonts w:ascii="宋体" w:hAnsi="宋体" w:cs="宋体"/>
                <w:color w:val="auto"/>
                <w:kern w:val="0"/>
                <w:sz w:val="18"/>
                <w:szCs w:val="18"/>
              </w:rPr>
            </w:pPr>
            <w:r>
              <w:rPr>
                <w:rFonts w:hint="eastAsia" w:ascii="宋体" w:hAnsi="宋体" w:cs="宋体"/>
                <w:color w:val="auto"/>
                <w:kern w:val="0"/>
                <w:sz w:val="18"/>
                <w:szCs w:val="18"/>
              </w:rPr>
              <w:t>X＜100</w:t>
            </w:r>
          </w:p>
        </w:tc>
      </w:tr>
      <w:tr w14:paraId="3A5E57BE">
        <w:tblPrEx>
          <w:tblCellMar>
            <w:top w:w="0" w:type="dxa"/>
            <w:left w:w="108" w:type="dxa"/>
            <w:bottom w:w="0" w:type="dxa"/>
            <w:right w:w="108" w:type="dxa"/>
          </w:tblCellMar>
        </w:tblPrEx>
        <w:trPr>
          <w:trHeight w:val="340" w:hRule="exact"/>
          <w:jc w:val="center"/>
        </w:trPr>
        <w:tc>
          <w:tcPr>
            <w:tcW w:w="2003" w:type="dxa"/>
            <w:vMerge w:val="continue"/>
            <w:tcBorders>
              <w:top w:val="single" w:color="auto" w:sz="4" w:space="0"/>
              <w:left w:val="single" w:color="auto" w:sz="4" w:space="0"/>
              <w:bottom w:val="single" w:color="auto" w:sz="4" w:space="0"/>
              <w:right w:val="single" w:color="auto" w:sz="4" w:space="0"/>
            </w:tcBorders>
            <w:noWrap/>
            <w:vAlign w:val="center"/>
          </w:tcPr>
          <w:p w14:paraId="1EF97DB1">
            <w:pPr>
              <w:widowControl/>
              <w:jc w:val="left"/>
              <w:rPr>
                <w:rFonts w:ascii="宋体" w:hAnsi="宋体" w:cs="宋体"/>
                <w:color w:val="auto"/>
                <w:kern w:val="0"/>
                <w:sz w:val="18"/>
                <w:szCs w:val="18"/>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3455667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33" w:type="dxa"/>
            <w:tcBorders>
              <w:top w:val="single" w:color="auto" w:sz="4" w:space="0"/>
              <w:left w:val="single" w:color="auto" w:sz="4" w:space="0"/>
              <w:bottom w:val="single" w:color="auto" w:sz="4" w:space="0"/>
              <w:right w:val="single" w:color="auto" w:sz="4" w:space="0"/>
            </w:tcBorders>
            <w:noWrap/>
            <w:vAlign w:val="center"/>
          </w:tcPr>
          <w:p w14:paraId="68923534">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362" w:type="dxa"/>
            <w:tcBorders>
              <w:top w:val="single" w:color="auto" w:sz="4" w:space="0"/>
              <w:left w:val="single" w:color="auto" w:sz="4" w:space="0"/>
              <w:bottom w:val="single" w:color="auto" w:sz="4" w:space="0"/>
              <w:right w:val="single" w:color="auto" w:sz="4" w:space="0"/>
            </w:tcBorders>
            <w:noWrap/>
            <w:vAlign w:val="center"/>
          </w:tcPr>
          <w:p w14:paraId="44E5E429">
            <w:pPr>
              <w:widowControl/>
              <w:jc w:val="center"/>
              <w:rPr>
                <w:rFonts w:ascii="宋体" w:hAnsi="宋体" w:cs="宋体"/>
                <w:color w:val="auto"/>
                <w:kern w:val="0"/>
                <w:sz w:val="18"/>
                <w:szCs w:val="18"/>
              </w:rPr>
            </w:pPr>
            <w:r>
              <w:rPr>
                <w:rFonts w:hint="eastAsia" w:ascii="宋体" w:hAnsi="宋体" w:cs="宋体"/>
                <w:color w:val="auto"/>
                <w:kern w:val="0"/>
                <w:sz w:val="18"/>
                <w:szCs w:val="18"/>
              </w:rPr>
              <w:t>Y≥5000</w:t>
            </w:r>
          </w:p>
        </w:tc>
        <w:tc>
          <w:tcPr>
            <w:tcW w:w="1805" w:type="dxa"/>
            <w:tcBorders>
              <w:top w:val="single" w:color="auto" w:sz="4" w:space="0"/>
              <w:left w:val="single" w:color="auto" w:sz="4" w:space="0"/>
              <w:bottom w:val="single" w:color="auto" w:sz="4" w:space="0"/>
              <w:right w:val="single" w:color="auto" w:sz="4" w:space="0"/>
            </w:tcBorders>
            <w:noWrap/>
            <w:vAlign w:val="center"/>
          </w:tcPr>
          <w:p w14:paraId="6D1AB257">
            <w:pPr>
              <w:widowControl/>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1000≤Y＜5000 </w:t>
            </w:r>
          </w:p>
        </w:tc>
        <w:tc>
          <w:tcPr>
            <w:tcW w:w="1587" w:type="dxa"/>
            <w:tcBorders>
              <w:top w:val="single" w:color="auto" w:sz="4" w:space="0"/>
              <w:left w:val="single" w:color="auto" w:sz="4" w:space="0"/>
              <w:bottom w:val="single" w:color="auto" w:sz="4" w:space="0"/>
              <w:right w:val="single" w:color="auto" w:sz="4" w:space="0"/>
            </w:tcBorders>
            <w:noWrap/>
            <w:vAlign w:val="center"/>
          </w:tcPr>
          <w:p w14:paraId="5ADB2E3B">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 500≤Y＜1000</w:t>
            </w:r>
          </w:p>
        </w:tc>
        <w:tc>
          <w:tcPr>
            <w:tcW w:w="1035" w:type="dxa"/>
            <w:tcBorders>
              <w:top w:val="single" w:color="auto" w:sz="4" w:space="0"/>
              <w:left w:val="single" w:color="auto" w:sz="4" w:space="0"/>
              <w:bottom w:val="single" w:color="auto" w:sz="4" w:space="0"/>
              <w:right w:val="single" w:color="auto" w:sz="4" w:space="0"/>
            </w:tcBorders>
            <w:noWrap/>
            <w:vAlign w:val="center"/>
          </w:tcPr>
          <w:p w14:paraId="68804CC3">
            <w:pPr>
              <w:widowControl/>
              <w:jc w:val="center"/>
              <w:rPr>
                <w:rFonts w:ascii="宋体" w:hAnsi="宋体" w:cs="宋体"/>
                <w:color w:val="auto"/>
                <w:kern w:val="0"/>
                <w:sz w:val="18"/>
                <w:szCs w:val="18"/>
              </w:rPr>
            </w:pPr>
            <w:r>
              <w:rPr>
                <w:rFonts w:hint="eastAsia" w:ascii="宋体" w:hAnsi="宋体" w:cs="宋体"/>
                <w:color w:val="auto"/>
                <w:kern w:val="0"/>
                <w:sz w:val="18"/>
                <w:szCs w:val="18"/>
              </w:rPr>
              <w:t>Y＜500</w:t>
            </w:r>
          </w:p>
        </w:tc>
      </w:tr>
      <w:tr w14:paraId="13124DD3">
        <w:tblPrEx>
          <w:tblCellMar>
            <w:top w:w="0" w:type="dxa"/>
            <w:left w:w="108" w:type="dxa"/>
            <w:bottom w:w="0" w:type="dxa"/>
            <w:right w:w="108" w:type="dxa"/>
          </w:tblCellMar>
        </w:tblPrEx>
        <w:trPr>
          <w:trHeight w:val="340" w:hRule="exact"/>
          <w:jc w:val="center"/>
        </w:trPr>
        <w:tc>
          <w:tcPr>
            <w:tcW w:w="2003" w:type="dxa"/>
            <w:vMerge w:val="restart"/>
            <w:tcBorders>
              <w:top w:val="single" w:color="auto" w:sz="4" w:space="0"/>
              <w:left w:val="single" w:color="auto" w:sz="4" w:space="0"/>
              <w:bottom w:val="single" w:color="auto" w:sz="4" w:space="0"/>
              <w:right w:val="single" w:color="auto" w:sz="4" w:space="0"/>
            </w:tcBorders>
            <w:noWrap/>
            <w:vAlign w:val="center"/>
          </w:tcPr>
          <w:p w14:paraId="16B91F36">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租赁和商务服务业</w:t>
            </w:r>
          </w:p>
        </w:tc>
        <w:tc>
          <w:tcPr>
            <w:tcW w:w="1300" w:type="dxa"/>
            <w:tcBorders>
              <w:top w:val="single" w:color="auto" w:sz="4" w:space="0"/>
              <w:left w:val="single" w:color="auto" w:sz="4" w:space="0"/>
              <w:bottom w:val="single" w:color="auto" w:sz="4" w:space="0"/>
              <w:right w:val="single" w:color="auto" w:sz="4" w:space="0"/>
            </w:tcBorders>
            <w:noWrap/>
            <w:vAlign w:val="center"/>
          </w:tcPr>
          <w:p w14:paraId="38650F1E">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33" w:type="dxa"/>
            <w:tcBorders>
              <w:top w:val="single" w:color="auto" w:sz="4" w:space="0"/>
              <w:left w:val="single" w:color="auto" w:sz="4" w:space="0"/>
              <w:bottom w:val="single" w:color="auto" w:sz="4" w:space="0"/>
              <w:right w:val="single" w:color="auto" w:sz="4" w:space="0"/>
            </w:tcBorders>
            <w:noWrap/>
            <w:vAlign w:val="center"/>
          </w:tcPr>
          <w:p w14:paraId="46FE7382">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362" w:type="dxa"/>
            <w:tcBorders>
              <w:top w:val="single" w:color="auto" w:sz="4" w:space="0"/>
              <w:left w:val="single" w:color="auto" w:sz="4" w:space="0"/>
              <w:bottom w:val="single" w:color="auto" w:sz="4" w:space="0"/>
              <w:right w:val="single" w:color="auto" w:sz="4" w:space="0"/>
            </w:tcBorders>
            <w:noWrap/>
            <w:vAlign w:val="center"/>
          </w:tcPr>
          <w:p w14:paraId="68DA9BA2">
            <w:pPr>
              <w:widowControl/>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805" w:type="dxa"/>
            <w:tcBorders>
              <w:top w:val="single" w:color="auto" w:sz="4" w:space="0"/>
              <w:left w:val="single" w:color="auto" w:sz="4" w:space="0"/>
              <w:bottom w:val="single" w:color="auto" w:sz="4" w:space="0"/>
              <w:right w:val="single" w:color="auto" w:sz="4" w:space="0"/>
            </w:tcBorders>
            <w:noWrap/>
            <w:vAlign w:val="center"/>
          </w:tcPr>
          <w:p w14:paraId="5358FE52">
            <w:pPr>
              <w:widowControl/>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587" w:type="dxa"/>
            <w:tcBorders>
              <w:top w:val="single" w:color="auto" w:sz="4" w:space="0"/>
              <w:left w:val="single" w:color="auto" w:sz="4" w:space="0"/>
              <w:bottom w:val="single" w:color="auto" w:sz="4" w:space="0"/>
              <w:right w:val="single" w:color="auto" w:sz="4" w:space="0"/>
            </w:tcBorders>
            <w:noWrap/>
            <w:vAlign w:val="center"/>
          </w:tcPr>
          <w:p w14:paraId="5F429FBD">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 10≤X＜100</w:t>
            </w:r>
          </w:p>
        </w:tc>
        <w:tc>
          <w:tcPr>
            <w:tcW w:w="1035" w:type="dxa"/>
            <w:tcBorders>
              <w:top w:val="single" w:color="auto" w:sz="4" w:space="0"/>
              <w:left w:val="single" w:color="auto" w:sz="4" w:space="0"/>
              <w:bottom w:val="single" w:color="auto" w:sz="4" w:space="0"/>
              <w:right w:val="single" w:color="auto" w:sz="4" w:space="0"/>
            </w:tcBorders>
            <w:noWrap/>
            <w:vAlign w:val="center"/>
          </w:tcPr>
          <w:p w14:paraId="4BE257EB">
            <w:pPr>
              <w:widowControl/>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0EA94EAE">
        <w:tblPrEx>
          <w:tblCellMar>
            <w:top w:w="0" w:type="dxa"/>
            <w:left w:w="108" w:type="dxa"/>
            <w:bottom w:w="0" w:type="dxa"/>
            <w:right w:w="108" w:type="dxa"/>
          </w:tblCellMar>
        </w:tblPrEx>
        <w:trPr>
          <w:trHeight w:val="340" w:hRule="exact"/>
          <w:jc w:val="center"/>
        </w:trPr>
        <w:tc>
          <w:tcPr>
            <w:tcW w:w="2003" w:type="dxa"/>
            <w:vMerge w:val="continue"/>
            <w:tcBorders>
              <w:top w:val="single" w:color="auto" w:sz="4" w:space="0"/>
              <w:left w:val="single" w:color="auto" w:sz="4" w:space="0"/>
              <w:bottom w:val="single" w:color="auto" w:sz="4" w:space="0"/>
              <w:right w:val="single" w:color="auto" w:sz="4" w:space="0"/>
            </w:tcBorders>
            <w:noWrap/>
            <w:vAlign w:val="center"/>
          </w:tcPr>
          <w:p w14:paraId="0EE04DE7">
            <w:pPr>
              <w:widowControl/>
              <w:jc w:val="left"/>
              <w:rPr>
                <w:rFonts w:ascii="宋体" w:hAnsi="宋体" w:cs="宋体"/>
                <w:color w:val="auto"/>
                <w:kern w:val="0"/>
                <w:sz w:val="18"/>
                <w:szCs w:val="18"/>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07AA638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33" w:type="dxa"/>
            <w:tcBorders>
              <w:top w:val="single" w:color="auto" w:sz="4" w:space="0"/>
              <w:left w:val="single" w:color="auto" w:sz="4" w:space="0"/>
              <w:bottom w:val="single" w:color="auto" w:sz="4" w:space="0"/>
              <w:right w:val="single" w:color="auto" w:sz="4" w:space="0"/>
            </w:tcBorders>
            <w:noWrap/>
            <w:vAlign w:val="center"/>
          </w:tcPr>
          <w:p w14:paraId="2C5AD81C">
            <w:pPr>
              <w:widowControl/>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362" w:type="dxa"/>
            <w:tcBorders>
              <w:top w:val="single" w:color="auto" w:sz="4" w:space="0"/>
              <w:left w:val="single" w:color="auto" w:sz="4" w:space="0"/>
              <w:bottom w:val="single" w:color="auto" w:sz="4" w:space="0"/>
              <w:right w:val="single" w:color="auto" w:sz="4" w:space="0"/>
            </w:tcBorders>
            <w:noWrap/>
            <w:vAlign w:val="center"/>
          </w:tcPr>
          <w:p w14:paraId="25868DAA">
            <w:pPr>
              <w:widowControl/>
              <w:jc w:val="center"/>
              <w:rPr>
                <w:rFonts w:ascii="宋体" w:hAnsi="宋体" w:cs="宋体"/>
                <w:color w:val="auto"/>
                <w:kern w:val="0"/>
                <w:sz w:val="18"/>
                <w:szCs w:val="18"/>
              </w:rPr>
            </w:pPr>
            <w:r>
              <w:rPr>
                <w:rFonts w:hint="eastAsia" w:ascii="宋体" w:hAnsi="宋体" w:cs="宋体"/>
                <w:color w:val="auto"/>
                <w:kern w:val="0"/>
                <w:sz w:val="18"/>
                <w:szCs w:val="18"/>
              </w:rPr>
              <w:t>Z≥120000</w:t>
            </w:r>
          </w:p>
        </w:tc>
        <w:tc>
          <w:tcPr>
            <w:tcW w:w="1805" w:type="dxa"/>
            <w:tcBorders>
              <w:top w:val="single" w:color="auto" w:sz="4" w:space="0"/>
              <w:left w:val="single" w:color="auto" w:sz="4" w:space="0"/>
              <w:bottom w:val="single" w:color="auto" w:sz="4" w:space="0"/>
              <w:right w:val="single" w:color="auto" w:sz="4" w:space="0"/>
            </w:tcBorders>
            <w:noWrap/>
            <w:vAlign w:val="center"/>
          </w:tcPr>
          <w:p w14:paraId="49134525">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 8000≤Z＜120000</w:t>
            </w:r>
          </w:p>
        </w:tc>
        <w:tc>
          <w:tcPr>
            <w:tcW w:w="1587" w:type="dxa"/>
            <w:tcBorders>
              <w:top w:val="single" w:color="auto" w:sz="4" w:space="0"/>
              <w:left w:val="single" w:color="auto" w:sz="4" w:space="0"/>
              <w:bottom w:val="single" w:color="auto" w:sz="4" w:space="0"/>
              <w:right w:val="single" w:color="auto" w:sz="4" w:space="0"/>
            </w:tcBorders>
            <w:noWrap/>
            <w:vAlign w:val="center"/>
          </w:tcPr>
          <w:p w14:paraId="6E00EC3F">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 100≤Z＜8000</w:t>
            </w:r>
          </w:p>
        </w:tc>
        <w:tc>
          <w:tcPr>
            <w:tcW w:w="1035" w:type="dxa"/>
            <w:tcBorders>
              <w:top w:val="single" w:color="auto" w:sz="4" w:space="0"/>
              <w:left w:val="single" w:color="auto" w:sz="4" w:space="0"/>
              <w:bottom w:val="single" w:color="auto" w:sz="4" w:space="0"/>
              <w:right w:val="single" w:color="auto" w:sz="4" w:space="0"/>
            </w:tcBorders>
            <w:noWrap/>
            <w:vAlign w:val="center"/>
          </w:tcPr>
          <w:p w14:paraId="46E528AF">
            <w:pPr>
              <w:widowControl/>
              <w:jc w:val="center"/>
              <w:rPr>
                <w:rFonts w:ascii="宋体" w:hAnsi="宋体" w:cs="宋体"/>
                <w:color w:val="auto"/>
                <w:kern w:val="0"/>
                <w:sz w:val="18"/>
                <w:szCs w:val="18"/>
              </w:rPr>
            </w:pPr>
            <w:r>
              <w:rPr>
                <w:rFonts w:hint="eastAsia" w:ascii="宋体" w:hAnsi="宋体" w:cs="宋体"/>
                <w:color w:val="auto"/>
                <w:kern w:val="0"/>
                <w:sz w:val="18"/>
                <w:szCs w:val="18"/>
              </w:rPr>
              <w:t>Z＜100</w:t>
            </w:r>
          </w:p>
        </w:tc>
      </w:tr>
      <w:tr w14:paraId="25EFA3E4">
        <w:tblPrEx>
          <w:tblCellMar>
            <w:top w:w="0" w:type="dxa"/>
            <w:left w:w="108" w:type="dxa"/>
            <w:bottom w:w="0" w:type="dxa"/>
            <w:right w:w="108" w:type="dxa"/>
          </w:tblCellMar>
        </w:tblPrEx>
        <w:trPr>
          <w:trHeight w:val="397" w:hRule="exact"/>
          <w:jc w:val="center"/>
        </w:trPr>
        <w:tc>
          <w:tcPr>
            <w:tcW w:w="2003" w:type="dxa"/>
            <w:tcBorders>
              <w:top w:val="single" w:color="auto" w:sz="4" w:space="0"/>
              <w:left w:val="single" w:color="auto" w:sz="4" w:space="0"/>
              <w:bottom w:val="single" w:color="auto" w:sz="4" w:space="0"/>
              <w:right w:val="single" w:color="auto" w:sz="4" w:space="0"/>
            </w:tcBorders>
            <w:noWrap/>
            <w:vAlign w:val="center"/>
          </w:tcPr>
          <w:p w14:paraId="1962F6B3">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其他未列明行业 *</w:t>
            </w:r>
          </w:p>
        </w:tc>
        <w:tc>
          <w:tcPr>
            <w:tcW w:w="1300" w:type="dxa"/>
            <w:tcBorders>
              <w:top w:val="single" w:color="auto" w:sz="4" w:space="0"/>
              <w:left w:val="single" w:color="auto" w:sz="4" w:space="0"/>
              <w:bottom w:val="single" w:color="auto" w:sz="4" w:space="0"/>
              <w:right w:val="single" w:color="auto" w:sz="4" w:space="0"/>
            </w:tcBorders>
            <w:noWrap/>
            <w:vAlign w:val="center"/>
          </w:tcPr>
          <w:p w14:paraId="265B4840">
            <w:pPr>
              <w:widowControl/>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33" w:type="dxa"/>
            <w:tcBorders>
              <w:top w:val="single" w:color="auto" w:sz="4" w:space="0"/>
              <w:left w:val="single" w:color="auto" w:sz="4" w:space="0"/>
              <w:bottom w:val="single" w:color="auto" w:sz="4" w:space="0"/>
              <w:right w:val="single" w:color="auto" w:sz="4" w:space="0"/>
            </w:tcBorders>
            <w:noWrap/>
            <w:vAlign w:val="center"/>
          </w:tcPr>
          <w:p w14:paraId="48B1FDAC">
            <w:pPr>
              <w:widowControl/>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362" w:type="dxa"/>
            <w:tcBorders>
              <w:top w:val="single" w:color="auto" w:sz="4" w:space="0"/>
              <w:left w:val="single" w:color="auto" w:sz="4" w:space="0"/>
              <w:bottom w:val="single" w:color="auto" w:sz="4" w:space="0"/>
              <w:right w:val="single" w:color="auto" w:sz="4" w:space="0"/>
            </w:tcBorders>
            <w:noWrap/>
            <w:vAlign w:val="center"/>
          </w:tcPr>
          <w:p w14:paraId="1A85B321">
            <w:pPr>
              <w:widowControl/>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805" w:type="dxa"/>
            <w:tcBorders>
              <w:top w:val="single" w:color="auto" w:sz="4" w:space="0"/>
              <w:left w:val="single" w:color="auto" w:sz="4" w:space="0"/>
              <w:bottom w:val="single" w:color="auto" w:sz="4" w:space="0"/>
              <w:right w:val="single" w:color="auto" w:sz="4" w:space="0"/>
            </w:tcBorders>
            <w:noWrap/>
            <w:vAlign w:val="center"/>
          </w:tcPr>
          <w:p w14:paraId="77824E47">
            <w:pPr>
              <w:widowControl/>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587" w:type="dxa"/>
            <w:tcBorders>
              <w:top w:val="single" w:color="auto" w:sz="4" w:space="0"/>
              <w:left w:val="single" w:color="auto" w:sz="4" w:space="0"/>
              <w:bottom w:val="single" w:color="auto" w:sz="4" w:space="0"/>
              <w:right w:val="single" w:color="auto" w:sz="4" w:space="0"/>
            </w:tcBorders>
            <w:noWrap/>
            <w:vAlign w:val="center"/>
          </w:tcPr>
          <w:p w14:paraId="1A9E98D6">
            <w:pPr>
              <w:widowControl/>
              <w:jc w:val="center"/>
              <w:rPr>
                <w:rFonts w:ascii="宋体" w:hAnsi="宋体" w:cs="宋体"/>
                <w:color w:val="auto"/>
                <w:kern w:val="0"/>
                <w:sz w:val="18"/>
                <w:szCs w:val="18"/>
              </w:rPr>
            </w:pPr>
            <w:r>
              <w:rPr>
                <w:rFonts w:hint="eastAsia" w:ascii="宋体" w:hAnsi="宋体" w:cs="宋体"/>
                <w:color w:val="auto"/>
                <w:kern w:val="0"/>
                <w:sz w:val="18"/>
                <w:szCs w:val="18"/>
              </w:rPr>
              <w:t xml:space="preserve"> 10≤X＜100</w:t>
            </w:r>
          </w:p>
        </w:tc>
        <w:tc>
          <w:tcPr>
            <w:tcW w:w="1035" w:type="dxa"/>
            <w:tcBorders>
              <w:top w:val="single" w:color="auto" w:sz="4" w:space="0"/>
              <w:left w:val="single" w:color="auto" w:sz="4" w:space="0"/>
              <w:bottom w:val="single" w:color="auto" w:sz="4" w:space="0"/>
              <w:right w:val="single" w:color="auto" w:sz="4" w:space="0"/>
            </w:tcBorders>
            <w:noWrap/>
            <w:vAlign w:val="center"/>
          </w:tcPr>
          <w:p w14:paraId="576D0BBC">
            <w:pPr>
              <w:widowControl/>
              <w:jc w:val="center"/>
              <w:rPr>
                <w:rFonts w:ascii="宋体" w:hAnsi="宋体" w:cs="宋体"/>
                <w:color w:val="auto"/>
                <w:kern w:val="0"/>
                <w:sz w:val="18"/>
                <w:szCs w:val="18"/>
              </w:rPr>
            </w:pPr>
            <w:r>
              <w:rPr>
                <w:rFonts w:hint="eastAsia" w:ascii="宋体" w:hAnsi="宋体" w:cs="宋体"/>
                <w:color w:val="auto"/>
                <w:kern w:val="0"/>
                <w:sz w:val="18"/>
                <w:szCs w:val="18"/>
              </w:rPr>
              <w:t>X＜10</w:t>
            </w:r>
          </w:p>
        </w:tc>
      </w:tr>
    </w:tbl>
    <w:p w14:paraId="290A99A4">
      <w:pPr>
        <w:widowControl/>
        <w:spacing w:line="300" w:lineRule="exact"/>
        <w:rPr>
          <w:rFonts w:ascii="宋体" w:hAnsi="宋体" w:cs="宋体"/>
          <w:color w:val="auto"/>
          <w:spacing w:val="8"/>
          <w:kern w:val="0"/>
          <w:szCs w:val="21"/>
        </w:rPr>
      </w:pPr>
      <w:r>
        <w:rPr>
          <w:rFonts w:hint="eastAsia" w:ascii="宋体" w:hAnsi="宋体" w:cs="宋体"/>
          <w:color w:val="auto"/>
          <w:spacing w:val="8"/>
          <w:kern w:val="0"/>
          <w:szCs w:val="21"/>
        </w:rPr>
        <w:t>说明：</w:t>
      </w:r>
    </w:p>
    <w:p w14:paraId="2D71E7E9">
      <w:pPr>
        <w:pStyle w:val="28"/>
        <w:adjustRightInd w:val="0"/>
        <w:spacing w:line="300" w:lineRule="exact"/>
        <w:ind w:firstLine="432" w:firstLineChars="200"/>
        <w:contextualSpacing/>
        <w:rPr>
          <w:rFonts w:hAnsi="宋体" w:cs="宋体"/>
          <w:color w:val="auto"/>
          <w:spacing w:val="8"/>
        </w:rPr>
      </w:pPr>
      <w:r>
        <w:rPr>
          <w:rFonts w:hint="eastAsia" w:hAnsi="宋体" w:cs="宋体"/>
          <w:color w:val="auto"/>
          <w:spacing w:val="8"/>
        </w:rPr>
        <w:t>1.大型、中型和小型企业须同时满足所列指标的下限，否则下划一档；微型企业只须满足所列指标中的一项即可。</w:t>
      </w:r>
    </w:p>
    <w:p w14:paraId="62A3E1BA">
      <w:pPr>
        <w:pStyle w:val="28"/>
        <w:adjustRightInd w:val="0"/>
        <w:spacing w:line="300" w:lineRule="exact"/>
        <w:ind w:firstLine="432" w:firstLineChars="200"/>
        <w:contextualSpacing/>
        <w:rPr>
          <w:rFonts w:hAnsi="宋体" w:cs="宋体"/>
          <w:color w:val="auto"/>
          <w:spacing w:val="8"/>
        </w:rPr>
      </w:pPr>
      <w:r>
        <w:rPr>
          <w:rFonts w:hint="eastAsia" w:hAnsi="宋体" w:cs="宋体"/>
          <w:color w:val="auto"/>
          <w:spacing w:val="8"/>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8AC9AA5">
      <w:pPr>
        <w:pStyle w:val="28"/>
        <w:spacing w:line="300" w:lineRule="exact"/>
        <w:ind w:firstLine="432" w:firstLineChars="200"/>
        <w:rPr>
          <w:rFonts w:hAnsi="宋体" w:cs="宋体"/>
          <w:color w:val="auto"/>
          <w:spacing w:val="8"/>
        </w:rPr>
      </w:pPr>
      <w:r>
        <w:rPr>
          <w:rFonts w:hint="eastAsia" w:hAnsi="宋体" w:cs="宋体"/>
          <w:color w:val="auto"/>
          <w:spacing w:val="8"/>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54BDF9C">
      <w:pPr>
        <w:ind w:firstLine="452" w:firstLineChars="200"/>
        <w:rPr>
          <w:rFonts w:ascii="宋体" w:hAnsi="宋体" w:cs="宋体"/>
          <w:color w:val="auto"/>
          <w:spacing w:val="8"/>
          <w:kern w:val="0"/>
          <w:szCs w:val="21"/>
        </w:rPr>
      </w:pPr>
      <w:r>
        <w:rPr>
          <w:rFonts w:hint="eastAsia" w:ascii="宋体" w:hAnsi="宋体" w:cs="宋体"/>
          <w:color w:val="auto"/>
          <w:spacing w:val="8"/>
          <w:kern w:val="0"/>
          <w:szCs w:val="21"/>
        </w:rPr>
        <w:br w:type="page"/>
      </w:r>
    </w:p>
    <w:p w14:paraId="40D315D6">
      <w:pPr>
        <w:spacing w:line="360" w:lineRule="auto"/>
        <w:outlineLvl w:val="1"/>
        <w:rPr>
          <w:rFonts w:ascii="宋体" w:hAnsi="宋体" w:cs="宋体"/>
          <w:b/>
          <w:color w:val="auto"/>
          <w:sz w:val="28"/>
          <w:szCs w:val="28"/>
        </w:rPr>
      </w:pPr>
      <w:r>
        <w:rPr>
          <w:rFonts w:hint="eastAsia" w:ascii="宋体" w:hAnsi="宋体" w:cs="宋体"/>
          <w:b/>
          <w:color w:val="auto"/>
          <w:sz w:val="28"/>
          <w:szCs w:val="28"/>
        </w:rPr>
        <w:t>附件2</w:t>
      </w:r>
    </w:p>
    <w:p w14:paraId="49E82820">
      <w:pPr>
        <w:widowControl/>
        <w:shd w:val="clear" w:color="auto" w:fill="FFFFFF"/>
        <w:spacing w:afterLines="50" w:line="480" w:lineRule="atLeast"/>
        <w:jc w:val="center"/>
        <w:rPr>
          <w:rFonts w:ascii="宋体" w:hAnsi="宋体" w:cs="宋体"/>
          <w:color w:val="auto"/>
          <w:kern w:val="0"/>
          <w:sz w:val="32"/>
          <w:szCs w:val="32"/>
        </w:rPr>
      </w:pPr>
      <w:r>
        <w:rPr>
          <w:rFonts w:hint="eastAsia" w:ascii="宋体" w:hAnsi="宋体" w:cs="宋体"/>
          <w:b/>
          <w:bCs/>
          <w:color w:val="auto"/>
          <w:kern w:val="0"/>
          <w:sz w:val="32"/>
          <w:szCs w:val="32"/>
        </w:rPr>
        <w:t>广西壮族自治区政府采购项目合同验收书（格式）</w:t>
      </w:r>
    </w:p>
    <w:p w14:paraId="03BEB1A0">
      <w:pPr>
        <w:widowControl/>
        <w:shd w:val="clear" w:color="auto" w:fill="FFFFFF"/>
        <w:snapToGrid w:val="0"/>
        <w:spacing w:line="320" w:lineRule="atLeast"/>
        <w:ind w:firstLine="480"/>
        <w:jc w:val="left"/>
        <w:rPr>
          <w:rFonts w:ascii="宋体" w:hAnsi="宋体" w:cs="宋体"/>
          <w:color w:val="auto"/>
          <w:kern w:val="0"/>
          <w:szCs w:val="21"/>
        </w:rPr>
      </w:pPr>
      <w:r>
        <w:rPr>
          <w:rFonts w:hint="eastAsia" w:ascii="宋体" w:hAnsi="宋体" w:cs="宋体"/>
          <w:color w:val="auto"/>
          <w:kern w:val="0"/>
          <w:szCs w:val="21"/>
        </w:rPr>
        <w:t>根据政府采购项目（</w:t>
      </w:r>
      <w:r>
        <w:rPr>
          <w:rFonts w:hint="eastAsia" w:ascii="宋体" w:hAnsi="宋体" w:cs="宋体"/>
          <w:color w:val="auto"/>
          <w:kern w:val="0"/>
          <w:szCs w:val="21"/>
          <w:u w:val="single"/>
        </w:rPr>
        <w:t xml:space="preserve">采购合同编号：           </w:t>
      </w:r>
      <w:r>
        <w:rPr>
          <w:rFonts w:hint="eastAsia" w:ascii="宋体" w:hAnsi="宋体" w:cs="宋体"/>
          <w:color w:val="auto"/>
          <w:kern w:val="0"/>
          <w:szCs w:val="21"/>
          <w:u w:val="single"/>
        </w:rPr>
        <w:softHyphen/>
      </w:r>
      <w:r>
        <w:rPr>
          <w:rFonts w:hint="eastAsia" w:ascii="宋体" w:hAnsi="宋体" w:cs="宋体"/>
          <w:color w:val="auto"/>
          <w:kern w:val="0"/>
          <w:szCs w:val="21"/>
        </w:rPr>
        <w:t>）的约定，我单位对（</w:t>
      </w:r>
      <w:r>
        <w:rPr>
          <w:rFonts w:hint="eastAsia" w:ascii="宋体" w:hAnsi="宋体" w:cs="宋体"/>
          <w:color w:val="auto"/>
          <w:kern w:val="0"/>
          <w:szCs w:val="21"/>
          <w:u w:val="single"/>
        </w:rPr>
        <w:t xml:space="preserve">     项目名称       </w:t>
      </w:r>
      <w:r>
        <w:rPr>
          <w:rFonts w:hint="eastAsia" w:ascii="宋体" w:hAnsi="宋体" w:cs="宋体"/>
          <w:color w:val="auto"/>
          <w:kern w:val="0"/>
          <w:szCs w:val="21"/>
        </w:rPr>
        <w:t>）政府采购项目成交供应商（</w:t>
      </w:r>
      <w:r>
        <w:rPr>
          <w:rFonts w:hint="eastAsia" w:ascii="宋体" w:hAnsi="宋体" w:cs="宋体"/>
          <w:color w:val="auto"/>
          <w:kern w:val="0"/>
          <w:szCs w:val="21"/>
          <w:u w:val="single"/>
        </w:rPr>
        <w:t xml:space="preserve">        公司名称           </w:t>
      </w:r>
      <w:r>
        <w:rPr>
          <w:rFonts w:hint="eastAsia" w:ascii="宋体" w:hAnsi="宋体" w:cs="宋体"/>
          <w:color w:val="auto"/>
          <w:kern w:val="0"/>
          <w:szCs w:val="21"/>
        </w:rPr>
        <w:t>）提供的货物（或者工程、服务）进行了验收，验收情况如下：</w:t>
      </w:r>
    </w:p>
    <w:tbl>
      <w:tblPr>
        <w:tblStyle w:val="47"/>
        <w:tblW w:w="0" w:type="auto"/>
        <w:jc w:val="center"/>
        <w:tblLayout w:type="fixed"/>
        <w:tblCellMar>
          <w:top w:w="0" w:type="dxa"/>
          <w:left w:w="0" w:type="dxa"/>
          <w:bottom w:w="0" w:type="dxa"/>
          <w:right w:w="0" w:type="dxa"/>
        </w:tblCellMar>
      </w:tblPr>
      <w:tblGrid>
        <w:gridCol w:w="975"/>
        <w:gridCol w:w="984"/>
        <w:gridCol w:w="1476"/>
        <w:gridCol w:w="945"/>
        <w:gridCol w:w="102"/>
        <w:gridCol w:w="2002"/>
        <w:gridCol w:w="178"/>
        <w:gridCol w:w="685"/>
        <w:gridCol w:w="2133"/>
      </w:tblGrid>
      <w:tr w14:paraId="614A8DC9">
        <w:tblPrEx>
          <w:tblCellMar>
            <w:top w:w="0" w:type="dxa"/>
            <w:left w:w="0" w:type="dxa"/>
            <w:bottom w:w="0" w:type="dxa"/>
            <w:right w:w="0" w:type="dxa"/>
          </w:tblCellMar>
        </w:tblPrEx>
        <w:trPr>
          <w:trHeight w:val="497" w:hRule="atLeast"/>
          <w:jc w:val="center"/>
        </w:trPr>
        <w:tc>
          <w:tcPr>
            <w:tcW w:w="3435" w:type="dxa"/>
            <w:gridSpan w:val="3"/>
            <w:tcBorders>
              <w:top w:val="single" w:color="auto" w:sz="8" w:space="0"/>
              <w:left w:val="single" w:color="auto" w:sz="8" w:space="0"/>
              <w:bottom w:val="single" w:color="auto" w:sz="8" w:space="0"/>
              <w:right w:val="single" w:color="auto" w:sz="8" w:space="0"/>
            </w:tcBorders>
            <w:noWrap/>
            <w:vAlign w:val="center"/>
          </w:tcPr>
          <w:p w14:paraId="6F86D1E4">
            <w:pPr>
              <w:widowControl/>
              <w:snapToGrid w:val="0"/>
              <w:spacing w:line="340" w:lineRule="exact"/>
              <w:ind w:firstLine="5"/>
              <w:jc w:val="center"/>
              <w:rPr>
                <w:rFonts w:ascii="宋体" w:hAnsi="宋体" w:cs="宋体"/>
                <w:color w:val="auto"/>
                <w:kern w:val="0"/>
                <w:szCs w:val="21"/>
              </w:rPr>
            </w:pPr>
            <w:r>
              <w:rPr>
                <w:rFonts w:hint="eastAsia" w:ascii="宋体" w:hAnsi="宋体" w:cs="宋体"/>
                <w:color w:val="auto"/>
                <w:kern w:val="0"/>
                <w:szCs w:val="21"/>
              </w:rPr>
              <w:t>验收方式</w:t>
            </w:r>
          </w:p>
        </w:tc>
        <w:tc>
          <w:tcPr>
            <w:tcW w:w="6045" w:type="dxa"/>
            <w:gridSpan w:val="6"/>
            <w:tcBorders>
              <w:top w:val="single" w:color="auto" w:sz="8" w:space="0"/>
              <w:left w:val="nil"/>
              <w:bottom w:val="single" w:color="auto" w:sz="8" w:space="0"/>
              <w:right w:val="single" w:color="auto" w:sz="8" w:space="0"/>
            </w:tcBorders>
            <w:noWrap/>
            <w:vAlign w:val="center"/>
          </w:tcPr>
          <w:p w14:paraId="48414C39">
            <w:pPr>
              <w:widowControl/>
              <w:snapToGrid w:val="0"/>
              <w:spacing w:line="340" w:lineRule="exact"/>
              <w:jc w:val="center"/>
              <w:rPr>
                <w:rFonts w:ascii="宋体" w:hAnsi="宋体" w:cs="宋体"/>
                <w:color w:val="auto"/>
                <w:kern w:val="0"/>
                <w:szCs w:val="21"/>
              </w:rPr>
            </w:pPr>
            <w:r>
              <w:rPr>
                <w:rFonts w:hint="eastAsia" w:ascii="宋体" w:hAnsi="宋体" w:cs="宋体"/>
                <w:color w:val="auto"/>
                <w:kern w:val="0"/>
                <w:szCs w:val="21"/>
              </w:rPr>
              <w:sym w:font="Wingdings 2" w:char="00A3"/>
            </w:r>
            <w:r>
              <w:rPr>
                <w:rFonts w:hint="eastAsia" w:ascii="宋体" w:hAnsi="宋体" w:cs="宋体"/>
                <w:color w:val="auto"/>
                <w:kern w:val="0"/>
                <w:szCs w:val="21"/>
              </w:rPr>
              <w:t xml:space="preserve">自行验收     </w:t>
            </w:r>
            <w:r>
              <w:rPr>
                <w:rFonts w:hint="eastAsia" w:ascii="宋体" w:hAnsi="宋体" w:cs="宋体"/>
                <w:color w:val="auto"/>
                <w:kern w:val="0"/>
                <w:szCs w:val="21"/>
              </w:rPr>
              <w:sym w:font="Wingdings 2" w:char="00A3"/>
            </w:r>
            <w:r>
              <w:rPr>
                <w:rFonts w:hint="eastAsia" w:ascii="宋体" w:hAnsi="宋体" w:cs="宋体"/>
                <w:color w:val="auto"/>
                <w:kern w:val="0"/>
                <w:szCs w:val="21"/>
              </w:rPr>
              <w:t>委托验收</w:t>
            </w:r>
          </w:p>
        </w:tc>
      </w:tr>
      <w:tr w14:paraId="2D3A4956">
        <w:tblPrEx>
          <w:tblCellMar>
            <w:top w:w="0" w:type="dxa"/>
            <w:left w:w="0" w:type="dxa"/>
            <w:bottom w:w="0" w:type="dxa"/>
            <w:right w:w="0" w:type="dxa"/>
          </w:tblCellMar>
        </w:tblPrEx>
        <w:trPr>
          <w:trHeight w:val="725" w:hRule="atLeast"/>
          <w:jc w:val="center"/>
        </w:trPr>
        <w:tc>
          <w:tcPr>
            <w:tcW w:w="975" w:type="dxa"/>
            <w:tcBorders>
              <w:top w:val="nil"/>
              <w:left w:val="single" w:color="auto" w:sz="8" w:space="0"/>
              <w:bottom w:val="single" w:color="auto" w:sz="8" w:space="0"/>
              <w:right w:val="single" w:color="auto" w:sz="8" w:space="0"/>
            </w:tcBorders>
            <w:noWrap/>
            <w:vAlign w:val="center"/>
          </w:tcPr>
          <w:p w14:paraId="258F1509">
            <w:pPr>
              <w:widowControl/>
              <w:snapToGrid w:val="0"/>
              <w:spacing w:line="340" w:lineRule="exact"/>
              <w:ind w:firstLine="2"/>
              <w:jc w:val="center"/>
              <w:rPr>
                <w:rFonts w:ascii="宋体" w:hAnsi="宋体" w:cs="宋体"/>
                <w:color w:val="auto"/>
                <w:kern w:val="0"/>
                <w:szCs w:val="21"/>
              </w:rPr>
            </w:pPr>
            <w:r>
              <w:rPr>
                <w:rFonts w:hint="eastAsia" w:ascii="宋体" w:hAnsi="宋体" w:cs="宋体"/>
                <w:color w:val="auto"/>
                <w:kern w:val="0"/>
                <w:szCs w:val="21"/>
              </w:rPr>
              <w:t>序号</w:t>
            </w:r>
          </w:p>
        </w:tc>
        <w:tc>
          <w:tcPr>
            <w:tcW w:w="2460" w:type="dxa"/>
            <w:gridSpan w:val="2"/>
            <w:tcBorders>
              <w:top w:val="nil"/>
              <w:left w:val="nil"/>
              <w:bottom w:val="single" w:color="auto" w:sz="8" w:space="0"/>
              <w:right w:val="single" w:color="auto" w:sz="8" w:space="0"/>
            </w:tcBorders>
            <w:noWrap/>
            <w:vAlign w:val="center"/>
          </w:tcPr>
          <w:p w14:paraId="1DC2CA13">
            <w:pPr>
              <w:widowControl/>
              <w:snapToGrid w:val="0"/>
              <w:spacing w:line="340" w:lineRule="exact"/>
              <w:ind w:firstLine="2"/>
              <w:jc w:val="center"/>
              <w:rPr>
                <w:rFonts w:ascii="宋体" w:hAnsi="宋体" w:cs="宋体"/>
                <w:color w:val="auto"/>
                <w:kern w:val="0"/>
                <w:szCs w:val="21"/>
              </w:rPr>
            </w:pPr>
            <w:r>
              <w:rPr>
                <w:rFonts w:hint="eastAsia" w:ascii="宋体" w:hAnsi="宋体" w:cs="宋体"/>
                <w:color w:val="auto"/>
                <w:kern w:val="0"/>
                <w:szCs w:val="21"/>
              </w:rPr>
              <w:t>名称</w:t>
            </w:r>
          </w:p>
        </w:tc>
        <w:tc>
          <w:tcPr>
            <w:tcW w:w="3049" w:type="dxa"/>
            <w:gridSpan w:val="3"/>
            <w:tcBorders>
              <w:top w:val="nil"/>
              <w:left w:val="nil"/>
              <w:bottom w:val="single" w:color="auto" w:sz="8" w:space="0"/>
              <w:right w:val="single" w:color="auto" w:sz="8" w:space="0"/>
            </w:tcBorders>
            <w:noWrap/>
            <w:vAlign w:val="center"/>
          </w:tcPr>
          <w:p w14:paraId="49253C0D">
            <w:pPr>
              <w:widowControl/>
              <w:snapToGrid w:val="0"/>
              <w:spacing w:line="340" w:lineRule="exact"/>
              <w:ind w:firstLine="2"/>
              <w:jc w:val="center"/>
              <w:rPr>
                <w:rFonts w:ascii="宋体" w:hAnsi="宋体" w:cs="宋体"/>
                <w:color w:val="auto"/>
                <w:kern w:val="0"/>
                <w:szCs w:val="21"/>
              </w:rPr>
            </w:pPr>
            <w:r>
              <w:rPr>
                <w:rFonts w:hint="eastAsia" w:ascii="宋体" w:hAnsi="宋体" w:cs="宋体"/>
                <w:color w:val="auto"/>
                <w:kern w:val="0"/>
                <w:szCs w:val="21"/>
              </w:rPr>
              <w:t>货物型号规格、标准及配置等</w:t>
            </w:r>
          </w:p>
          <w:p w14:paraId="5B6C5D5A">
            <w:pPr>
              <w:widowControl/>
              <w:snapToGrid w:val="0"/>
              <w:spacing w:line="340" w:lineRule="exact"/>
              <w:ind w:firstLine="2"/>
              <w:jc w:val="center"/>
              <w:rPr>
                <w:rFonts w:ascii="宋体" w:hAnsi="宋体" w:cs="宋体"/>
                <w:color w:val="auto"/>
                <w:kern w:val="0"/>
                <w:szCs w:val="21"/>
              </w:rPr>
            </w:pPr>
            <w:r>
              <w:rPr>
                <w:rFonts w:hint="eastAsia" w:ascii="宋体" w:hAnsi="宋体" w:cs="宋体"/>
                <w:color w:val="auto"/>
                <w:kern w:val="0"/>
                <w:szCs w:val="21"/>
              </w:rPr>
              <w:t>（或者服务内容、标准）</w:t>
            </w:r>
          </w:p>
        </w:tc>
        <w:tc>
          <w:tcPr>
            <w:tcW w:w="863" w:type="dxa"/>
            <w:gridSpan w:val="2"/>
            <w:tcBorders>
              <w:top w:val="nil"/>
              <w:left w:val="nil"/>
              <w:bottom w:val="single" w:color="auto" w:sz="8" w:space="0"/>
              <w:right w:val="single" w:color="auto" w:sz="8" w:space="0"/>
            </w:tcBorders>
            <w:noWrap/>
            <w:vAlign w:val="center"/>
          </w:tcPr>
          <w:p w14:paraId="25803EE8">
            <w:pPr>
              <w:widowControl/>
              <w:snapToGrid w:val="0"/>
              <w:spacing w:line="340" w:lineRule="exact"/>
              <w:jc w:val="center"/>
              <w:rPr>
                <w:rFonts w:ascii="宋体" w:hAnsi="宋体" w:cs="宋体"/>
                <w:color w:val="auto"/>
                <w:kern w:val="0"/>
                <w:szCs w:val="21"/>
              </w:rPr>
            </w:pPr>
            <w:r>
              <w:rPr>
                <w:rFonts w:hint="eastAsia" w:ascii="宋体" w:hAnsi="宋体" w:cs="宋体"/>
                <w:color w:val="auto"/>
                <w:kern w:val="0"/>
                <w:szCs w:val="21"/>
              </w:rPr>
              <w:t>数量</w:t>
            </w:r>
          </w:p>
        </w:tc>
        <w:tc>
          <w:tcPr>
            <w:tcW w:w="2133" w:type="dxa"/>
            <w:tcBorders>
              <w:top w:val="nil"/>
              <w:left w:val="nil"/>
              <w:bottom w:val="single" w:color="auto" w:sz="8" w:space="0"/>
              <w:right w:val="single" w:color="auto" w:sz="8" w:space="0"/>
            </w:tcBorders>
            <w:noWrap/>
            <w:vAlign w:val="center"/>
          </w:tcPr>
          <w:p w14:paraId="68F268C3">
            <w:pPr>
              <w:widowControl/>
              <w:snapToGrid w:val="0"/>
              <w:spacing w:line="340" w:lineRule="exact"/>
              <w:ind w:firstLine="2"/>
              <w:jc w:val="center"/>
              <w:rPr>
                <w:rFonts w:ascii="宋体" w:hAnsi="宋体" w:cs="宋体"/>
                <w:color w:val="auto"/>
                <w:kern w:val="0"/>
                <w:szCs w:val="21"/>
              </w:rPr>
            </w:pPr>
            <w:r>
              <w:rPr>
                <w:rFonts w:hint="eastAsia" w:ascii="宋体" w:hAnsi="宋体" w:cs="宋体"/>
                <w:color w:val="auto"/>
                <w:kern w:val="0"/>
                <w:szCs w:val="21"/>
              </w:rPr>
              <w:t>金额</w:t>
            </w:r>
          </w:p>
        </w:tc>
      </w:tr>
      <w:tr w14:paraId="2A4414EF">
        <w:tblPrEx>
          <w:tblCellMar>
            <w:top w:w="0" w:type="dxa"/>
            <w:left w:w="0" w:type="dxa"/>
            <w:bottom w:w="0" w:type="dxa"/>
            <w:right w:w="0" w:type="dxa"/>
          </w:tblCellMar>
        </w:tblPrEx>
        <w:trPr>
          <w:trHeight w:val="487" w:hRule="atLeast"/>
          <w:jc w:val="center"/>
        </w:trPr>
        <w:tc>
          <w:tcPr>
            <w:tcW w:w="975" w:type="dxa"/>
            <w:tcBorders>
              <w:top w:val="nil"/>
              <w:left w:val="single" w:color="auto" w:sz="8" w:space="0"/>
              <w:bottom w:val="single" w:color="auto" w:sz="8" w:space="0"/>
              <w:right w:val="single" w:color="auto" w:sz="8" w:space="0"/>
            </w:tcBorders>
            <w:noWrap/>
            <w:vAlign w:val="center"/>
          </w:tcPr>
          <w:p w14:paraId="4FB02516">
            <w:pPr>
              <w:widowControl/>
              <w:spacing w:line="340" w:lineRule="exact"/>
              <w:jc w:val="center"/>
              <w:rPr>
                <w:rFonts w:ascii="宋体" w:hAnsi="宋体" w:cs="宋体"/>
                <w:color w:val="auto"/>
                <w:kern w:val="0"/>
                <w:szCs w:val="21"/>
              </w:rPr>
            </w:pPr>
          </w:p>
        </w:tc>
        <w:tc>
          <w:tcPr>
            <w:tcW w:w="2460" w:type="dxa"/>
            <w:gridSpan w:val="2"/>
            <w:tcBorders>
              <w:top w:val="nil"/>
              <w:left w:val="nil"/>
              <w:bottom w:val="single" w:color="auto" w:sz="8" w:space="0"/>
              <w:right w:val="single" w:color="auto" w:sz="8" w:space="0"/>
            </w:tcBorders>
            <w:noWrap/>
            <w:vAlign w:val="center"/>
          </w:tcPr>
          <w:p w14:paraId="33F33554">
            <w:pPr>
              <w:widowControl/>
              <w:spacing w:line="340" w:lineRule="exact"/>
              <w:jc w:val="center"/>
              <w:rPr>
                <w:rFonts w:ascii="宋体" w:hAnsi="宋体" w:cs="宋体"/>
                <w:color w:val="auto"/>
                <w:kern w:val="0"/>
                <w:szCs w:val="21"/>
              </w:rPr>
            </w:pPr>
          </w:p>
        </w:tc>
        <w:tc>
          <w:tcPr>
            <w:tcW w:w="3049" w:type="dxa"/>
            <w:gridSpan w:val="3"/>
            <w:tcBorders>
              <w:top w:val="nil"/>
              <w:left w:val="nil"/>
              <w:bottom w:val="single" w:color="auto" w:sz="8" w:space="0"/>
              <w:right w:val="single" w:color="auto" w:sz="8" w:space="0"/>
            </w:tcBorders>
            <w:noWrap/>
            <w:vAlign w:val="center"/>
          </w:tcPr>
          <w:p w14:paraId="1050F294">
            <w:pPr>
              <w:widowControl/>
              <w:spacing w:line="340" w:lineRule="exact"/>
              <w:jc w:val="center"/>
              <w:rPr>
                <w:rFonts w:ascii="宋体" w:hAnsi="宋体" w:cs="宋体"/>
                <w:color w:val="auto"/>
                <w:kern w:val="0"/>
                <w:szCs w:val="21"/>
              </w:rPr>
            </w:pPr>
          </w:p>
        </w:tc>
        <w:tc>
          <w:tcPr>
            <w:tcW w:w="863" w:type="dxa"/>
            <w:gridSpan w:val="2"/>
            <w:tcBorders>
              <w:top w:val="nil"/>
              <w:left w:val="nil"/>
              <w:bottom w:val="single" w:color="auto" w:sz="8" w:space="0"/>
              <w:right w:val="single" w:color="auto" w:sz="8" w:space="0"/>
            </w:tcBorders>
            <w:noWrap/>
            <w:vAlign w:val="center"/>
          </w:tcPr>
          <w:p w14:paraId="4C1A232A">
            <w:pPr>
              <w:widowControl/>
              <w:spacing w:line="340" w:lineRule="exact"/>
              <w:jc w:val="center"/>
              <w:rPr>
                <w:rFonts w:ascii="宋体" w:hAnsi="宋体" w:cs="宋体"/>
                <w:color w:val="auto"/>
                <w:kern w:val="0"/>
                <w:szCs w:val="21"/>
              </w:rPr>
            </w:pPr>
          </w:p>
        </w:tc>
        <w:tc>
          <w:tcPr>
            <w:tcW w:w="2133" w:type="dxa"/>
            <w:tcBorders>
              <w:top w:val="nil"/>
              <w:left w:val="nil"/>
              <w:bottom w:val="single" w:color="auto" w:sz="8" w:space="0"/>
              <w:right w:val="single" w:color="auto" w:sz="8" w:space="0"/>
            </w:tcBorders>
            <w:noWrap/>
            <w:vAlign w:val="center"/>
          </w:tcPr>
          <w:p w14:paraId="7E88BC90">
            <w:pPr>
              <w:widowControl/>
              <w:spacing w:line="340" w:lineRule="exact"/>
              <w:jc w:val="center"/>
              <w:rPr>
                <w:rFonts w:ascii="宋体" w:hAnsi="宋体" w:cs="宋体"/>
                <w:color w:val="auto"/>
                <w:kern w:val="0"/>
                <w:szCs w:val="21"/>
              </w:rPr>
            </w:pPr>
          </w:p>
        </w:tc>
      </w:tr>
      <w:tr w14:paraId="0091F88E">
        <w:tblPrEx>
          <w:tblCellMar>
            <w:top w:w="0" w:type="dxa"/>
            <w:left w:w="0" w:type="dxa"/>
            <w:bottom w:w="0" w:type="dxa"/>
            <w:right w:w="0" w:type="dxa"/>
          </w:tblCellMar>
        </w:tblPrEx>
        <w:trPr>
          <w:trHeight w:val="487" w:hRule="atLeast"/>
          <w:jc w:val="center"/>
        </w:trPr>
        <w:tc>
          <w:tcPr>
            <w:tcW w:w="975" w:type="dxa"/>
            <w:tcBorders>
              <w:top w:val="nil"/>
              <w:left w:val="single" w:color="auto" w:sz="8" w:space="0"/>
              <w:bottom w:val="single" w:color="auto" w:sz="8" w:space="0"/>
              <w:right w:val="single" w:color="auto" w:sz="8" w:space="0"/>
            </w:tcBorders>
            <w:noWrap/>
            <w:vAlign w:val="center"/>
          </w:tcPr>
          <w:p w14:paraId="5DD7CBA4">
            <w:pPr>
              <w:widowControl/>
              <w:spacing w:line="340" w:lineRule="exact"/>
              <w:jc w:val="center"/>
              <w:rPr>
                <w:rFonts w:ascii="宋体" w:hAnsi="宋体" w:cs="宋体"/>
                <w:color w:val="auto"/>
                <w:kern w:val="0"/>
                <w:szCs w:val="21"/>
              </w:rPr>
            </w:pPr>
          </w:p>
        </w:tc>
        <w:tc>
          <w:tcPr>
            <w:tcW w:w="2460" w:type="dxa"/>
            <w:gridSpan w:val="2"/>
            <w:tcBorders>
              <w:top w:val="nil"/>
              <w:left w:val="nil"/>
              <w:bottom w:val="single" w:color="auto" w:sz="8" w:space="0"/>
              <w:right w:val="single" w:color="auto" w:sz="8" w:space="0"/>
            </w:tcBorders>
            <w:noWrap/>
            <w:vAlign w:val="center"/>
          </w:tcPr>
          <w:p w14:paraId="652CAC56">
            <w:pPr>
              <w:widowControl/>
              <w:spacing w:line="340" w:lineRule="exact"/>
              <w:jc w:val="center"/>
              <w:rPr>
                <w:rFonts w:ascii="宋体" w:hAnsi="宋体" w:cs="宋体"/>
                <w:color w:val="auto"/>
                <w:kern w:val="0"/>
                <w:szCs w:val="21"/>
              </w:rPr>
            </w:pPr>
          </w:p>
        </w:tc>
        <w:tc>
          <w:tcPr>
            <w:tcW w:w="3049" w:type="dxa"/>
            <w:gridSpan w:val="3"/>
            <w:tcBorders>
              <w:top w:val="nil"/>
              <w:left w:val="nil"/>
              <w:bottom w:val="single" w:color="auto" w:sz="8" w:space="0"/>
              <w:right w:val="single" w:color="auto" w:sz="8" w:space="0"/>
            </w:tcBorders>
            <w:noWrap/>
            <w:vAlign w:val="center"/>
          </w:tcPr>
          <w:p w14:paraId="72E850C8">
            <w:pPr>
              <w:widowControl/>
              <w:spacing w:line="340" w:lineRule="exact"/>
              <w:jc w:val="center"/>
              <w:rPr>
                <w:rFonts w:ascii="宋体" w:hAnsi="宋体" w:cs="宋体"/>
                <w:color w:val="auto"/>
                <w:kern w:val="0"/>
                <w:szCs w:val="21"/>
              </w:rPr>
            </w:pPr>
          </w:p>
        </w:tc>
        <w:tc>
          <w:tcPr>
            <w:tcW w:w="863" w:type="dxa"/>
            <w:gridSpan w:val="2"/>
            <w:tcBorders>
              <w:top w:val="nil"/>
              <w:left w:val="nil"/>
              <w:bottom w:val="single" w:color="auto" w:sz="8" w:space="0"/>
              <w:right w:val="single" w:color="auto" w:sz="8" w:space="0"/>
            </w:tcBorders>
            <w:noWrap/>
            <w:vAlign w:val="center"/>
          </w:tcPr>
          <w:p w14:paraId="73627C18">
            <w:pPr>
              <w:widowControl/>
              <w:spacing w:line="340" w:lineRule="exact"/>
              <w:jc w:val="center"/>
              <w:rPr>
                <w:rFonts w:ascii="宋体" w:hAnsi="宋体" w:cs="宋体"/>
                <w:color w:val="auto"/>
                <w:kern w:val="0"/>
                <w:szCs w:val="21"/>
              </w:rPr>
            </w:pPr>
          </w:p>
        </w:tc>
        <w:tc>
          <w:tcPr>
            <w:tcW w:w="2133" w:type="dxa"/>
            <w:tcBorders>
              <w:top w:val="nil"/>
              <w:left w:val="nil"/>
              <w:bottom w:val="single" w:color="auto" w:sz="8" w:space="0"/>
              <w:right w:val="single" w:color="auto" w:sz="8" w:space="0"/>
            </w:tcBorders>
            <w:noWrap/>
            <w:vAlign w:val="center"/>
          </w:tcPr>
          <w:p w14:paraId="073D0F07">
            <w:pPr>
              <w:widowControl/>
              <w:spacing w:line="340" w:lineRule="exact"/>
              <w:jc w:val="center"/>
              <w:rPr>
                <w:rFonts w:ascii="宋体" w:hAnsi="宋体" w:cs="宋体"/>
                <w:color w:val="auto"/>
                <w:kern w:val="0"/>
                <w:szCs w:val="21"/>
              </w:rPr>
            </w:pPr>
          </w:p>
        </w:tc>
      </w:tr>
      <w:tr w14:paraId="0E7A24FF">
        <w:tblPrEx>
          <w:tblCellMar>
            <w:top w:w="0" w:type="dxa"/>
            <w:left w:w="0" w:type="dxa"/>
            <w:bottom w:w="0" w:type="dxa"/>
            <w:right w:w="0" w:type="dxa"/>
          </w:tblCellMar>
        </w:tblPrEx>
        <w:trPr>
          <w:trHeight w:val="487" w:hRule="atLeast"/>
          <w:jc w:val="center"/>
        </w:trPr>
        <w:tc>
          <w:tcPr>
            <w:tcW w:w="975" w:type="dxa"/>
            <w:tcBorders>
              <w:top w:val="nil"/>
              <w:left w:val="single" w:color="auto" w:sz="8" w:space="0"/>
              <w:bottom w:val="single" w:color="auto" w:sz="8" w:space="0"/>
              <w:right w:val="single" w:color="auto" w:sz="8" w:space="0"/>
            </w:tcBorders>
            <w:noWrap/>
            <w:vAlign w:val="center"/>
          </w:tcPr>
          <w:p w14:paraId="03C7D8C9">
            <w:pPr>
              <w:widowControl/>
              <w:spacing w:line="340" w:lineRule="exact"/>
              <w:jc w:val="center"/>
              <w:rPr>
                <w:rFonts w:ascii="宋体" w:hAnsi="宋体" w:cs="宋体"/>
                <w:color w:val="auto"/>
                <w:kern w:val="0"/>
                <w:szCs w:val="21"/>
              </w:rPr>
            </w:pPr>
          </w:p>
        </w:tc>
        <w:tc>
          <w:tcPr>
            <w:tcW w:w="2460" w:type="dxa"/>
            <w:gridSpan w:val="2"/>
            <w:tcBorders>
              <w:top w:val="nil"/>
              <w:left w:val="nil"/>
              <w:bottom w:val="single" w:color="auto" w:sz="8" w:space="0"/>
              <w:right w:val="single" w:color="auto" w:sz="8" w:space="0"/>
            </w:tcBorders>
            <w:noWrap/>
            <w:vAlign w:val="center"/>
          </w:tcPr>
          <w:p w14:paraId="186A0C89">
            <w:pPr>
              <w:widowControl/>
              <w:spacing w:line="340" w:lineRule="exact"/>
              <w:jc w:val="center"/>
              <w:rPr>
                <w:rFonts w:ascii="宋体" w:hAnsi="宋体" w:cs="宋体"/>
                <w:color w:val="auto"/>
                <w:kern w:val="0"/>
                <w:szCs w:val="21"/>
              </w:rPr>
            </w:pPr>
          </w:p>
        </w:tc>
        <w:tc>
          <w:tcPr>
            <w:tcW w:w="3049" w:type="dxa"/>
            <w:gridSpan w:val="3"/>
            <w:tcBorders>
              <w:top w:val="nil"/>
              <w:left w:val="nil"/>
              <w:bottom w:val="single" w:color="auto" w:sz="8" w:space="0"/>
              <w:right w:val="single" w:color="auto" w:sz="8" w:space="0"/>
            </w:tcBorders>
            <w:noWrap/>
            <w:vAlign w:val="center"/>
          </w:tcPr>
          <w:p w14:paraId="084BD09C">
            <w:pPr>
              <w:widowControl/>
              <w:spacing w:line="340" w:lineRule="exact"/>
              <w:jc w:val="center"/>
              <w:rPr>
                <w:rFonts w:ascii="宋体" w:hAnsi="宋体" w:cs="宋体"/>
                <w:color w:val="auto"/>
                <w:kern w:val="0"/>
                <w:szCs w:val="21"/>
              </w:rPr>
            </w:pPr>
          </w:p>
        </w:tc>
        <w:tc>
          <w:tcPr>
            <w:tcW w:w="863" w:type="dxa"/>
            <w:gridSpan w:val="2"/>
            <w:tcBorders>
              <w:top w:val="nil"/>
              <w:left w:val="nil"/>
              <w:bottom w:val="single" w:color="auto" w:sz="8" w:space="0"/>
              <w:right w:val="single" w:color="auto" w:sz="8" w:space="0"/>
            </w:tcBorders>
            <w:noWrap/>
            <w:vAlign w:val="center"/>
          </w:tcPr>
          <w:p w14:paraId="5730C017">
            <w:pPr>
              <w:widowControl/>
              <w:spacing w:line="340" w:lineRule="exact"/>
              <w:jc w:val="center"/>
              <w:rPr>
                <w:rFonts w:ascii="宋体" w:hAnsi="宋体" w:cs="宋体"/>
                <w:color w:val="auto"/>
                <w:kern w:val="0"/>
                <w:szCs w:val="21"/>
              </w:rPr>
            </w:pPr>
          </w:p>
        </w:tc>
        <w:tc>
          <w:tcPr>
            <w:tcW w:w="2133" w:type="dxa"/>
            <w:tcBorders>
              <w:top w:val="nil"/>
              <w:left w:val="nil"/>
              <w:bottom w:val="single" w:color="auto" w:sz="8" w:space="0"/>
              <w:right w:val="single" w:color="auto" w:sz="8" w:space="0"/>
            </w:tcBorders>
            <w:noWrap/>
            <w:vAlign w:val="center"/>
          </w:tcPr>
          <w:p w14:paraId="39F4C5B4">
            <w:pPr>
              <w:widowControl/>
              <w:spacing w:line="340" w:lineRule="exact"/>
              <w:jc w:val="center"/>
              <w:rPr>
                <w:rFonts w:ascii="宋体" w:hAnsi="宋体" w:cs="宋体"/>
                <w:color w:val="auto"/>
                <w:kern w:val="0"/>
                <w:szCs w:val="21"/>
              </w:rPr>
            </w:pPr>
          </w:p>
        </w:tc>
      </w:tr>
      <w:tr w14:paraId="51ECAFFE">
        <w:tblPrEx>
          <w:tblCellMar>
            <w:top w:w="0" w:type="dxa"/>
            <w:left w:w="0" w:type="dxa"/>
            <w:bottom w:w="0" w:type="dxa"/>
            <w:right w:w="0" w:type="dxa"/>
          </w:tblCellMar>
        </w:tblPrEx>
        <w:trPr>
          <w:trHeight w:val="487" w:hRule="atLeast"/>
          <w:jc w:val="center"/>
        </w:trPr>
        <w:tc>
          <w:tcPr>
            <w:tcW w:w="6484" w:type="dxa"/>
            <w:gridSpan w:val="6"/>
            <w:tcBorders>
              <w:top w:val="nil"/>
              <w:left w:val="single" w:color="auto" w:sz="8" w:space="0"/>
              <w:bottom w:val="single" w:color="auto" w:sz="8" w:space="0"/>
              <w:right w:val="single" w:color="auto" w:sz="8" w:space="0"/>
            </w:tcBorders>
            <w:noWrap/>
            <w:vAlign w:val="center"/>
          </w:tcPr>
          <w:p w14:paraId="65C79143">
            <w:pPr>
              <w:widowControl/>
              <w:snapToGrid w:val="0"/>
              <w:spacing w:line="340" w:lineRule="exact"/>
              <w:ind w:firstLine="5"/>
              <w:jc w:val="center"/>
              <w:rPr>
                <w:rFonts w:ascii="宋体" w:hAnsi="宋体" w:cs="宋体"/>
                <w:color w:val="auto"/>
                <w:kern w:val="0"/>
                <w:szCs w:val="21"/>
              </w:rPr>
            </w:pPr>
            <w:r>
              <w:rPr>
                <w:rFonts w:hint="eastAsia" w:ascii="宋体" w:hAnsi="宋体" w:cs="宋体"/>
                <w:color w:val="auto"/>
                <w:kern w:val="0"/>
                <w:szCs w:val="21"/>
              </w:rPr>
              <w:t>合 计</w:t>
            </w:r>
          </w:p>
        </w:tc>
        <w:tc>
          <w:tcPr>
            <w:tcW w:w="863" w:type="dxa"/>
            <w:gridSpan w:val="2"/>
            <w:tcBorders>
              <w:top w:val="nil"/>
              <w:left w:val="nil"/>
              <w:bottom w:val="single" w:color="auto" w:sz="8" w:space="0"/>
              <w:right w:val="single" w:color="auto" w:sz="8" w:space="0"/>
            </w:tcBorders>
            <w:noWrap/>
            <w:vAlign w:val="center"/>
          </w:tcPr>
          <w:p w14:paraId="1F4436F7">
            <w:pPr>
              <w:widowControl/>
              <w:spacing w:line="340" w:lineRule="exact"/>
              <w:jc w:val="center"/>
              <w:rPr>
                <w:rFonts w:ascii="宋体" w:hAnsi="宋体" w:cs="宋体"/>
                <w:color w:val="auto"/>
                <w:kern w:val="0"/>
                <w:szCs w:val="21"/>
              </w:rPr>
            </w:pPr>
          </w:p>
        </w:tc>
        <w:tc>
          <w:tcPr>
            <w:tcW w:w="2133" w:type="dxa"/>
            <w:tcBorders>
              <w:top w:val="nil"/>
              <w:left w:val="nil"/>
              <w:bottom w:val="single" w:color="auto" w:sz="8" w:space="0"/>
              <w:right w:val="single" w:color="auto" w:sz="8" w:space="0"/>
            </w:tcBorders>
            <w:noWrap/>
            <w:vAlign w:val="center"/>
          </w:tcPr>
          <w:p w14:paraId="68457A23">
            <w:pPr>
              <w:widowControl/>
              <w:spacing w:line="340" w:lineRule="exact"/>
              <w:jc w:val="center"/>
              <w:rPr>
                <w:rFonts w:ascii="宋体" w:hAnsi="宋体" w:cs="宋体"/>
                <w:color w:val="auto"/>
                <w:kern w:val="0"/>
                <w:szCs w:val="21"/>
              </w:rPr>
            </w:pPr>
          </w:p>
        </w:tc>
      </w:tr>
      <w:tr w14:paraId="7F93B734">
        <w:tblPrEx>
          <w:tblCellMar>
            <w:top w:w="0" w:type="dxa"/>
            <w:left w:w="0" w:type="dxa"/>
            <w:bottom w:w="0" w:type="dxa"/>
            <w:right w:w="0" w:type="dxa"/>
          </w:tblCellMar>
        </w:tblPrEx>
        <w:trPr>
          <w:trHeight w:val="581" w:hRule="atLeast"/>
          <w:jc w:val="center"/>
        </w:trPr>
        <w:tc>
          <w:tcPr>
            <w:tcW w:w="9480" w:type="dxa"/>
            <w:gridSpan w:val="9"/>
            <w:tcBorders>
              <w:top w:val="nil"/>
              <w:left w:val="single" w:color="auto" w:sz="8" w:space="0"/>
              <w:bottom w:val="single" w:color="auto" w:sz="8" w:space="0"/>
              <w:right w:val="single" w:color="auto" w:sz="8" w:space="0"/>
            </w:tcBorders>
            <w:noWrap/>
            <w:vAlign w:val="center"/>
          </w:tcPr>
          <w:p w14:paraId="238410B7">
            <w:pPr>
              <w:widowControl/>
              <w:snapToGrid w:val="0"/>
              <w:spacing w:line="340" w:lineRule="exact"/>
              <w:ind w:firstLine="210" w:firstLineChars="100"/>
              <w:jc w:val="left"/>
              <w:rPr>
                <w:rFonts w:ascii="宋体" w:hAnsi="宋体" w:cs="宋体"/>
                <w:color w:val="auto"/>
                <w:kern w:val="0"/>
                <w:szCs w:val="21"/>
              </w:rPr>
            </w:pPr>
            <w:r>
              <w:rPr>
                <w:rFonts w:hint="eastAsia" w:ascii="宋体" w:hAnsi="宋体" w:cs="宋体"/>
                <w:color w:val="auto"/>
                <w:kern w:val="0"/>
                <w:szCs w:val="21"/>
              </w:rPr>
              <w:t>合计大写金额：  仟  佰  拾  万  仟  佰  拾  元</w:t>
            </w:r>
          </w:p>
        </w:tc>
      </w:tr>
      <w:tr w14:paraId="1D41E2E0">
        <w:tblPrEx>
          <w:tblCellMar>
            <w:top w:w="0" w:type="dxa"/>
            <w:left w:w="0" w:type="dxa"/>
            <w:bottom w:w="0" w:type="dxa"/>
            <w:right w:w="0" w:type="dxa"/>
          </w:tblCellMar>
        </w:tblPrEx>
        <w:trPr>
          <w:trHeight w:val="536" w:hRule="atLeast"/>
          <w:jc w:val="center"/>
        </w:trPr>
        <w:tc>
          <w:tcPr>
            <w:tcW w:w="1959" w:type="dxa"/>
            <w:gridSpan w:val="2"/>
            <w:tcBorders>
              <w:top w:val="nil"/>
              <w:left w:val="single" w:color="auto" w:sz="8" w:space="0"/>
              <w:bottom w:val="single" w:color="auto" w:sz="8" w:space="0"/>
              <w:right w:val="single" w:color="auto" w:sz="8" w:space="0"/>
            </w:tcBorders>
            <w:noWrap/>
            <w:vAlign w:val="center"/>
          </w:tcPr>
          <w:p w14:paraId="7183D530">
            <w:pPr>
              <w:widowControl/>
              <w:snapToGrid w:val="0"/>
              <w:spacing w:line="340" w:lineRule="exact"/>
              <w:ind w:firstLine="2"/>
              <w:jc w:val="center"/>
              <w:rPr>
                <w:rFonts w:ascii="宋体" w:hAnsi="宋体" w:cs="宋体"/>
                <w:color w:val="auto"/>
                <w:kern w:val="0"/>
                <w:szCs w:val="21"/>
              </w:rPr>
            </w:pPr>
            <w:r>
              <w:rPr>
                <w:rFonts w:hint="eastAsia" w:ascii="宋体" w:hAnsi="宋体" w:cs="宋体"/>
                <w:color w:val="auto"/>
                <w:kern w:val="0"/>
                <w:szCs w:val="21"/>
              </w:rPr>
              <w:t>实际供货日期</w:t>
            </w:r>
          </w:p>
        </w:tc>
        <w:tc>
          <w:tcPr>
            <w:tcW w:w="2421" w:type="dxa"/>
            <w:gridSpan w:val="2"/>
            <w:tcBorders>
              <w:top w:val="nil"/>
              <w:left w:val="nil"/>
              <w:bottom w:val="single" w:color="auto" w:sz="8" w:space="0"/>
              <w:right w:val="single" w:color="auto" w:sz="8" w:space="0"/>
            </w:tcBorders>
            <w:noWrap/>
            <w:vAlign w:val="center"/>
          </w:tcPr>
          <w:p w14:paraId="5AFB1387">
            <w:pPr>
              <w:widowControl/>
              <w:spacing w:line="340" w:lineRule="exact"/>
              <w:jc w:val="center"/>
              <w:rPr>
                <w:rFonts w:ascii="宋体" w:hAnsi="宋体" w:cs="宋体"/>
                <w:color w:val="auto"/>
                <w:kern w:val="0"/>
                <w:szCs w:val="21"/>
              </w:rPr>
            </w:pPr>
          </w:p>
        </w:tc>
        <w:tc>
          <w:tcPr>
            <w:tcW w:w="2282" w:type="dxa"/>
            <w:gridSpan w:val="3"/>
            <w:tcBorders>
              <w:top w:val="nil"/>
              <w:left w:val="nil"/>
              <w:bottom w:val="single" w:color="auto" w:sz="8" w:space="0"/>
              <w:right w:val="single" w:color="auto" w:sz="8" w:space="0"/>
            </w:tcBorders>
            <w:noWrap/>
            <w:vAlign w:val="center"/>
          </w:tcPr>
          <w:p w14:paraId="23EC3DE7">
            <w:pPr>
              <w:widowControl/>
              <w:snapToGrid w:val="0"/>
              <w:spacing w:line="340" w:lineRule="exact"/>
              <w:ind w:firstLine="46"/>
              <w:jc w:val="center"/>
              <w:rPr>
                <w:rFonts w:ascii="宋体" w:hAnsi="宋体" w:cs="宋体"/>
                <w:color w:val="auto"/>
                <w:kern w:val="0"/>
                <w:szCs w:val="21"/>
              </w:rPr>
            </w:pPr>
            <w:r>
              <w:rPr>
                <w:rFonts w:hint="eastAsia" w:ascii="宋体" w:hAnsi="宋体" w:cs="宋体"/>
                <w:color w:val="auto"/>
                <w:kern w:val="0"/>
                <w:szCs w:val="21"/>
              </w:rPr>
              <w:t>合同交货验收日期</w:t>
            </w:r>
          </w:p>
        </w:tc>
        <w:tc>
          <w:tcPr>
            <w:tcW w:w="2818" w:type="dxa"/>
            <w:gridSpan w:val="2"/>
            <w:tcBorders>
              <w:top w:val="nil"/>
              <w:left w:val="nil"/>
              <w:bottom w:val="single" w:color="auto" w:sz="8" w:space="0"/>
              <w:right w:val="single" w:color="auto" w:sz="8" w:space="0"/>
            </w:tcBorders>
            <w:noWrap/>
            <w:vAlign w:val="center"/>
          </w:tcPr>
          <w:p w14:paraId="2CC69C78">
            <w:pPr>
              <w:widowControl/>
              <w:spacing w:line="340" w:lineRule="exact"/>
              <w:jc w:val="center"/>
              <w:rPr>
                <w:rFonts w:ascii="宋体" w:hAnsi="宋体" w:cs="宋体"/>
                <w:color w:val="auto"/>
                <w:kern w:val="0"/>
                <w:szCs w:val="21"/>
              </w:rPr>
            </w:pPr>
          </w:p>
        </w:tc>
      </w:tr>
      <w:tr w14:paraId="3B32695E">
        <w:tblPrEx>
          <w:tblCellMar>
            <w:top w:w="0" w:type="dxa"/>
            <w:left w:w="0" w:type="dxa"/>
            <w:bottom w:w="0" w:type="dxa"/>
            <w:right w:w="0" w:type="dxa"/>
          </w:tblCellMar>
        </w:tblPrEx>
        <w:trPr>
          <w:trHeight w:val="1140" w:hRule="atLeast"/>
          <w:jc w:val="center"/>
        </w:trPr>
        <w:tc>
          <w:tcPr>
            <w:tcW w:w="1959"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DB9A5DB">
            <w:pPr>
              <w:widowControl/>
              <w:snapToGrid w:val="0"/>
              <w:spacing w:line="340" w:lineRule="exact"/>
              <w:jc w:val="center"/>
              <w:rPr>
                <w:rFonts w:ascii="宋体" w:hAnsi="宋体" w:cs="宋体"/>
                <w:color w:val="auto"/>
                <w:kern w:val="0"/>
                <w:szCs w:val="21"/>
              </w:rPr>
            </w:pPr>
            <w:r>
              <w:rPr>
                <w:rFonts w:hint="eastAsia" w:ascii="宋体" w:hAnsi="宋体" w:cs="宋体"/>
                <w:color w:val="auto"/>
                <w:kern w:val="0"/>
                <w:szCs w:val="21"/>
              </w:rPr>
              <w:t>验收具体内容</w:t>
            </w:r>
          </w:p>
        </w:tc>
        <w:tc>
          <w:tcPr>
            <w:tcW w:w="7521" w:type="dxa"/>
            <w:gridSpan w:val="7"/>
            <w:tcBorders>
              <w:top w:val="nil"/>
              <w:left w:val="nil"/>
              <w:bottom w:val="single" w:color="auto" w:sz="8" w:space="0"/>
              <w:right w:val="single" w:color="auto" w:sz="8" w:space="0"/>
            </w:tcBorders>
            <w:noWrap/>
            <w:tcMar>
              <w:top w:w="0" w:type="dxa"/>
              <w:left w:w="108" w:type="dxa"/>
              <w:bottom w:w="0" w:type="dxa"/>
              <w:right w:w="108" w:type="dxa"/>
            </w:tcMar>
            <w:vAlign w:val="center"/>
          </w:tcPr>
          <w:p w14:paraId="53CC40DE">
            <w:pPr>
              <w:widowControl/>
              <w:snapToGrid w:val="0"/>
              <w:spacing w:line="340" w:lineRule="exact"/>
              <w:jc w:val="left"/>
              <w:rPr>
                <w:rFonts w:ascii="宋体" w:hAnsi="宋体" w:cs="宋体"/>
                <w:color w:val="auto"/>
                <w:kern w:val="0"/>
                <w:szCs w:val="21"/>
              </w:rPr>
            </w:pPr>
            <w:r>
              <w:rPr>
                <w:rFonts w:hint="eastAsia" w:ascii="宋体" w:hAnsi="宋体" w:cs="宋体"/>
                <w:color w:val="auto"/>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1064D9EF">
        <w:tblPrEx>
          <w:tblCellMar>
            <w:top w:w="0" w:type="dxa"/>
            <w:left w:w="0" w:type="dxa"/>
            <w:bottom w:w="0" w:type="dxa"/>
            <w:right w:w="0" w:type="dxa"/>
          </w:tblCellMar>
        </w:tblPrEx>
        <w:trPr>
          <w:trHeight w:val="563" w:hRule="atLeast"/>
          <w:jc w:val="center"/>
        </w:trPr>
        <w:tc>
          <w:tcPr>
            <w:tcW w:w="1959" w:type="dxa"/>
            <w:gridSpan w:val="2"/>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55BB78A">
            <w:pPr>
              <w:widowControl/>
              <w:spacing w:line="340" w:lineRule="exact"/>
              <w:jc w:val="center"/>
              <w:rPr>
                <w:rFonts w:ascii="宋体" w:hAnsi="宋体" w:cs="宋体"/>
                <w:color w:val="auto"/>
                <w:kern w:val="0"/>
                <w:szCs w:val="21"/>
              </w:rPr>
            </w:pPr>
            <w:r>
              <w:rPr>
                <w:rFonts w:hint="eastAsia" w:ascii="宋体" w:hAnsi="宋体" w:cs="宋体"/>
                <w:color w:val="auto"/>
                <w:kern w:val="0"/>
                <w:szCs w:val="21"/>
              </w:rPr>
              <w:t>验收小组意见</w:t>
            </w:r>
          </w:p>
        </w:tc>
        <w:tc>
          <w:tcPr>
            <w:tcW w:w="7521" w:type="dxa"/>
            <w:gridSpan w:val="7"/>
            <w:tcBorders>
              <w:top w:val="nil"/>
              <w:left w:val="nil"/>
              <w:bottom w:val="single" w:color="auto" w:sz="8" w:space="0"/>
              <w:right w:val="single" w:color="auto" w:sz="8" w:space="0"/>
            </w:tcBorders>
            <w:noWrap/>
          </w:tcPr>
          <w:p w14:paraId="1F454587">
            <w:pPr>
              <w:widowControl/>
              <w:spacing w:line="340" w:lineRule="exact"/>
              <w:ind w:left="105" w:leftChars="50"/>
              <w:rPr>
                <w:rFonts w:ascii="宋体" w:hAnsi="宋体" w:cs="宋体"/>
                <w:color w:val="auto"/>
                <w:kern w:val="0"/>
                <w:szCs w:val="21"/>
              </w:rPr>
            </w:pPr>
            <w:r>
              <w:rPr>
                <w:rFonts w:hint="eastAsia" w:ascii="宋体" w:hAnsi="宋体" w:cs="宋体"/>
                <w:color w:val="auto"/>
                <w:kern w:val="0"/>
                <w:szCs w:val="21"/>
              </w:rPr>
              <w:t>验收结论性意见：</w:t>
            </w:r>
          </w:p>
        </w:tc>
      </w:tr>
      <w:tr w14:paraId="33BEA1B0">
        <w:tblPrEx>
          <w:tblCellMar>
            <w:top w:w="0" w:type="dxa"/>
            <w:left w:w="0" w:type="dxa"/>
            <w:bottom w:w="0" w:type="dxa"/>
            <w:right w:w="0" w:type="dxa"/>
          </w:tblCellMar>
        </w:tblPrEx>
        <w:trPr>
          <w:trHeight w:val="1155" w:hRule="atLeast"/>
          <w:jc w:val="center"/>
        </w:trPr>
        <w:tc>
          <w:tcPr>
            <w:tcW w:w="1959" w:type="dxa"/>
            <w:gridSpan w:val="2"/>
            <w:vMerge w:val="continue"/>
            <w:tcBorders>
              <w:top w:val="nil"/>
              <w:left w:val="single" w:color="auto" w:sz="8" w:space="0"/>
              <w:bottom w:val="single" w:color="auto" w:sz="8" w:space="0"/>
              <w:right w:val="single" w:color="auto" w:sz="8" w:space="0"/>
            </w:tcBorders>
            <w:noWrap/>
            <w:vAlign w:val="center"/>
          </w:tcPr>
          <w:p w14:paraId="627C1437">
            <w:pPr>
              <w:widowControl/>
              <w:spacing w:line="340" w:lineRule="exact"/>
              <w:jc w:val="left"/>
              <w:rPr>
                <w:rFonts w:ascii="宋体" w:hAnsi="宋体" w:cs="宋体"/>
                <w:color w:val="auto"/>
                <w:kern w:val="0"/>
                <w:szCs w:val="21"/>
              </w:rPr>
            </w:pPr>
          </w:p>
        </w:tc>
        <w:tc>
          <w:tcPr>
            <w:tcW w:w="7521" w:type="dxa"/>
            <w:gridSpan w:val="7"/>
            <w:tcBorders>
              <w:top w:val="nil"/>
              <w:left w:val="nil"/>
              <w:bottom w:val="single" w:color="auto" w:sz="8" w:space="0"/>
              <w:right w:val="single" w:color="auto" w:sz="8" w:space="0"/>
            </w:tcBorders>
            <w:noWrap/>
            <w:vAlign w:val="center"/>
          </w:tcPr>
          <w:p w14:paraId="0BFFD32B">
            <w:pPr>
              <w:widowControl/>
              <w:spacing w:afterLines="100" w:line="340" w:lineRule="exact"/>
              <w:ind w:left="105" w:leftChars="50"/>
              <w:jc w:val="left"/>
              <w:rPr>
                <w:rFonts w:ascii="宋体" w:hAnsi="宋体" w:cs="宋体"/>
                <w:color w:val="auto"/>
                <w:kern w:val="0"/>
                <w:szCs w:val="21"/>
              </w:rPr>
            </w:pPr>
            <w:r>
              <w:rPr>
                <w:rFonts w:hint="eastAsia" w:ascii="宋体" w:hAnsi="宋体" w:cs="宋体"/>
                <w:color w:val="auto"/>
                <w:kern w:val="0"/>
                <w:szCs w:val="21"/>
              </w:rPr>
              <w:t>有异议的意见和说明理由：</w:t>
            </w:r>
          </w:p>
          <w:p w14:paraId="5D60FB7C">
            <w:pPr>
              <w:widowControl/>
              <w:spacing w:line="340" w:lineRule="exact"/>
              <w:ind w:left="105" w:leftChars="50"/>
              <w:jc w:val="left"/>
              <w:rPr>
                <w:rFonts w:ascii="宋体" w:hAnsi="宋体" w:cs="宋体"/>
                <w:color w:val="auto"/>
                <w:kern w:val="0"/>
                <w:szCs w:val="21"/>
              </w:rPr>
            </w:pPr>
            <w:r>
              <w:rPr>
                <w:rFonts w:hint="eastAsia" w:ascii="宋体" w:hAnsi="宋体" w:cs="宋体"/>
                <w:color w:val="auto"/>
                <w:kern w:val="0"/>
                <w:szCs w:val="21"/>
              </w:rPr>
              <w:t>签字：</w:t>
            </w:r>
          </w:p>
        </w:tc>
      </w:tr>
      <w:tr w14:paraId="44DE9CC9">
        <w:tblPrEx>
          <w:tblCellMar>
            <w:top w:w="0" w:type="dxa"/>
            <w:left w:w="0" w:type="dxa"/>
            <w:bottom w:w="0" w:type="dxa"/>
            <w:right w:w="0" w:type="dxa"/>
          </w:tblCellMar>
        </w:tblPrEx>
        <w:trPr>
          <w:trHeight w:val="717" w:hRule="atLeast"/>
          <w:jc w:val="center"/>
        </w:trPr>
        <w:tc>
          <w:tcPr>
            <w:tcW w:w="9480"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5743FE2">
            <w:pPr>
              <w:widowControl/>
              <w:spacing w:line="340" w:lineRule="exact"/>
              <w:jc w:val="left"/>
              <w:rPr>
                <w:rFonts w:ascii="宋体" w:hAnsi="宋体" w:cs="宋体"/>
                <w:color w:val="auto"/>
                <w:kern w:val="0"/>
                <w:szCs w:val="21"/>
              </w:rPr>
            </w:pPr>
            <w:r>
              <w:rPr>
                <w:rFonts w:hint="eastAsia" w:ascii="宋体" w:hAnsi="宋体" w:cs="宋体"/>
                <w:color w:val="auto"/>
                <w:kern w:val="0"/>
                <w:szCs w:val="21"/>
              </w:rPr>
              <w:t>验收小组成员签字：</w:t>
            </w:r>
          </w:p>
        </w:tc>
      </w:tr>
      <w:tr w14:paraId="54782B41">
        <w:tblPrEx>
          <w:tblCellMar>
            <w:top w:w="0" w:type="dxa"/>
            <w:left w:w="0" w:type="dxa"/>
            <w:bottom w:w="0" w:type="dxa"/>
            <w:right w:w="0" w:type="dxa"/>
          </w:tblCellMar>
        </w:tblPrEx>
        <w:trPr>
          <w:trHeight w:val="1085" w:hRule="atLeast"/>
          <w:jc w:val="center"/>
        </w:trPr>
        <w:tc>
          <w:tcPr>
            <w:tcW w:w="9480"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3959F45">
            <w:pPr>
              <w:widowControl/>
              <w:spacing w:line="340" w:lineRule="exact"/>
              <w:jc w:val="left"/>
              <w:rPr>
                <w:rFonts w:ascii="宋体" w:hAnsi="宋体" w:cs="宋体"/>
                <w:color w:val="auto"/>
              </w:rPr>
            </w:pPr>
            <w:r>
              <w:rPr>
                <w:rFonts w:hint="eastAsia" w:ascii="宋体" w:hAnsi="宋体" w:cs="宋体"/>
                <w:color w:val="auto"/>
                <w:kern w:val="0"/>
                <w:szCs w:val="21"/>
              </w:rPr>
              <w:t>监督人员或者其他相关人员签字：</w:t>
            </w:r>
          </w:p>
          <w:p w14:paraId="786A84F4">
            <w:pPr>
              <w:widowControl/>
              <w:spacing w:line="340" w:lineRule="exact"/>
              <w:jc w:val="left"/>
              <w:rPr>
                <w:rFonts w:ascii="宋体" w:hAnsi="宋体" w:cs="宋体"/>
                <w:color w:val="auto"/>
                <w:kern w:val="0"/>
                <w:szCs w:val="21"/>
              </w:rPr>
            </w:pPr>
            <w:r>
              <w:rPr>
                <w:rFonts w:hint="eastAsia" w:ascii="宋体" w:hAnsi="宋体" w:cs="宋体"/>
                <w:color w:val="auto"/>
                <w:kern w:val="0"/>
                <w:szCs w:val="21"/>
              </w:rPr>
              <w:t>或者受邀机构的意见（盖章）：</w:t>
            </w:r>
          </w:p>
        </w:tc>
      </w:tr>
      <w:tr w14:paraId="2C7E2B97">
        <w:tblPrEx>
          <w:tblCellMar>
            <w:top w:w="0" w:type="dxa"/>
            <w:left w:w="0" w:type="dxa"/>
            <w:bottom w:w="0" w:type="dxa"/>
            <w:right w:w="0" w:type="dxa"/>
          </w:tblCellMar>
        </w:tblPrEx>
        <w:trPr>
          <w:trHeight w:val="1589" w:hRule="atLeast"/>
          <w:jc w:val="center"/>
        </w:trPr>
        <w:tc>
          <w:tcPr>
            <w:tcW w:w="4482" w:type="dxa"/>
            <w:gridSpan w:val="5"/>
            <w:tcBorders>
              <w:top w:val="nil"/>
              <w:left w:val="single" w:color="auto" w:sz="8" w:space="0"/>
              <w:bottom w:val="single" w:color="auto" w:sz="8" w:space="0"/>
              <w:right w:val="nil"/>
            </w:tcBorders>
            <w:noWrap/>
            <w:tcMar>
              <w:top w:w="0" w:type="dxa"/>
              <w:left w:w="108" w:type="dxa"/>
              <w:bottom w:w="0" w:type="dxa"/>
              <w:right w:w="108" w:type="dxa"/>
            </w:tcMar>
            <w:vAlign w:val="center"/>
          </w:tcPr>
          <w:p w14:paraId="5C7CBEB2">
            <w:pPr>
              <w:widowControl/>
              <w:spacing w:line="340" w:lineRule="exact"/>
              <w:jc w:val="left"/>
              <w:rPr>
                <w:rFonts w:ascii="宋体" w:hAnsi="宋体" w:cs="宋体"/>
                <w:color w:val="auto"/>
                <w:kern w:val="0"/>
                <w:szCs w:val="21"/>
              </w:rPr>
            </w:pPr>
            <w:r>
              <w:rPr>
                <w:rFonts w:hint="eastAsia" w:ascii="宋体" w:hAnsi="宋体" w:cs="宋体"/>
                <w:color w:val="auto"/>
                <w:kern w:val="0"/>
                <w:szCs w:val="21"/>
              </w:rPr>
              <w:t>成交供应商负责人签字或者盖章：</w:t>
            </w:r>
          </w:p>
          <w:p w14:paraId="14C122F2">
            <w:pPr>
              <w:pStyle w:val="46"/>
              <w:ind w:firstLine="0" w:firstLineChars="0"/>
              <w:rPr>
                <w:rFonts w:ascii="宋体" w:hAnsi="宋体" w:eastAsia="宋体" w:cs="宋体"/>
                <w:color w:val="auto"/>
                <w:sz w:val="21"/>
                <w:szCs w:val="21"/>
              </w:rPr>
            </w:pPr>
          </w:p>
          <w:p w14:paraId="20E98B5B">
            <w:pPr>
              <w:widowControl/>
              <w:spacing w:line="340" w:lineRule="exact"/>
              <w:jc w:val="left"/>
              <w:rPr>
                <w:rFonts w:ascii="宋体" w:hAnsi="宋体" w:cs="宋体"/>
                <w:color w:val="auto"/>
                <w:kern w:val="0"/>
                <w:szCs w:val="21"/>
              </w:rPr>
            </w:pPr>
            <w:r>
              <w:rPr>
                <w:rFonts w:hint="eastAsia" w:ascii="宋体" w:hAnsi="宋体" w:cs="宋体"/>
                <w:color w:val="auto"/>
                <w:kern w:val="0"/>
                <w:szCs w:val="21"/>
              </w:rPr>
              <w:t xml:space="preserve">联系电话：              </w:t>
            </w:r>
          </w:p>
          <w:p w14:paraId="34A9423F">
            <w:pPr>
              <w:widowControl/>
              <w:spacing w:line="340" w:lineRule="exact"/>
              <w:jc w:val="left"/>
              <w:rPr>
                <w:rFonts w:ascii="宋体" w:hAnsi="宋体" w:cs="宋体"/>
                <w:color w:val="auto"/>
                <w:kern w:val="0"/>
                <w:szCs w:val="21"/>
              </w:rPr>
            </w:pPr>
            <w:r>
              <w:rPr>
                <w:rFonts w:hint="eastAsia" w:ascii="宋体" w:hAnsi="宋体" w:cs="宋体"/>
                <w:color w:val="auto"/>
                <w:kern w:val="0"/>
                <w:szCs w:val="21"/>
              </w:rPr>
              <w:t xml:space="preserve">                   年     月     日</w:t>
            </w:r>
          </w:p>
        </w:tc>
        <w:tc>
          <w:tcPr>
            <w:tcW w:w="4998" w:type="dxa"/>
            <w:gridSpan w:val="4"/>
            <w:tcBorders>
              <w:top w:val="nil"/>
              <w:left w:val="nil"/>
              <w:bottom w:val="single" w:color="auto" w:sz="8" w:space="0"/>
              <w:right w:val="single" w:color="auto" w:sz="8" w:space="0"/>
            </w:tcBorders>
            <w:noWrap/>
            <w:vAlign w:val="center"/>
          </w:tcPr>
          <w:p w14:paraId="4A45CEFF">
            <w:pPr>
              <w:widowControl/>
              <w:spacing w:line="340" w:lineRule="exact"/>
              <w:ind w:firstLine="630" w:firstLineChars="300"/>
              <w:jc w:val="left"/>
              <w:rPr>
                <w:rFonts w:ascii="宋体" w:hAnsi="宋体" w:cs="宋体"/>
                <w:color w:val="auto"/>
                <w:kern w:val="0"/>
                <w:szCs w:val="21"/>
              </w:rPr>
            </w:pPr>
            <w:r>
              <w:rPr>
                <w:rFonts w:hint="eastAsia" w:ascii="宋体" w:hAnsi="宋体" w:cs="宋体"/>
                <w:color w:val="auto"/>
                <w:kern w:val="0"/>
                <w:szCs w:val="21"/>
              </w:rPr>
              <w:t>采购人或者受托机构的意见（盖章）：</w:t>
            </w:r>
          </w:p>
          <w:p w14:paraId="3479B63D">
            <w:pPr>
              <w:pStyle w:val="46"/>
              <w:ind w:firstLine="0" w:firstLineChars="0"/>
              <w:rPr>
                <w:rFonts w:ascii="宋体" w:hAnsi="宋体" w:eastAsia="宋体" w:cs="宋体"/>
                <w:color w:val="auto"/>
                <w:sz w:val="21"/>
                <w:szCs w:val="21"/>
              </w:rPr>
            </w:pPr>
          </w:p>
          <w:p w14:paraId="3A8FFDF4">
            <w:pPr>
              <w:pStyle w:val="46"/>
              <w:rPr>
                <w:rFonts w:ascii="宋体" w:hAnsi="宋体" w:eastAsia="宋体" w:cs="宋体"/>
                <w:color w:val="auto"/>
                <w:sz w:val="21"/>
                <w:szCs w:val="21"/>
              </w:rPr>
            </w:pPr>
            <w:r>
              <w:rPr>
                <w:rFonts w:hint="eastAsia" w:ascii="宋体" w:hAnsi="宋体" w:eastAsia="宋体" w:cs="宋体"/>
                <w:color w:val="auto"/>
                <w:sz w:val="21"/>
                <w:szCs w:val="21"/>
              </w:rPr>
              <w:t xml:space="preserve">联系电话：               </w:t>
            </w:r>
          </w:p>
          <w:p w14:paraId="4C1CBFA0">
            <w:pPr>
              <w:widowControl/>
              <w:spacing w:line="3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 xml:space="preserve">                       年     月     日</w:t>
            </w:r>
          </w:p>
        </w:tc>
      </w:tr>
    </w:tbl>
    <w:p w14:paraId="66A52946">
      <w:pPr>
        <w:pStyle w:val="13"/>
        <w:rPr>
          <w:rFonts w:ascii="宋体" w:hAnsi="宋体" w:cs="宋体"/>
          <w:color w:val="auto"/>
        </w:rPr>
      </w:pPr>
    </w:p>
    <w:p w14:paraId="54842600">
      <w:pPr>
        <w:pStyle w:val="28"/>
        <w:spacing w:line="520" w:lineRule="exact"/>
        <w:rPr>
          <w:rFonts w:hAnsi="宋体" w:cs="宋体"/>
          <w:color w:val="auto"/>
          <w:sz w:val="24"/>
          <w:szCs w:val="24"/>
        </w:rPr>
      </w:pPr>
      <w:r>
        <w:rPr>
          <w:rFonts w:hint="eastAsia" w:hAnsi="宋体" w:cs="宋体"/>
          <w:b/>
          <w:color w:val="auto"/>
          <w:sz w:val="32"/>
          <w:szCs w:val="32"/>
        </w:rPr>
        <w:br w:type="page"/>
      </w:r>
      <w:r>
        <w:rPr>
          <w:rFonts w:hint="eastAsia" w:hAnsi="宋体" w:cs="宋体"/>
          <w:b/>
          <w:color w:val="auto"/>
          <w:sz w:val="28"/>
          <w:szCs w:val="28"/>
        </w:rPr>
        <w:t>附件3</w:t>
      </w:r>
    </w:p>
    <w:p w14:paraId="0612066E">
      <w:pPr>
        <w:pStyle w:val="28"/>
        <w:spacing w:line="520" w:lineRule="exact"/>
        <w:ind w:firstLine="420"/>
        <w:jc w:val="center"/>
        <w:rPr>
          <w:rFonts w:hAnsi="宋体" w:cs="宋体"/>
          <w:b/>
          <w:color w:val="auto"/>
          <w:sz w:val="32"/>
          <w:szCs w:val="32"/>
        </w:rPr>
      </w:pPr>
      <w:r>
        <w:rPr>
          <w:rFonts w:hint="eastAsia" w:hAnsi="宋体" w:cs="宋体"/>
          <w:b/>
          <w:color w:val="auto"/>
          <w:sz w:val="32"/>
          <w:szCs w:val="32"/>
        </w:rPr>
        <w:t>政府采购项目履约保证金退付意见书</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8508"/>
      </w:tblGrid>
      <w:tr w14:paraId="27D4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1"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6ED43D19">
            <w:pPr>
              <w:pStyle w:val="28"/>
              <w:spacing w:line="320" w:lineRule="exact"/>
              <w:ind w:left="113" w:right="113"/>
              <w:jc w:val="center"/>
              <w:rPr>
                <w:rFonts w:hAnsi="宋体" w:cs="宋体"/>
                <w:color w:val="auto"/>
                <w:sz w:val="21"/>
              </w:rPr>
            </w:pPr>
            <w:r>
              <w:rPr>
                <w:rFonts w:hint="eastAsia" w:hAnsi="宋体" w:cs="宋体"/>
                <w:color w:val="auto"/>
                <w:sz w:val="21"/>
              </w:rPr>
              <w:t>供 应 商 申 请</w:t>
            </w:r>
          </w:p>
        </w:tc>
        <w:tc>
          <w:tcPr>
            <w:tcW w:w="8508" w:type="dxa"/>
            <w:tcBorders>
              <w:top w:val="single" w:color="auto" w:sz="4" w:space="0"/>
              <w:left w:val="single" w:color="auto" w:sz="4" w:space="0"/>
              <w:bottom w:val="single" w:color="auto" w:sz="4" w:space="0"/>
              <w:right w:val="single" w:color="auto" w:sz="4" w:space="0"/>
            </w:tcBorders>
            <w:noWrap/>
            <w:vAlign w:val="center"/>
          </w:tcPr>
          <w:p w14:paraId="7A3D1918">
            <w:pPr>
              <w:pStyle w:val="28"/>
              <w:spacing w:line="320" w:lineRule="exact"/>
              <w:rPr>
                <w:rFonts w:hAnsi="宋体" w:cs="宋体"/>
                <w:color w:val="auto"/>
                <w:sz w:val="21"/>
              </w:rPr>
            </w:pPr>
            <w:r>
              <w:rPr>
                <w:rFonts w:hint="eastAsia" w:hAnsi="宋体" w:cs="宋体"/>
                <w:color w:val="auto"/>
                <w:sz w:val="21"/>
              </w:rPr>
              <w:t>项目名称：</w:t>
            </w:r>
          </w:p>
        </w:tc>
      </w:tr>
      <w:tr w14:paraId="523B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1" w:type="dxa"/>
            <w:vMerge w:val="continue"/>
            <w:tcBorders>
              <w:top w:val="single" w:color="auto" w:sz="4" w:space="0"/>
              <w:left w:val="single" w:color="auto" w:sz="4" w:space="0"/>
              <w:bottom w:val="single" w:color="auto" w:sz="4" w:space="0"/>
              <w:right w:val="single" w:color="auto" w:sz="4" w:space="0"/>
            </w:tcBorders>
            <w:noWrap/>
            <w:vAlign w:val="center"/>
          </w:tcPr>
          <w:p w14:paraId="460706D5">
            <w:pPr>
              <w:widowControl/>
              <w:jc w:val="left"/>
              <w:rPr>
                <w:rFonts w:ascii="宋体" w:hAnsi="宋体" w:cs="宋体"/>
                <w:color w:val="auto"/>
                <w:szCs w:val="21"/>
              </w:rPr>
            </w:pPr>
          </w:p>
        </w:tc>
        <w:tc>
          <w:tcPr>
            <w:tcW w:w="8508" w:type="dxa"/>
            <w:tcBorders>
              <w:top w:val="single" w:color="auto" w:sz="4" w:space="0"/>
              <w:left w:val="single" w:color="auto" w:sz="4" w:space="0"/>
              <w:bottom w:val="single" w:color="auto" w:sz="4" w:space="0"/>
              <w:right w:val="single" w:color="auto" w:sz="4" w:space="0"/>
            </w:tcBorders>
            <w:noWrap/>
            <w:vAlign w:val="center"/>
          </w:tcPr>
          <w:p w14:paraId="5B92D81E">
            <w:pPr>
              <w:pStyle w:val="28"/>
              <w:spacing w:line="320" w:lineRule="exact"/>
              <w:rPr>
                <w:rFonts w:hAnsi="宋体" w:cs="宋体"/>
                <w:color w:val="auto"/>
                <w:sz w:val="21"/>
              </w:rPr>
            </w:pPr>
            <w:r>
              <w:rPr>
                <w:rFonts w:hint="eastAsia" w:hAnsi="宋体" w:cs="宋体"/>
                <w:color w:val="auto"/>
                <w:sz w:val="21"/>
              </w:rPr>
              <w:t>项目编号：</w:t>
            </w:r>
          </w:p>
        </w:tc>
      </w:tr>
      <w:tr w14:paraId="7A70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7" w:hRule="atLeast"/>
        </w:trPr>
        <w:tc>
          <w:tcPr>
            <w:tcW w:w="751" w:type="dxa"/>
            <w:vMerge w:val="continue"/>
            <w:tcBorders>
              <w:top w:val="single" w:color="auto" w:sz="4" w:space="0"/>
              <w:left w:val="single" w:color="auto" w:sz="4" w:space="0"/>
              <w:bottom w:val="single" w:color="auto" w:sz="4" w:space="0"/>
              <w:right w:val="single" w:color="auto" w:sz="4" w:space="0"/>
            </w:tcBorders>
            <w:noWrap/>
            <w:vAlign w:val="center"/>
          </w:tcPr>
          <w:p w14:paraId="53C6B457">
            <w:pPr>
              <w:widowControl/>
              <w:jc w:val="left"/>
              <w:rPr>
                <w:rFonts w:ascii="宋体" w:hAnsi="宋体" w:cs="宋体"/>
                <w:color w:val="auto"/>
                <w:szCs w:val="21"/>
              </w:rPr>
            </w:pPr>
          </w:p>
        </w:tc>
        <w:tc>
          <w:tcPr>
            <w:tcW w:w="8508" w:type="dxa"/>
            <w:tcBorders>
              <w:top w:val="single" w:color="auto" w:sz="4" w:space="0"/>
              <w:left w:val="single" w:color="auto" w:sz="4" w:space="0"/>
              <w:bottom w:val="single" w:color="auto" w:sz="4" w:space="0"/>
              <w:right w:val="single" w:color="auto" w:sz="4" w:space="0"/>
            </w:tcBorders>
            <w:noWrap/>
          </w:tcPr>
          <w:p w14:paraId="7890AC36">
            <w:pPr>
              <w:pStyle w:val="28"/>
              <w:spacing w:line="320" w:lineRule="exact"/>
              <w:rPr>
                <w:rFonts w:hAnsi="宋体" w:cs="宋体"/>
                <w:color w:val="auto"/>
                <w:sz w:val="21"/>
              </w:rPr>
            </w:pPr>
          </w:p>
          <w:p w14:paraId="2B511745">
            <w:pPr>
              <w:pStyle w:val="28"/>
              <w:spacing w:line="520" w:lineRule="exact"/>
              <w:ind w:firstLine="420" w:firstLineChars="200"/>
              <w:rPr>
                <w:rFonts w:hAnsi="宋体" w:cs="宋体"/>
                <w:color w:val="auto"/>
                <w:sz w:val="21"/>
              </w:rPr>
            </w:pPr>
            <w:r>
              <w:rPr>
                <w:rFonts w:hint="eastAsia" w:hAnsi="宋体" w:cs="宋体"/>
                <w:color w:val="auto"/>
                <w:sz w:val="21"/>
              </w:rPr>
              <w:t>该项目已于年月日验收并交付使用。根据合同规定，该项目的履约保证金期限于年月日已满，请将履约保证金（大写）人民币（￥）退付到以下帐户：</w:t>
            </w:r>
          </w:p>
          <w:p w14:paraId="42FBB024">
            <w:pPr>
              <w:pStyle w:val="28"/>
              <w:spacing w:line="520" w:lineRule="exact"/>
              <w:ind w:firstLine="420" w:firstLineChars="200"/>
              <w:rPr>
                <w:rFonts w:hAnsi="宋体" w:cs="宋体"/>
                <w:color w:val="auto"/>
                <w:sz w:val="21"/>
              </w:rPr>
            </w:pPr>
          </w:p>
          <w:p w14:paraId="44C4F04C">
            <w:pPr>
              <w:pStyle w:val="28"/>
              <w:spacing w:line="520" w:lineRule="exact"/>
              <w:rPr>
                <w:rFonts w:hAnsi="宋体" w:cs="宋体"/>
                <w:color w:val="auto"/>
                <w:sz w:val="21"/>
              </w:rPr>
            </w:pPr>
            <w:r>
              <w:rPr>
                <w:rFonts w:hint="eastAsia" w:hAnsi="宋体" w:cs="宋体"/>
                <w:color w:val="auto"/>
                <w:sz w:val="21"/>
              </w:rPr>
              <w:t>单位名称：</w:t>
            </w:r>
          </w:p>
          <w:p w14:paraId="283ECBB2">
            <w:pPr>
              <w:pStyle w:val="28"/>
              <w:spacing w:line="520" w:lineRule="exact"/>
              <w:rPr>
                <w:rFonts w:hAnsi="宋体" w:cs="宋体"/>
                <w:color w:val="auto"/>
                <w:sz w:val="21"/>
              </w:rPr>
            </w:pPr>
            <w:r>
              <w:rPr>
                <w:rFonts w:hint="eastAsia" w:hAnsi="宋体" w:cs="宋体"/>
                <w:color w:val="auto"/>
                <w:sz w:val="21"/>
              </w:rPr>
              <w:t>开户银行：</w:t>
            </w:r>
          </w:p>
          <w:p w14:paraId="1160BDD3">
            <w:pPr>
              <w:pStyle w:val="28"/>
              <w:spacing w:line="520" w:lineRule="exact"/>
              <w:rPr>
                <w:rFonts w:hAnsi="宋体" w:cs="宋体"/>
                <w:color w:val="auto"/>
                <w:sz w:val="21"/>
              </w:rPr>
            </w:pPr>
            <w:r>
              <w:rPr>
                <w:rFonts w:hint="eastAsia" w:hAnsi="宋体" w:cs="宋体"/>
                <w:color w:val="auto"/>
                <w:sz w:val="21"/>
              </w:rPr>
              <w:t>银行账号：</w:t>
            </w:r>
          </w:p>
          <w:p w14:paraId="157480F6">
            <w:pPr>
              <w:pStyle w:val="28"/>
              <w:spacing w:line="520" w:lineRule="exact"/>
              <w:rPr>
                <w:rFonts w:hAnsi="宋体" w:cs="宋体"/>
                <w:color w:val="auto"/>
                <w:sz w:val="21"/>
              </w:rPr>
            </w:pPr>
          </w:p>
          <w:p w14:paraId="1C72F6D0">
            <w:pPr>
              <w:pStyle w:val="28"/>
              <w:spacing w:line="520" w:lineRule="exact"/>
              <w:rPr>
                <w:rFonts w:hAnsi="宋体" w:cs="宋体"/>
                <w:color w:val="auto"/>
                <w:sz w:val="21"/>
              </w:rPr>
            </w:pPr>
            <w:r>
              <w:rPr>
                <w:rFonts w:hint="eastAsia" w:hAnsi="宋体" w:cs="宋体"/>
                <w:color w:val="auto"/>
                <w:sz w:val="21"/>
              </w:rPr>
              <w:t>联系人：</w:t>
            </w:r>
          </w:p>
          <w:p w14:paraId="52262029">
            <w:pPr>
              <w:pStyle w:val="28"/>
              <w:spacing w:line="520" w:lineRule="exact"/>
              <w:rPr>
                <w:rFonts w:hAnsi="宋体" w:cs="宋体"/>
                <w:color w:val="auto"/>
                <w:sz w:val="21"/>
              </w:rPr>
            </w:pPr>
            <w:r>
              <w:rPr>
                <w:rFonts w:hint="eastAsia" w:hAnsi="宋体" w:cs="宋体"/>
                <w:color w:val="auto"/>
                <w:sz w:val="21"/>
              </w:rPr>
              <w:t xml:space="preserve">联系电话： </w:t>
            </w:r>
          </w:p>
          <w:p w14:paraId="4045A12B">
            <w:pPr>
              <w:pStyle w:val="28"/>
              <w:spacing w:line="520" w:lineRule="exact"/>
              <w:rPr>
                <w:rFonts w:hAnsi="宋体" w:cs="宋体"/>
                <w:color w:val="auto"/>
                <w:sz w:val="21"/>
              </w:rPr>
            </w:pPr>
            <w:r>
              <w:rPr>
                <w:rFonts w:hint="eastAsia" w:hAnsi="宋体" w:cs="宋体"/>
                <w:color w:val="auto"/>
                <w:sz w:val="21"/>
              </w:rPr>
              <w:t xml:space="preserve">                                  供应商签章</w:t>
            </w:r>
          </w:p>
          <w:p w14:paraId="3575AFB0">
            <w:pPr>
              <w:pStyle w:val="28"/>
              <w:spacing w:line="520" w:lineRule="exact"/>
              <w:rPr>
                <w:rFonts w:hAnsi="宋体" w:cs="宋体"/>
                <w:color w:val="auto"/>
                <w:sz w:val="21"/>
              </w:rPr>
            </w:pPr>
            <w:r>
              <w:rPr>
                <w:rFonts w:hint="eastAsia" w:hAnsi="宋体" w:cs="宋体"/>
                <w:color w:val="auto"/>
                <w:sz w:val="21"/>
              </w:rPr>
              <w:t xml:space="preserve">                                 年   月   日</w:t>
            </w:r>
          </w:p>
        </w:tc>
      </w:tr>
      <w:tr w14:paraId="7A2A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4" w:hRule="atLeast"/>
        </w:trPr>
        <w:tc>
          <w:tcPr>
            <w:tcW w:w="751" w:type="dxa"/>
            <w:tcBorders>
              <w:top w:val="single" w:color="auto" w:sz="4" w:space="0"/>
              <w:left w:val="single" w:color="auto" w:sz="4" w:space="0"/>
              <w:bottom w:val="single" w:color="auto" w:sz="4" w:space="0"/>
              <w:right w:val="single" w:color="auto" w:sz="4" w:space="0"/>
            </w:tcBorders>
            <w:noWrap/>
            <w:textDirection w:val="tbRlV"/>
            <w:vAlign w:val="center"/>
          </w:tcPr>
          <w:p w14:paraId="0EDB595A">
            <w:pPr>
              <w:pStyle w:val="28"/>
              <w:spacing w:line="320" w:lineRule="exact"/>
              <w:ind w:left="113" w:right="113"/>
              <w:jc w:val="center"/>
              <w:rPr>
                <w:rFonts w:hAnsi="宋体" w:cs="宋体"/>
                <w:color w:val="auto"/>
                <w:sz w:val="21"/>
              </w:rPr>
            </w:pPr>
            <w:r>
              <w:rPr>
                <w:rFonts w:hint="eastAsia" w:hAnsi="宋体" w:cs="宋体"/>
                <w:color w:val="auto"/>
                <w:sz w:val="21"/>
              </w:rPr>
              <w:t>采 购 单 位 意 见</w:t>
            </w:r>
          </w:p>
        </w:tc>
        <w:tc>
          <w:tcPr>
            <w:tcW w:w="8508" w:type="dxa"/>
            <w:tcBorders>
              <w:top w:val="single" w:color="auto" w:sz="4" w:space="0"/>
              <w:left w:val="single" w:color="auto" w:sz="4" w:space="0"/>
              <w:bottom w:val="single" w:color="auto" w:sz="4" w:space="0"/>
              <w:right w:val="single" w:color="auto" w:sz="4" w:space="0"/>
            </w:tcBorders>
            <w:noWrap/>
          </w:tcPr>
          <w:p w14:paraId="08D9C503">
            <w:pPr>
              <w:pStyle w:val="28"/>
              <w:spacing w:line="320" w:lineRule="exact"/>
              <w:rPr>
                <w:rFonts w:hAnsi="宋体" w:cs="宋体"/>
                <w:color w:val="auto"/>
                <w:sz w:val="21"/>
              </w:rPr>
            </w:pPr>
          </w:p>
          <w:p w14:paraId="606D9AAC">
            <w:pPr>
              <w:pStyle w:val="28"/>
              <w:spacing w:line="320" w:lineRule="exact"/>
              <w:rPr>
                <w:rFonts w:hAnsi="宋体" w:cs="宋体"/>
                <w:color w:val="auto"/>
                <w:sz w:val="21"/>
              </w:rPr>
            </w:pPr>
            <w:r>
              <w:rPr>
                <w:rFonts w:hint="eastAsia" w:hAnsi="宋体" w:cs="宋体"/>
                <w:color w:val="auto"/>
                <w:sz w:val="21"/>
              </w:rPr>
              <w:t>验收意见：</w:t>
            </w:r>
          </w:p>
          <w:p w14:paraId="042ACB1C">
            <w:pPr>
              <w:pStyle w:val="28"/>
              <w:spacing w:line="320" w:lineRule="exact"/>
              <w:rPr>
                <w:rFonts w:hAnsi="宋体" w:cs="宋体"/>
                <w:color w:val="auto"/>
                <w:sz w:val="21"/>
              </w:rPr>
            </w:pPr>
          </w:p>
          <w:p w14:paraId="32407BCC">
            <w:pPr>
              <w:pStyle w:val="28"/>
              <w:spacing w:line="320" w:lineRule="exact"/>
              <w:rPr>
                <w:rFonts w:hAnsi="宋体" w:cs="宋体"/>
                <w:color w:val="auto"/>
                <w:sz w:val="21"/>
              </w:rPr>
            </w:pPr>
          </w:p>
          <w:p w14:paraId="1C954543">
            <w:pPr>
              <w:pStyle w:val="28"/>
              <w:spacing w:line="320" w:lineRule="exact"/>
              <w:rPr>
                <w:rFonts w:hAnsi="宋体" w:cs="宋体"/>
                <w:color w:val="auto"/>
                <w:sz w:val="21"/>
              </w:rPr>
            </w:pPr>
          </w:p>
          <w:p w14:paraId="035549B9">
            <w:pPr>
              <w:pStyle w:val="28"/>
              <w:spacing w:line="320" w:lineRule="exact"/>
              <w:rPr>
                <w:rFonts w:hAnsi="宋体" w:cs="宋体"/>
                <w:color w:val="auto"/>
                <w:sz w:val="21"/>
              </w:rPr>
            </w:pPr>
          </w:p>
          <w:p w14:paraId="61736F6D">
            <w:pPr>
              <w:pStyle w:val="28"/>
              <w:spacing w:line="320" w:lineRule="exact"/>
              <w:rPr>
                <w:rFonts w:hAnsi="宋体" w:cs="宋体"/>
                <w:color w:val="auto"/>
                <w:sz w:val="21"/>
              </w:rPr>
            </w:pPr>
          </w:p>
          <w:p w14:paraId="3C9590B8">
            <w:pPr>
              <w:pStyle w:val="28"/>
              <w:spacing w:line="520" w:lineRule="exact"/>
              <w:rPr>
                <w:rFonts w:hAnsi="宋体" w:cs="宋体"/>
                <w:color w:val="auto"/>
                <w:sz w:val="21"/>
              </w:rPr>
            </w:pPr>
            <w:r>
              <w:rPr>
                <w:rFonts w:hint="eastAsia" w:hAnsi="宋体" w:cs="宋体"/>
                <w:color w:val="auto"/>
                <w:sz w:val="21"/>
              </w:rPr>
              <w:t>联系人：</w:t>
            </w:r>
          </w:p>
          <w:p w14:paraId="443C0FB2">
            <w:pPr>
              <w:pStyle w:val="28"/>
              <w:spacing w:line="520" w:lineRule="exact"/>
              <w:rPr>
                <w:rFonts w:hAnsi="宋体" w:cs="宋体"/>
                <w:color w:val="auto"/>
                <w:sz w:val="21"/>
              </w:rPr>
            </w:pPr>
            <w:r>
              <w:rPr>
                <w:rFonts w:hint="eastAsia" w:hAnsi="宋体" w:cs="宋体"/>
                <w:color w:val="auto"/>
                <w:sz w:val="21"/>
              </w:rPr>
              <w:t xml:space="preserve">联系电话： </w:t>
            </w:r>
          </w:p>
          <w:p w14:paraId="075BC29C">
            <w:pPr>
              <w:pStyle w:val="28"/>
              <w:spacing w:line="520" w:lineRule="exact"/>
              <w:rPr>
                <w:rFonts w:hAnsi="宋体" w:cs="宋体"/>
                <w:color w:val="auto"/>
                <w:sz w:val="21"/>
              </w:rPr>
            </w:pPr>
          </w:p>
          <w:p w14:paraId="7FE54853">
            <w:pPr>
              <w:pStyle w:val="28"/>
              <w:spacing w:line="520" w:lineRule="exact"/>
              <w:rPr>
                <w:rFonts w:hAnsi="宋体" w:cs="宋体"/>
                <w:color w:val="auto"/>
                <w:sz w:val="21"/>
              </w:rPr>
            </w:pPr>
            <w:r>
              <w:rPr>
                <w:rFonts w:hint="eastAsia" w:hAnsi="宋体" w:cs="宋体"/>
                <w:color w:val="auto"/>
                <w:sz w:val="21"/>
              </w:rPr>
              <w:t xml:space="preserve">                                    采购单位签章</w:t>
            </w:r>
          </w:p>
          <w:p w14:paraId="10154AC9">
            <w:pPr>
              <w:pStyle w:val="28"/>
              <w:spacing w:line="520" w:lineRule="exact"/>
              <w:rPr>
                <w:rFonts w:hAnsi="宋体" w:cs="宋体"/>
                <w:color w:val="auto"/>
                <w:sz w:val="21"/>
              </w:rPr>
            </w:pPr>
            <w:r>
              <w:rPr>
                <w:rFonts w:hint="eastAsia" w:hAnsi="宋体" w:cs="宋体"/>
                <w:color w:val="auto"/>
                <w:sz w:val="21"/>
              </w:rPr>
              <w:t xml:space="preserve">                                    年   月   日</w:t>
            </w:r>
          </w:p>
        </w:tc>
      </w:tr>
    </w:tbl>
    <w:p w14:paraId="0687CEB7">
      <w:pPr>
        <w:pStyle w:val="28"/>
        <w:spacing w:before="340" w:after="340" w:line="440" w:lineRule="exact"/>
        <w:jc w:val="center"/>
        <w:textAlignment w:val="center"/>
        <w:outlineLvl w:val="0"/>
        <w:rPr>
          <w:rFonts w:hAnsi="宋体" w:cs="宋体"/>
          <w:b/>
          <w:color w:val="auto"/>
          <w:sz w:val="32"/>
          <w:szCs w:val="32"/>
        </w:rPr>
      </w:pPr>
      <w:bookmarkStart w:id="70" w:name="_Toc21668"/>
      <w:r>
        <w:rPr>
          <w:rFonts w:hint="eastAsia" w:hAnsi="宋体" w:cs="宋体"/>
          <w:b/>
          <w:color w:val="auto"/>
          <w:sz w:val="32"/>
          <w:szCs w:val="32"/>
        </w:rPr>
        <w:t>第三章 采购需求</w:t>
      </w:r>
      <w:bookmarkEnd w:id="70"/>
    </w:p>
    <w:p w14:paraId="6D1F98D4">
      <w:pPr>
        <w:spacing w:line="440" w:lineRule="exact"/>
        <w:ind w:firstLine="422" w:firstLineChars="200"/>
        <w:jc w:val="left"/>
        <w:rPr>
          <w:rFonts w:ascii="宋体" w:hAnsi="宋体" w:cs="宋体"/>
          <w:b/>
          <w:bCs/>
          <w:color w:val="auto"/>
          <w:szCs w:val="21"/>
        </w:rPr>
      </w:pPr>
      <w:r>
        <w:rPr>
          <w:rFonts w:hint="eastAsia" w:ascii="宋体" w:hAnsi="宋体" w:cs="宋体"/>
          <w:b/>
          <w:bCs/>
          <w:color w:val="auto"/>
          <w:szCs w:val="21"/>
        </w:rPr>
        <w:t>说明：</w:t>
      </w:r>
    </w:p>
    <w:p w14:paraId="172373D0">
      <w:pPr>
        <w:spacing w:line="440" w:lineRule="exact"/>
        <w:ind w:firstLine="420" w:firstLineChars="200"/>
        <w:jc w:val="left"/>
        <w:rPr>
          <w:rFonts w:ascii="宋体" w:hAnsi="宋体" w:cs="宋体"/>
          <w:color w:val="auto"/>
        </w:rPr>
      </w:pPr>
      <w:r>
        <w:rPr>
          <w:rFonts w:hint="eastAsia" w:ascii="宋体" w:hAnsi="宋体" w:cs="宋体"/>
          <w:color w:val="auto"/>
        </w:rPr>
        <w:t>1. 为落实政府采购政策需满足的要求：</w:t>
      </w:r>
      <w:r>
        <w:rPr>
          <w:rFonts w:hint="eastAsia" w:ascii="宋体" w:hAnsi="宋体" w:cs="宋体"/>
          <w:color w:val="auto"/>
          <w:szCs w:val="21"/>
        </w:rPr>
        <w:t>本磋商文件所称中小企业必须符合《政府采购促进中小企业发展管理办法》（财库〔2020〕46号）的规定。</w:t>
      </w:r>
    </w:p>
    <w:p w14:paraId="2FEB075A">
      <w:pPr>
        <w:spacing w:line="440" w:lineRule="exact"/>
        <w:ind w:firstLine="424" w:firstLineChars="202"/>
        <w:jc w:val="left"/>
        <w:rPr>
          <w:rFonts w:ascii="宋体" w:hAnsi="宋体" w:cs="宋体"/>
          <w:color w:val="auto"/>
          <w:szCs w:val="21"/>
        </w:rPr>
      </w:pPr>
      <w:r>
        <w:rPr>
          <w:rFonts w:hint="eastAsia" w:ascii="宋体" w:hAnsi="宋体" w:cs="宋体"/>
          <w:color w:val="auto"/>
          <w:szCs w:val="21"/>
        </w:rPr>
        <w:t>2. “实质性要求”是指采购需求中带“▲”的条款或者不能负偏离的条款或者已经指明不满足按响应文件按无效处理的条款。</w:t>
      </w:r>
    </w:p>
    <w:p w14:paraId="3426A2EA">
      <w:pPr>
        <w:spacing w:line="440" w:lineRule="exact"/>
        <w:ind w:firstLine="424" w:firstLineChars="202"/>
        <w:jc w:val="left"/>
        <w:rPr>
          <w:rFonts w:ascii="宋体" w:hAnsi="宋体" w:cs="宋体"/>
          <w:bCs/>
          <w:color w:val="auto"/>
          <w:szCs w:val="21"/>
          <w:u w:val="single"/>
        </w:rPr>
      </w:pPr>
      <w:r>
        <w:rPr>
          <w:rFonts w:hint="eastAsia" w:ascii="宋体" w:hAnsi="宋体" w:cs="宋体"/>
          <w:color w:val="auto"/>
          <w:szCs w:val="21"/>
        </w:rPr>
        <w:t>3.</w:t>
      </w:r>
      <w:r>
        <w:rPr>
          <w:rFonts w:hint="eastAsia" w:ascii="宋体" w:hAnsi="宋体" w:cs="宋体"/>
          <w:color w:val="auto"/>
        </w:rPr>
        <w:t>供应商必须自行为其竞标产品侵犯他人的知识产权或者专利成果的行为承担相应法律责任。</w:t>
      </w:r>
    </w:p>
    <w:p w14:paraId="3F6C16FF">
      <w:pPr>
        <w:spacing w:line="440" w:lineRule="exact"/>
        <w:ind w:firstLine="310" w:firstLineChars="147"/>
        <w:jc w:val="left"/>
        <w:rPr>
          <w:rFonts w:ascii="宋体" w:hAnsi="宋体" w:cs="宋体"/>
          <w:bCs/>
          <w:color w:val="auto"/>
          <w:szCs w:val="21"/>
          <w:u w:val="single"/>
        </w:rPr>
      </w:pPr>
      <w:r>
        <w:rPr>
          <w:rFonts w:hint="eastAsia" w:ascii="宋体" w:hAnsi="宋体" w:cs="宋体"/>
          <w:b/>
          <w:color w:val="auto"/>
          <w:szCs w:val="21"/>
        </w:rPr>
        <w:t xml:space="preserve">  采购预算：2759519.00元</w:t>
      </w:r>
    </w:p>
    <w:p w14:paraId="37737292">
      <w:pPr>
        <w:spacing w:line="440" w:lineRule="exact"/>
        <w:ind w:firstLine="521" w:firstLineChars="247"/>
        <w:jc w:val="left"/>
        <w:rPr>
          <w:rFonts w:ascii="宋体" w:hAnsi="宋体" w:cs="宋体"/>
          <w:bCs/>
          <w:color w:val="auto"/>
          <w:szCs w:val="21"/>
          <w:u w:val="single"/>
        </w:rPr>
      </w:pPr>
      <w:r>
        <w:rPr>
          <w:rFonts w:hint="eastAsia" w:ascii="宋体" w:hAnsi="宋体" w:cs="宋体"/>
          <w:b/>
          <w:bCs/>
          <w:color w:val="auto"/>
          <w:szCs w:val="21"/>
        </w:rPr>
        <w:t>最高限价</w:t>
      </w:r>
      <w:r>
        <w:rPr>
          <w:rFonts w:hint="eastAsia" w:ascii="宋体" w:hAnsi="宋体" w:cs="宋体"/>
          <w:bCs/>
          <w:color w:val="auto"/>
          <w:szCs w:val="21"/>
        </w:rPr>
        <w:t>：</w:t>
      </w:r>
      <w:r>
        <w:rPr>
          <w:rFonts w:hint="eastAsia" w:ascii="宋体" w:hAnsi="宋体" w:cs="宋体"/>
          <w:b/>
          <w:color w:val="auto"/>
          <w:szCs w:val="21"/>
        </w:rPr>
        <w:t>2759519.00元</w:t>
      </w:r>
    </w:p>
    <w:tbl>
      <w:tblPr>
        <w:tblStyle w:val="47"/>
        <w:tblW w:w="89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3"/>
        <w:gridCol w:w="937"/>
        <w:gridCol w:w="1166"/>
        <w:gridCol w:w="870"/>
        <w:gridCol w:w="679"/>
        <w:gridCol w:w="4603"/>
      </w:tblGrid>
      <w:tr w14:paraId="3319E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3" w:type="dxa"/>
            <w:vAlign w:val="center"/>
          </w:tcPr>
          <w:p w14:paraId="12DCE9D4">
            <w:pPr>
              <w:tabs>
                <w:tab w:val="left" w:pos="180"/>
                <w:tab w:val="left" w:pos="1620"/>
              </w:tabs>
              <w:spacing w:line="440" w:lineRule="exact"/>
              <w:jc w:val="center"/>
              <w:rPr>
                <w:rFonts w:ascii="宋体" w:hAnsi="宋体" w:cs="宋体"/>
                <w:b/>
                <w:bCs/>
                <w:color w:val="auto"/>
                <w:szCs w:val="21"/>
              </w:rPr>
            </w:pPr>
            <w:r>
              <w:rPr>
                <w:rFonts w:hint="eastAsia" w:ascii="宋体" w:hAnsi="宋体" w:cs="宋体"/>
                <w:b/>
                <w:bCs/>
                <w:color w:val="auto"/>
                <w:szCs w:val="21"/>
              </w:rPr>
              <w:t>序号</w:t>
            </w:r>
          </w:p>
        </w:tc>
        <w:tc>
          <w:tcPr>
            <w:tcW w:w="2103" w:type="dxa"/>
            <w:gridSpan w:val="2"/>
            <w:vAlign w:val="center"/>
          </w:tcPr>
          <w:p w14:paraId="44471B3D">
            <w:pPr>
              <w:tabs>
                <w:tab w:val="left" w:pos="180"/>
                <w:tab w:val="left" w:pos="1620"/>
              </w:tabs>
              <w:spacing w:line="440" w:lineRule="exact"/>
              <w:jc w:val="center"/>
              <w:rPr>
                <w:rFonts w:ascii="宋体" w:hAnsi="宋体" w:cs="宋体"/>
                <w:b/>
                <w:bCs/>
                <w:color w:val="auto"/>
                <w:szCs w:val="21"/>
              </w:rPr>
            </w:pPr>
            <w:r>
              <w:rPr>
                <w:rFonts w:hint="eastAsia" w:ascii="宋体" w:hAnsi="宋体" w:cs="宋体"/>
                <w:b/>
                <w:bCs/>
                <w:color w:val="auto"/>
                <w:szCs w:val="21"/>
              </w:rPr>
              <w:t>标的的名称</w:t>
            </w:r>
          </w:p>
        </w:tc>
        <w:tc>
          <w:tcPr>
            <w:tcW w:w="870" w:type="dxa"/>
            <w:vAlign w:val="center"/>
          </w:tcPr>
          <w:p w14:paraId="766284C2">
            <w:pPr>
              <w:tabs>
                <w:tab w:val="left" w:pos="180"/>
                <w:tab w:val="left" w:pos="1620"/>
              </w:tabs>
              <w:spacing w:line="440" w:lineRule="exact"/>
              <w:jc w:val="center"/>
              <w:rPr>
                <w:rFonts w:ascii="宋体" w:hAnsi="宋体" w:cs="宋体"/>
                <w:b/>
                <w:bCs/>
                <w:color w:val="auto"/>
                <w:szCs w:val="21"/>
              </w:rPr>
            </w:pPr>
            <w:r>
              <w:rPr>
                <w:rFonts w:hint="eastAsia" w:ascii="宋体" w:hAnsi="宋体" w:cs="宋体"/>
                <w:b/>
                <w:bCs/>
                <w:color w:val="auto"/>
                <w:szCs w:val="21"/>
              </w:rPr>
              <w:t>数量及单位</w:t>
            </w:r>
          </w:p>
        </w:tc>
        <w:tc>
          <w:tcPr>
            <w:tcW w:w="679" w:type="dxa"/>
            <w:vAlign w:val="center"/>
          </w:tcPr>
          <w:p w14:paraId="38FD4EEA">
            <w:pPr>
              <w:tabs>
                <w:tab w:val="left" w:pos="180"/>
                <w:tab w:val="left" w:pos="1620"/>
              </w:tabs>
              <w:spacing w:line="440" w:lineRule="exact"/>
              <w:jc w:val="center"/>
              <w:rPr>
                <w:rFonts w:ascii="宋体" w:hAnsi="宋体" w:cs="宋体"/>
                <w:b/>
                <w:bCs/>
                <w:color w:val="auto"/>
                <w:szCs w:val="21"/>
              </w:rPr>
            </w:pPr>
            <w:r>
              <w:rPr>
                <w:rFonts w:hint="eastAsia" w:ascii="宋体" w:hAnsi="宋体" w:cs="宋体"/>
                <w:b/>
                <w:bCs/>
                <w:color w:val="auto"/>
                <w:szCs w:val="21"/>
              </w:rPr>
              <w:t>所属行业</w:t>
            </w:r>
          </w:p>
        </w:tc>
        <w:tc>
          <w:tcPr>
            <w:tcW w:w="4603" w:type="dxa"/>
            <w:vAlign w:val="center"/>
          </w:tcPr>
          <w:p w14:paraId="60D5A549">
            <w:pPr>
              <w:tabs>
                <w:tab w:val="left" w:pos="180"/>
                <w:tab w:val="left" w:pos="1620"/>
              </w:tabs>
              <w:spacing w:line="440" w:lineRule="exact"/>
              <w:jc w:val="center"/>
              <w:rPr>
                <w:rFonts w:ascii="宋体" w:hAnsi="宋体" w:cs="宋体"/>
                <w:b/>
                <w:bCs/>
                <w:color w:val="auto"/>
                <w:szCs w:val="21"/>
              </w:rPr>
            </w:pPr>
            <w:r>
              <w:rPr>
                <w:rFonts w:hint="eastAsia" w:ascii="宋体" w:hAnsi="宋体" w:cs="宋体"/>
                <w:b/>
                <w:bCs/>
                <w:color w:val="auto"/>
                <w:szCs w:val="21"/>
              </w:rPr>
              <w:t>技术要求</w:t>
            </w:r>
          </w:p>
        </w:tc>
      </w:tr>
      <w:tr w14:paraId="38750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8" w:hRule="atLeast"/>
          <w:jc w:val="center"/>
        </w:trPr>
        <w:tc>
          <w:tcPr>
            <w:tcW w:w="663" w:type="dxa"/>
            <w:vAlign w:val="center"/>
          </w:tcPr>
          <w:p w14:paraId="32367F38">
            <w:pPr>
              <w:tabs>
                <w:tab w:val="left" w:pos="180"/>
                <w:tab w:val="left" w:pos="1620"/>
              </w:tabs>
              <w:spacing w:line="440" w:lineRule="exact"/>
              <w:jc w:val="center"/>
              <w:rPr>
                <w:rFonts w:ascii="宋体" w:hAnsi="宋体" w:cs="宋体"/>
                <w:color w:val="auto"/>
                <w:szCs w:val="21"/>
              </w:rPr>
            </w:pPr>
            <w:r>
              <w:rPr>
                <w:rFonts w:hint="eastAsia" w:ascii="宋体" w:hAnsi="宋体" w:cs="宋体"/>
                <w:color w:val="auto"/>
                <w:szCs w:val="21"/>
              </w:rPr>
              <w:t>1</w:t>
            </w:r>
          </w:p>
        </w:tc>
        <w:tc>
          <w:tcPr>
            <w:tcW w:w="2103" w:type="dxa"/>
            <w:gridSpan w:val="2"/>
            <w:shd w:val="clear" w:color="auto" w:fill="auto"/>
            <w:vAlign w:val="center"/>
          </w:tcPr>
          <w:p w14:paraId="6E8F3F7B">
            <w:pPr>
              <w:tabs>
                <w:tab w:val="left" w:pos="180"/>
                <w:tab w:val="left" w:pos="1620"/>
              </w:tabs>
              <w:spacing w:line="440" w:lineRule="exact"/>
              <w:jc w:val="left"/>
              <w:rPr>
                <w:rFonts w:ascii="宋体" w:hAnsi="宋体" w:cs="宋体"/>
                <w:color w:val="auto"/>
                <w:szCs w:val="21"/>
              </w:rPr>
            </w:pPr>
            <w:r>
              <w:rPr>
                <w:rFonts w:hint="eastAsia" w:ascii="宋体" w:hAnsi="宋体" w:cs="宋体"/>
                <w:color w:val="auto"/>
                <w:szCs w:val="21"/>
              </w:rPr>
              <w:t>广西壮族自治区钦州钦北公路养护中心2026年普通国省干线公路安全设施精细化提升工程（G210满都拉至防城港K3543+900～K3552+678段）</w:t>
            </w:r>
          </w:p>
        </w:tc>
        <w:tc>
          <w:tcPr>
            <w:tcW w:w="870" w:type="dxa"/>
            <w:shd w:val="clear" w:color="auto" w:fill="auto"/>
            <w:vAlign w:val="center"/>
          </w:tcPr>
          <w:p w14:paraId="48635E6F">
            <w:pPr>
              <w:tabs>
                <w:tab w:val="left" w:pos="180"/>
                <w:tab w:val="left" w:pos="1620"/>
              </w:tabs>
              <w:spacing w:line="440" w:lineRule="exact"/>
              <w:jc w:val="center"/>
              <w:rPr>
                <w:rFonts w:ascii="宋体" w:hAnsi="宋体" w:cs="宋体"/>
                <w:color w:val="auto"/>
                <w:szCs w:val="21"/>
              </w:rPr>
            </w:pPr>
            <w:r>
              <w:rPr>
                <w:rFonts w:hint="eastAsia" w:ascii="宋体" w:hAnsi="宋体" w:cs="宋体"/>
                <w:color w:val="auto"/>
                <w:szCs w:val="21"/>
              </w:rPr>
              <w:t>1项</w:t>
            </w:r>
          </w:p>
        </w:tc>
        <w:tc>
          <w:tcPr>
            <w:tcW w:w="679" w:type="dxa"/>
            <w:shd w:val="clear" w:color="auto" w:fill="auto"/>
            <w:vAlign w:val="center"/>
          </w:tcPr>
          <w:p w14:paraId="1CEAA4A0">
            <w:pPr>
              <w:tabs>
                <w:tab w:val="left" w:pos="180"/>
                <w:tab w:val="left" w:pos="1620"/>
              </w:tabs>
              <w:spacing w:line="440" w:lineRule="exact"/>
              <w:jc w:val="center"/>
              <w:rPr>
                <w:rFonts w:ascii="宋体" w:hAnsi="宋体" w:cs="宋体"/>
                <w:color w:val="auto"/>
                <w:szCs w:val="21"/>
              </w:rPr>
            </w:pPr>
            <w:r>
              <w:rPr>
                <w:rFonts w:hint="eastAsia" w:ascii="宋体" w:hAnsi="宋体" w:cs="宋体"/>
                <w:color w:val="auto"/>
                <w:szCs w:val="21"/>
              </w:rPr>
              <w:t>建筑业</w:t>
            </w:r>
          </w:p>
        </w:tc>
        <w:tc>
          <w:tcPr>
            <w:tcW w:w="4603" w:type="dxa"/>
            <w:shd w:val="clear" w:color="auto" w:fill="auto"/>
            <w:vAlign w:val="center"/>
          </w:tcPr>
          <w:p w14:paraId="5CF1E072">
            <w:pPr>
              <w:pStyle w:val="198"/>
              <w:wordWrap w:val="0"/>
              <w:spacing w:line="440" w:lineRule="exact"/>
              <w:ind w:firstLine="0" w:firstLineChars="0"/>
              <w:jc w:val="left"/>
              <w:rPr>
                <w:rFonts w:ascii="宋体" w:hAnsi="宋体" w:cs="宋体"/>
                <w:b/>
                <w:bCs/>
                <w:color w:val="auto"/>
                <w:szCs w:val="21"/>
              </w:rPr>
            </w:pPr>
            <w:r>
              <w:rPr>
                <w:rFonts w:hint="eastAsia" w:ascii="宋体" w:hAnsi="宋体" w:cs="宋体"/>
                <w:b/>
                <w:bCs/>
                <w:color w:val="auto"/>
                <w:szCs w:val="21"/>
              </w:rPr>
              <w:t>一、建设规模及技术标准</w:t>
            </w:r>
          </w:p>
          <w:p w14:paraId="6C1B7460">
            <w:pPr>
              <w:pStyle w:val="198"/>
              <w:wordWrap w:val="0"/>
              <w:spacing w:line="440" w:lineRule="exact"/>
              <w:ind w:firstLine="0" w:firstLineChars="0"/>
              <w:jc w:val="left"/>
              <w:rPr>
                <w:rFonts w:ascii="宋体" w:hAnsi="宋体" w:cs="宋体"/>
                <w:color w:val="auto"/>
                <w:szCs w:val="21"/>
              </w:rPr>
            </w:pPr>
            <w:r>
              <w:rPr>
                <w:rFonts w:hint="eastAsia" w:ascii="宋体" w:hAnsi="宋体" w:cs="宋体"/>
                <w:b/>
                <w:bCs/>
                <w:color w:val="auto"/>
                <w:szCs w:val="21"/>
              </w:rPr>
              <w:t>(一)建设规模：</w:t>
            </w:r>
            <w:r>
              <w:rPr>
                <w:rFonts w:hint="eastAsia" w:ascii="宋体" w:hAnsi="宋体" w:cs="宋体"/>
                <w:color w:val="auto"/>
                <w:szCs w:val="21"/>
              </w:rPr>
              <w:t>本项目起点K3543+900位于钦州市钦北区大直镇G210与桃源路十字路口附近终点K3552+678 位于那他村至山松村之间，道路总长8.778Km ，道路路面为沥青混凝土路面。G210 满都拉至防城港K3543+900~K3552+678 段，主要内容包括平交路口提升、完善平面交叉路口，弯道改善以及沿线交安设施。</w:t>
            </w:r>
          </w:p>
          <w:p w14:paraId="3FA19CFF">
            <w:pPr>
              <w:pStyle w:val="198"/>
              <w:wordWrap w:val="0"/>
              <w:spacing w:line="440" w:lineRule="exact"/>
              <w:ind w:firstLine="0" w:firstLineChars="0"/>
              <w:jc w:val="left"/>
              <w:rPr>
                <w:rFonts w:ascii="宋体" w:hAnsi="宋体" w:cs="宋体"/>
                <w:color w:val="auto"/>
                <w:szCs w:val="21"/>
              </w:rPr>
            </w:pPr>
            <w:r>
              <w:rPr>
                <w:rFonts w:hint="eastAsia" w:ascii="宋体" w:hAnsi="宋体" w:cs="宋体"/>
                <w:b/>
                <w:bCs/>
                <w:color w:val="auto"/>
                <w:szCs w:val="21"/>
              </w:rPr>
              <w:t>(二)技术标准：</w:t>
            </w:r>
            <w:r>
              <w:rPr>
                <w:rFonts w:hint="eastAsia" w:ascii="宋体" w:hAnsi="宋体" w:cs="宋体"/>
                <w:color w:val="auto"/>
                <w:szCs w:val="21"/>
              </w:rPr>
              <w:t>项目按原二级公路标准进行建设，路基宽 12 米，路面宽 9 米。设计速度60km/h。</w:t>
            </w:r>
          </w:p>
          <w:p w14:paraId="1B325840">
            <w:pPr>
              <w:pStyle w:val="198"/>
              <w:wordWrap w:val="0"/>
              <w:spacing w:line="440" w:lineRule="exact"/>
              <w:ind w:firstLine="0" w:firstLineChars="0"/>
              <w:jc w:val="left"/>
              <w:rPr>
                <w:rFonts w:ascii="宋体" w:hAnsi="宋体" w:cs="宋体"/>
                <w:b/>
                <w:bCs/>
                <w:color w:val="auto"/>
                <w:szCs w:val="21"/>
              </w:rPr>
            </w:pPr>
            <w:r>
              <w:rPr>
                <w:rFonts w:hint="eastAsia" w:ascii="宋体" w:hAnsi="宋体" w:cs="宋体"/>
                <w:b/>
                <w:bCs/>
                <w:color w:val="auto"/>
                <w:szCs w:val="21"/>
              </w:rPr>
              <w:t>二、采购范围</w:t>
            </w:r>
          </w:p>
          <w:p w14:paraId="6B530043">
            <w:pPr>
              <w:pStyle w:val="198"/>
              <w:wordWrap w:val="0"/>
              <w:spacing w:line="440" w:lineRule="exact"/>
              <w:ind w:firstLine="0" w:firstLineChars="0"/>
              <w:jc w:val="left"/>
              <w:rPr>
                <w:rFonts w:ascii="宋体" w:hAnsi="宋体" w:cs="宋体"/>
                <w:color w:val="auto"/>
                <w:szCs w:val="21"/>
              </w:rPr>
            </w:pPr>
            <w:r>
              <w:rPr>
                <w:rFonts w:hint="eastAsia" w:ascii="宋体" w:hAnsi="宋体" w:cs="宋体"/>
                <w:color w:val="auto"/>
                <w:szCs w:val="21"/>
              </w:rPr>
              <w:t>2026年普通国省干线公路安全设施精细化提升工程(G210满都拉至防城港K3543+900~K3552+678段)施工，包括平交路口提升、完善平面交叉路口，弯道改善以及沿线交安设施。具体以图纸和工程量清单为准。</w:t>
            </w:r>
          </w:p>
          <w:p w14:paraId="4594C0DE">
            <w:pPr>
              <w:pStyle w:val="198"/>
              <w:wordWrap w:val="0"/>
              <w:spacing w:line="440" w:lineRule="exact"/>
              <w:ind w:firstLine="0" w:firstLineChars="0"/>
              <w:jc w:val="left"/>
              <w:rPr>
                <w:rFonts w:ascii="宋体" w:hAnsi="宋体" w:cs="宋体"/>
                <w:color w:val="auto"/>
                <w:szCs w:val="21"/>
              </w:rPr>
            </w:pPr>
            <w:r>
              <w:rPr>
                <w:rFonts w:hint="eastAsia" w:ascii="宋体" w:hAnsi="宋体" w:cs="宋体"/>
                <w:b/>
                <w:bCs/>
                <w:color w:val="auto"/>
                <w:szCs w:val="21"/>
              </w:rPr>
              <w:t>三、主要工程量（具体详见工程量清单及图纸包含的所有内容）：</w:t>
            </w:r>
            <w:r>
              <w:rPr>
                <w:rFonts w:hint="eastAsia" w:ascii="宋体" w:hAnsi="宋体" w:cs="宋体"/>
                <w:color w:val="auto"/>
                <w:szCs w:val="21"/>
              </w:rPr>
              <w:t>平面交叉20处，C25混凝土边沟(含拆除)60m³,C20混凝土挡土墙190.4m³,C25混凝土路肩墙75m³,18cm大粒径碎石垫层873㎡,20cm级配大粒径碎石底基层873㎡,20cm掺2.5%水泥改善大粒径级配碎石基层873㎡,1.5cm同步沥青碎石封层(含碎石加热，除尘)873㎡，粘层873㎡,5cm AC-20沥青混凝土下面层873㎡,4cm AC-16沥青混凝土上面层873㎡，混凝土路侧防撞墙592m,A级波形钢护栏3288m，标志牌124套，热熔反光涂料路面标线1724.22㎡，热熔反光涂料减速震动标线631.8㎡,附着式轮廓标227块。</w:t>
            </w:r>
          </w:p>
          <w:p w14:paraId="1CDCD120">
            <w:pPr>
              <w:snapToGrid w:val="0"/>
              <w:spacing w:line="440" w:lineRule="exact"/>
              <w:rPr>
                <w:rFonts w:ascii="宋体" w:hAnsi="宋体" w:cs="宋体"/>
                <w:color w:val="auto"/>
                <w:szCs w:val="21"/>
              </w:rPr>
            </w:pPr>
            <w:r>
              <w:rPr>
                <w:rFonts w:hint="eastAsia" w:ascii="宋体" w:hAnsi="宋体" w:cs="宋体"/>
                <w:b/>
                <w:bCs/>
                <w:color w:val="auto"/>
                <w:szCs w:val="21"/>
              </w:rPr>
              <w:t>四、技术标准和要求：</w:t>
            </w:r>
            <w:r>
              <w:rPr>
                <w:rFonts w:hint="eastAsia" w:ascii="宋体" w:hAnsi="宋体" w:cs="宋体"/>
                <w:color w:val="auto"/>
                <w:szCs w:val="21"/>
              </w:rPr>
              <w:t>符合国家现行的工程建设标准、技术规范及强制性标准条文，以及施工图纸载明的其他有关规范标准。</w:t>
            </w:r>
          </w:p>
          <w:p w14:paraId="646CDE4F">
            <w:pPr>
              <w:pStyle w:val="17"/>
              <w:spacing w:line="440" w:lineRule="exact"/>
              <w:rPr>
                <w:rFonts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五、质量标准：</w:t>
            </w:r>
            <w:r>
              <w:rPr>
                <w:rFonts w:hint="eastAsia" w:ascii="宋体" w:hAnsi="宋体" w:eastAsia="宋体" w:cs="宋体"/>
                <w:color w:val="auto"/>
                <w:sz w:val="21"/>
                <w:szCs w:val="21"/>
                <w:lang w:eastAsia="zh-CN"/>
              </w:rPr>
              <w:t>交工验收达合格标准，竣工验收达优良标准。</w:t>
            </w:r>
          </w:p>
          <w:p w14:paraId="7405179D">
            <w:pPr>
              <w:pStyle w:val="17"/>
              <w:spacing w:line="440" w:lineRule="exact"/>
              <w:rPr>
                <w:rFonts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六、工程安全目标：</w:t>
            </w:r>
            <w:r>
              <w:rPr>
                <w:rFonts w:hint="eastAsia" w:ascii="宋体" w:hAnsi="宋体" w:eastAsia="宋体" w:cs="宋体"/>
                <w:color w:val="auto"/>
                <w:sz w:val="21"/>
                <w:szCs w:val="21"/>
                <w:lang w:eastAsia="zh-CN"/>
              </w:rPr>
              <w:t>无生产安全责任事故。</w:t>
            </w:r>
          </w:p>
          <w:p w14:paraId="2876ADC6">
            <w:pPr>
              <w:pStyle w:val="17"/>
              <w:spacing w:line="440" w:lineRule="exact"/>
              <w:rPr>
                <w:rFonts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七、承包类型：</w:t>
            </w:r>
            <w:r>
              <w:rPr>
                <w:rFonts w:hint="eastAsia" w:ascii="宋体" w:hAnsi="宋体" w:eastAsia="宋体" w:cs="宋体"/>
                <w:color w:val="auto"/>
                <w:sz w:val="21"/>
                <w:szCs w:val="21"/>
                <w:lang w:eastAsia="zh-CN"/>
              </w:rPr>
              <w:t>包工包料。</w:t>
            </w:r>
          </w:p>
          <w:p w14:paraId="1EE92A1D">
            <w:pPr>
              <w:pStyle w:val="280"/>
              <w:spacing w:before="1" w:line="440" w:lineRule="exact"/>
              <w:jc w:val="left"/>
              <w:rPr>
                <w:b/>
                <w:bCs/>
                <w:color w:val="auto"/>
                <w:sz w:val="21"/>
                <w:szCs w:val="21"/>
                <w:lang w:eastAsia="zh-CN"/>
              </w:rPr>
            </w:pPr>
            <w:r>
              <w:rPr>
                <w:rFonts w:hint="eastAsia"/>
                <w:b/>
                <w:bCs/>
                <w:color w:val="auto"/>
                <w:sz w:val="21"/>
                <w:szCs w:val="21"/>
                <w:lang w:eastAsia="zh-CN"/>
              </w:rPr>
              <w:t>八、承包方式：</w:t>
            </w:r>
            <w:r>
              <w:rPr>
                <w:rFonts w:hint="eastAsia"/>
                <w:color w:val="auto"/>
                <w:sz w:val="21"/>
                <w:szCs w:val="21"/>
                <w:lang w:eastAsia="zh-CN"/>
              </w:rPr>
              <w:t>本合同价款采用综合单价固定，按实际工程量结算。</w:t>
            </w:r>
          </w:p>
          <w:p w14:paraId="32255595">
            <w:pPr>
              <w:pStyle w:val="17"/>
              <w:spacing w:line="440" w:lineRule="exact"/>
              <w:rPr>
                <w:rFonts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九、开工日期：</w:t>
            </w:r>
            <w:r>
              <w:rPr>
                <w:rFonts w:hint="eastAsia" w:ascii="宋体" w:hAnsi="宋体" w:eastAsia="宋体" w:cs="宋体"/>
                <w:color w:val="auto"/>
                <w:sz w:val="21"/>
                <w:szCs w:val="21"/>
                <w:lang w:eastAsia="zh-CN"/>
              </w:rPr>
              <w:t>以签订合同后监理人下达开工令之日起。</w:t>
            </w:r>
          </w:p>
          <w:p w14:paraId="662E63A7">
            <w:pPr>
              <w:spacing w:line="440" w:lineRule="exact"/>
              <w:rPr>
                <w:rFonts w:ascii="宋体" w:hAnsi="宋体" w:cs="宋体"/>
                <w:color w:val="auto"/>
                <w:szCs w:val="21"/>
              </w:rPr>
            </w:pPr>
            <w:r>
              <w:rPr>
                <w:rFonts w:hint="eastAsia" w:ascii="宋体" w:hAnsi="宋体" w:cs="宋体"/>
                <w:b/>
                <w:bCs/>
                <w:color w:val="auto"/>
                <w:kern w:val="0"/>
                <w:szCs w:val="21"/>
                <w:lang w:bidi="en-US"/>
              </w:rPr>
              <w:t>十、工程量清单计量规则：</w:t>
            </w:r>
            <w:r>
              <w:rPr>
                <w:rFonts w:hint="eastAsia" w:ascii="宋体" w:hAnsi="宋体" w:cs="宋体"/>
                <w:color w:val="auto"/>
                <w:szCs w:val="21"/>
              </w:rPr>
              <w:t>工程量清单计量规则采用中华人民共和国交通运输部的工程量清单计量规则。</w:t>
            </w:r>
          </w:p>
        </w:tc>
      </w:tr>
      <w:tr w14:paraId="0AB51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18" w:type="dxa"/>
            <w:gridSpan w:val="6"/>
            <w:tcBorders>
              <w:top w:val="single" w:color="auto" w:sz="4" w:space="0"/>
              <w:left w:val="single" w:color="auto" w:sz="4" w:space="0"/>
              <w:bottom w:val="single" w:color="auto" w:sz="4" w:space="0"/>
              <w:right w:val="single" w:color="auto" w:sz="4" w:space="0"/>
            </w:tcBorders>
            <w:shd w:val="clear" w:color="auto" w:fill="auto"/>
          </w:tcPr>
          <w:p w14:paraId="59D481AD">
            <w:pPr>
              <w:spacing w:line="440" w:lineRule="exact"/>
              <w:rPr>
                <w:rFonts w:ascii="宋体" w:hAnsi="宋体" w:cs="宋体"/>
                <w:color w:val="auto"/>
                <w:szCs w:val="21"/>
              </w:rPr>
            </w:pPr>
            <w:r>
              <w:rPr>
                <w:rFonts w:hint="eastAsia" w:ascii="宋体" w:hAnsi="宋体" w:cs="宋体"/>
                <w:b/>
                <w:color w:val="auto"/>
                <w:szCs w:val="21"/>
              </w:rPr>
              <w:t>商务要求</w:t>
            </w:r>
          </w:p>
        </w:tc>
      </w:tr>
      <w:tr w14:paraId="171F8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00" w:type="dxa"/>
            <w:gridSpan w:val="2"/>
            <w:tcBorders>
              <w:top w:val="single" w:color="auto" w:sz="4" w:space="0"/>
              <w:left w:val="single" w:color="auto" w:sz="4" w:space="0"/>
              <w:bottom w:val="single" w:color="auto" w:sz="4" w:space="0"/>
              <w:right w:val="single" w:color="auto" w:sz="4" w:space="0"/>
            </w:tcBorders>
            <w:vAlign w:val="center"/>
          </w:tcPr>
          <w:p w14:paraId="725E48E2">
            <w:pPr>
              <w:spacing w:line="440" w:lineRule="exact"/>
              <w:rPr>
                <w:rFonts w:ascii="宋体" w:hAnsi="宋体" w:cs="宋体"/>
                <w:b/>
                <w:color w:val="auto"/>
                <w:szCs w:val="21"/>
              </w:rPr>
            </w:pPr>
            <w:r>
              <w:rPr>
                <w:rFonts w:hint="eastAsia" w:ascii="宋体" w:hAnsi="宋体" w:cs="宋体"/>
                <w:color w:val="auto"/>
                <w:szCs w:val="21"/>
              </w:rPr>
              <w:t>计划工期</w:t>
            </w:r>
          </w:p>
        </w:tc>
        <w:tc>
          <w:tcPr>
            <w:tcW w:w="731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001680B">
            <w:pPr>
              <w:spacing w:line="440" w:lineRule="exact"/>
              <w:rPr>
                <w:rFonts w:ascii="宋体" w:hAnsi="宋体" w:cs="宋体"/>
                <w:color w:val="auto"/>
                <w:lang w:val="zh-CN"/>
              </w:rPr>
            </w:pPr>
            <w:r>
              <w:rPr>
                <w:rFonts w:hint="eastAsia" w:ascii="宋体" w:hAnsi="宋体" w:cs="宋体"/>
                <w:color w:val="auto"/>
                <w:szCs w:val="21"/>
              </w:rPr>
              <w:t>自签订合同之日起至工程质量保修期结束（其中工期90日历天）。</w:t>
            </w:r>
          </w:p>
        </w:tc>
      </w:tr>
      <w:tr w14:paraId="430BAD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00" w:type="dxa"/>
            <w:gridSpan w:val="2"/>
            <w:tcBorders>
              <w:top w:val="single" w:color="auto" w:sz="4" w:space="0"/>
              <w:left w:val="single" w:color="auto" w:sz="4" w:space="0"/>
              <w:bottom w:val="single" w:color="auto" w:sz="4" w:space="0"/>
              <w:right w:val="single" w:color="auto" w:sz="4" w:space="0"/>
            </w:tcBorders>
            <w:vAlign w:val="center"/>
          </w:tcPr>
          <w:p w14:paraId="029C121E">
            <w:pPr>
              <w:spacing w:line="440" w:lineRule="exact"/>
              <w:rPr>
                <w:rFonts w:ascii="宋体" w:hAnsi="宋体" w:cs="宋体"/>
                <w:color w:val="auto"/>
                <w:szCs w:val="21"/>
              </w:rPr>
            </w:pPr>
            <w:r>
              <w:rPr>
                <w:rFonts w:hint="eastAsia" w:ascii="宋体" w:hAnsi="宋体" w:cs="宋体"/>
                <w:color w:val="auto"/>
                <w:szCs w:val="21"/>
                <w:lang w:val="zh-CN" w:eastAsia="en-US"/>
              </w:rPr>
              <w:t>缺陷责任期</w:t>
            </w:r>
          </w:p>
        </w:tc>
        <w:tc>
          <w:tcPr>
            <w:tcW w:w="731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0191DA">
            <w:pPr>
              <w:spacing w:line="440" w:lineRule="exact"/>
              <w:rPr>
                <w:rFonts w:ascii="宋体" w:hAnsi="宋体" w:cs="宋体"/>
                <w:color w:val="auto"/>
              </w:rPr>
            </w:pPr>
            <w:r>
              <w:rPr>
                <w:rFonts w:hint="eastAsia" w:ascii="宋体" w:hAnsi="宋体" w:cs="宋体"/>
                <w:color w:val="auto"/>
                <w:kern w:val="0"/>
                <w:sz w:val="24"/>
                <w:lang w:val="zh-CN" w:bidi="zh-CN"/>
              </w:rPr>
              <w:t>自实</w:t>
            </w:r>
            <w:r>
              <w:rPr>
                <w:rFonts w:hint="eastAsia" w:ascii="宋体" w:hAnsi="宋体" w:cs="宋体"/>
                <w:color w:val="auto"/>
                <w:spacing w:val="-3"/>
                <w:kern w:val="0"/>
                <w:sz w:val="24"/>
                <w:lang w:val="zh-CN" w:bidi="zh-CN"/>
              </w:rPr>
              <w:t>际</w:t>
            </w:r>
            <w:r>
              <w:rPr>
                <w:rFonts w:hint="eastAsia" w:ascii="宋体" w:hAnsi="宋体" w:cs="宋体"/>
                <w:color w:val="auto"/>
                <w:kern w:val="0"/>
                <w:sz w:val="24"/>
                <w:lang w:val="zh-CN" w:bidi="zh-CN"/>
              </w:rPr>
              <w:t>交</w:t>
            </w:r>
            <w:r>
              <w:rPr>
                <w:rFonts w:hint="eastAsia" w:ascii="宋体" w:hAnsi="宋体" w:cs="宋体"/>
                <w:color w:val="auto"/>
                <w:spacing w:val="-3"/>
                <w:kern w:val="0"/>
                <w:sz w:val="24"/>
                <w:lang w:val="zh-CN" w:bidi="zh-CN"/>
              </w:rPr>
              <w:t>工</w:t>
            </w:r>
            <w:r>
              <w:rPr>
                <w:rFonts w:hint="eastAsia" w:ascii="宋体" w:hAnsi="宋体" w:cs="宋体"/>
                <w:color w:val="auto"/>
                <w:kern w:val="0"/>
                <w:sz w:val="24"/>
                <w:lang w:val="zh-CN" w:bidi="zh-CN"/>
              </w:rPr>
              <w:t>日</w:t>
            </w:r>
            <w:r>
              <w:rPr>
                <w:rFonts w:hint="eastAsia" w:ascii="宋体" w:hAnsi="宋体" w:cs="宋体"/>
                <w:color w:val="auto"/>
                <w:spacing w:val="-3"/>
                <w:kern w:val="0"/>
                <w:sz w:val="24"/>
                <w:lang w:val="zh-CN" w:bidi="zh-CN"/>
              </w:rPr>
              <w:t>期</w:t>
            </w:r>
            <w:r>
              <w:rPr>
                <w:rFonts w:hint="eastAsia" w:ascii="宋体" w:hAnsi="宋体" w:cs="宋体"/>
                <w:color w:val="auto"/>
                <w:kern w:val="0"/>
                <w:sz w:val="24"/>
                <w:lang w:val="zh-CN" w:bidi="zh-CN"/>
              </w:rPr>
              <w:t>起</w:t>
            </w:r>
            <w:r>
              <w:rPr>
                <w:rFonts w:hint="eastAsia" w:ascii="宋体" w:hAnsi="宋体" w:cs="宋体"/>
                <w:color w:val="auto"/>
                <w:spacing w:val="-3"/>
                <w:kern w:val="0"/>
                <w:sz w:val="24"/>
                <w:lang w:val="zh-CN" w:bidi="zh-CN"/>
              </w:rPr>
              <w:t>计</w:t>
            </w:r>
            <w:r>
              <w:rPr>
                <w:rFonts w:hint="eastAsia" w:ascii="宋体" w:hAnsi="宋体" w:cs="宋体"/>
                <w:color w:val="auto"/>
                <w:kern w:val="0"/>
                <w:sz w:val="24"/>
                <w:lang w:val="zh-CN" w:bidi="zh-CN"/>
              </w:rPr>
              <w:t>算</w:t>
            </w:r>
            <w:r>
              <w:rPr>
                <w:rFonts w:hint="eastAsia" w:ascii="宋体" w:hAnsi="宋体" w:cs="宋体"/>
                <w:color w:val="auto"/>
                <w:kern w:val="0"/>
                <w:sz w:val="24"/>
                <w:lang w:bidi="zh-CN"/>
              </w:rPr>
              <w:t>1年。</w:t>
            </w:r>
          </w:p>
        </w:tc>
      </w:tr>
      <w:tr w14:paraId="6DA2D1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00" w:type="dxa"/>
            <w:gridSpan w:val="2"/>
            <w:tcBorders>
              <w:top w:val="single" w:color="auto" w:sz="4" w:space="0"/>
              <w:left w:val="single" w:color="auto" w:sz="4" w:space="0"/>
              <w:bottom w:val="single" w:color="auto" w:sz="4" w:space="0"/>
              <w:right w:val="single" w:color="auto" w:sz="4" w:space="0"/>
            </w:tcBorders>
            <w:vAlign w:val="center"/>
          </w:tcPr>
          <w:p w14:paraId="22532535">
            <w:pPr>
              <w:spacing w:line="440" w:lineRule="exact"/>
              <w:rPr>
                <w:rFonts w:ascii="宋体" w:hAnsi="宋体" w:cs="宋体"/>
                <w:color w:val="auto"/>
                <w:szCs w:val="21"/>
              </w:rPr>
            </w:pPr>
            <w:r>
              <w:rPr>
                <w:rFonts w:hint="eastAsia" w:ascii="宋体" w:hAnsi="宋体" w:cs="宋体"/>
                <w:color w:val="auto"/>
                <w:szCs w:val="21"/>
                <w:lang w:val="zh-CN" w:eastAsia="en-US"/>
              </w:rPr>
              <w:t>保修期</w:t>
            </w:r>
          </w:p>
        </w:tc>
        <w:tc>
          <w:tcPr>
            <w:tcW w:w="731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40FE5C7">
            <w:pPr>
              <w:spacing w:line="440" w:lineRule="exact"/>
              <w:rPr>
                <w:rFonts w:ascii="宋体" w:hAnsi="宋体" w:cs="宋体"/>
                <w:color w:val="auto"/>
                <w:lang w:val="zh-CN"/>
              </w:rPr>
            </w:pPr>
            <w:r>
              <w:rPr>
                <w:rFonts w:hint="eastAsia" w:ascii="宋体" w:hAnsi="宋体" w:cs="宋体"/>
                <w:color w:val="auto"/>
                <w:lang w:val="zh-CN"/>
              </w:rPr>
              <w:t>自实际竣工日期起计算</w:t>
            </w:r>
            <w:r>
              <w:rPr>
                <w:rFonts w:hint="eastAsia" w:ascii="宋体" w:hAnsi="宋体" w:cs="宋体"/>
                <w:color w:val="auto"/>
              </w:rPr>
              <w:t>5</w:t>
            </w:r>
            <w:r>
              <w:rPr>
                <w:rFonts w:hint="eastAsia" w:ascii="宋体" w:hAnsi="宋体" w:cs="宋体"/>
                <w:color w:val="auto"/>
                <w:lang w:val="zh-CN"/>
              </w:rPr>
              <w:t>年。</w:t>
            </w:r>
          </w:p>
        </w:tc>
      </w:tr>
      <w:tr w14:paraId="5DA87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00" w:type="dxa"/>
            <w:gridSpan w:val="2"/>
            <w:tcBorders>
              <w:top w:val="single" w:color="auto" w:sz="4" w:space="0"/>
              <w:left w:val="single" w:color="auto" w:sz="4" w:space="0"/>
              <w:bottom w:val="single" w:color="auto" w:sz="4" w:space="0"/>
              <w:right w:val="single" w:color="auto" w:sz="4" w:space="0"/>
            </w:tcBorders>
            <w:vAlign w:val="center"/>
          </w:tcPr>
          <w:p w14:paraId="3686D9FB">
            <w:pPr>
              <w:spacing w:line="440" w:lineRule="exact"/>
              <w:rPr>
                <w:rFonts w:ascii="宋体" w:hAnsi="宋体" w:cs="宋体"/>
                <w:color w:val="auto"/>
                <w:szCs w:val="21"/>
              </w:rPr>
            </w:pPr>
            <w:r>
              <w:rPr>
                <w:rFonts w:hint="eastAsia" w:ascii="宋体" w:hAnsi="宋体" w:cs="宋体"/>
                <w:color w:val="auto"/>
                <w:szCs w:val="21"/>
              </w:rPr>
              <w:t>建设地点</w:t>
            </w:r>
          </w:p>
        </w:tc>
        <w:tc>
          <w:tcPr>
            <w:tcW w:w="731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D732120">
            <w:pPr>
              <w:spacing w:line="440" w:lineRule="exact"/>
              <w:rPr>
                <w:rFonts w:ascii="宋体" w:hAnsi="宋体" w:cs="宋体"/>
                <w:color w:val="auto"/>
                <w:lang w:val="zh-CN"/>
              </w:rPr>
            </w:pPr>
            <w:r>
              <w:rPr>
                <w:rFonts w:hint="eastAsia" w:ascii="宋体" w:hAnsi="宋体" w:cs="宋体"/>
                <w:color w:val="auto"/>
                <w:lang w:val="zh-CN"/>
              </w:rPr>
              <w:t>广西壮族自治区钦州市钦北区境内。</w:t>
            </w:r>
          </w:p>
        </w:tc>
      </w:tr>
      <w:tr w14:paraId="5D0133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00" w:type="dxa"/>
            <w:gridSpan w:val="2"/>
            <w:tcBorders>
              <w:top w:val="single" w:color="auto" w:sz="4" w:space="0"/>
              <w:left w:val="single" w:color="auto" w:sz="4" w:space="0"/>
              <w:bottom w:val="single" w:color="auto" w:sz="4" w:space="0"/>
              <w:right w:val="single" w:color="auto" w:sz="4" w:space="0"/>
            </w:tcBorders>
            <w:vAlign w:val="center"/>
          </w:tcPr>
          <w:p w14:paraId="1EB5EB4D">
            <w:pPr>
              <w:spacing w:line="440" w:lineRule="exact"/>
              <w:rPr>
                <w:rFonts w:ascii="宋体" w:hAnsi="宋体" w:cs="宋体"/>
                <w:b/>
                <w:color w:val="auto"/>
                <w:szCs w:val="21"/>
              </w:rPr>
            </w:pPr>
            <w:r>
              <w:rPr>
                <w:rFonts w:hint="eastAsia" w:ascii="宋体" w:hAnsi="宋体" w:cs="宋体"/>
                <w:color w:val="auto"/>
                <w:szCs w:val="21"/>
              </w:rPr>
              <w:t>合同签订时间</w:t>
            </w:r>
          </w:p>
        </w:tc>
        <w:tc>
          <w:tcPr>
            <w:tcW w:w="731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66D0BD4">
            <w:pPr>
              <w:spacing w:line="440" w:lineRule="exact"/>
              <w:rPr>
                <w:rFonts w:ascii="宋体" w:hAnsi="宋体" w:cs="宋体"/>
                <w:b/>
                <w:color w:val="auto"/>
                <w:szCs w:val="21"/>
              </w:rPr>
            </w:pPr>
            <w:r>
              <w:rPr>
                <w:rFonts w:hint="eastAsia" w:ascii="宋体" w:hAnsi="宋体" w:cs="宋体"/>
                <w:color w:val="auto"/>
                <w:szCs w:val="21"/>
              </w:rPr>
              <w:t>自成交通知书发出之日起 25日内。</w:t>
            </w:r>
          </w:p>
        </w:tc>
      </w:tr>
      <w:tr w14:paraId="1CBA81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1600" w:type="dxa"/>
            <w:gridSpan w:val="2"/>
            <w:tcBorders>
              <w:top w:val="single" w:color="auto" w:sz="4" w:space="0"/>
              <w:left w:val="single" w:color="auto" w:sz="4" w:space="0"/>
              <w:bottom w:val="single" w:color="auto" w:sz="4" w:space="0"/>
              <w:right w:val="single" w:color="auto" w:sz="4" w:space="0"/>
            </w:tcBorders>
            <w:vAlign w:val="center"/>
          </w:tcPr>
          <w:p w14:paraId="5EE2B521">
            <w:pPr>
              <w:spacing w:line="440" w:lineRule="exact"/>
              <w:rPr>
                <w:rFonts w:ascii="宋体" w:hAnsi="宋体" w:cs="宋体"/>
                <w:color w:val="auto"/>
                <w:szCs w:val="21"/>
              </w:rPr>
            </w:pPr>
            <w:r>
              <w:rPr>
                <w:rFonts w:hint="eastAsia" w:ascii="宋体" w:hAnsi="宋体" w:cs="宋体"/>
                <w:color w:val="auto"/>
                <w:szCs w:val="21"/>
              </w:rPr>
              <w:t>验收标准</w:t>
            </w:r>
          </w:p>
        </w:tc>
        <w:tc>
          <w:tcPr>
            <w:tcW w:w="731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C7C5282">
            <w:pPr>
              <w:spacing w:line="440" w:lineRule="exact"/>
              <w:rPr>
                <w:rFonts w:ascii="宋体" w:hAnsi="宋体" w:cs="宋体"/>
                <w:color w:val="auto"/>
                <w:szCs w:val="21"/>
              </w:rPr>
            </w:pPr>
            <w:r>
              <w:rPr>
                <w:rFonts w:hint="eastAsia" w:ascii="宋体" w:hAnsi="宋体" w:cs="宋体"/>
                <w:color w:val="auto"/>
                <w:szCs w:val="21"/>
              </w:rPr>
              <w:t>按相关行政主管部门要求的程序组织，必须达到国家、交通部、自治区相关的公路养护、施工技术规范和质量检验标准。</w:t>
            </w:r>
          </w:p>
        </w:tc>
      </w:tr>
      <w:tr w14:paraId="602FDF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600" w:type="dxa"/>
            <w:gridSpan w:val="2"/>
            <w:tcBorders>
              <w:top w:val="single" w:color="auto" w:sz="4" w:space="0"/>
              <w:left w:val="single" w:color="auto" w:sz="4" w:space="0"/>
              <w:bottom w:val="single" w:color="auto" w:sz="4" w:space="0"/>
              <w:right w:val="single" w:color="auto" w:sz="4" w:space="0"/>
            </w:tcBorders>
            <w:vAlign w:val="center"/>
          </w:tcPr>
          <w:p w14:paraId="76D63E7C">
            <w:pPr>
              <w:spacing w:line="440" w:lineRule="exact"/>
              <w:rPr>
                <w:rFonts w:ascii="宋体" w:hAnsi="宋体" w:cs="宋体"/>
                <w:color w:val="auto"/>
                <w:szCs w:val="21"/>
              </w:rPr>
            </w:pPr>
            <w:r>
              <w:rPr>
                <w:rFonts w:hint="eastAsia" w:ascii="宋体" w:hAnsi="宋体" w:cs="宋体"/>
                <w:color w:val="auto"/>
                <w:szCs w:val="21"/>
              </w:rPr>
              <w:t>报价要求</w:t>
            </w:r>
          </w:p>
        </w:tc>
        <w:tc>
          <w:tcPr>
            <w:tcW w:w="731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F713452">
            <w:pPr>
              <w:spacing w:line="440" w:lineRule="exact"/>
              <w:rPr>
                <w:rFonts w:ascii="宋体" w:hAnsi="宋体" w:cs="宋体"/>
                <w:color w:val="auto"/>
                <w:szCs w:val="21"/>
              </w:rPr>
            </w:pPr>
            <w:r>
              <w:rPr>
                <w:rFonts w:hint="eastAsia" w:ascii="宋体" w:hAnsi="宋体" w:cs="宋体"/>
                <w:color w:val="auto"/>
                <w:szCs w:val="21"/>
              </w:rPr>
              <w:t>1.工程量清单报价，供应商竞标报价不能超出招标控制价上限价及子目的上限价，否则竞标无效。</w:t>
            </w:r>
          </w:p>
          <w:p w14:paraId="7587B646">
            <w:pPr>
              <w:spacing w:line="440" w:lineRule="exact"/>
              <w:rPr>
                <w:rFonts w:ascii="宋体" w:hAnsi="宋体" w:cs="宋体"/>
                <w:b/>
                <w:bCs/>
                <w:color w:val="auto"/>
                <w:szCs w:val="21"/>
              </w:rPr>
            </w:pPr>
            <w:r>
              <w:rPr>
                <w:rFonts w:hint="eastAsia" w:ascii="宋体" w:hAnsi="宋体" w:cs="宋体"/>
                <w:color w:val="auto"/>
                <w:szCs w:val="21"/>
              </w:rPr>
              <w:t>2.安全生产费按最高限价的1.5%进行报价，作为不可竞争报价，否则竞标无效。</w:t>
            </w:r>
          </w:p>
        </w:tc>
      </w:tr>
      <w:tr w14:paraId="7376B3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600" w:type="dxa"/>
            <w:gridSpan w:val="2"/>
            <w:tcBorders>
              <w:top w:val="single" w:color="auto" w:sz="4" w:space="0"/>
              <w:left w:val="single" w:color="auto" w:sz="4" w:space="0"/>
              <w:bottom w:val="single" w:color="auto" w:sz="4" w:space="0"/>
              <w:right w:val="single" w:color="auto" w:sz="4" w:space="0"/>
            </w:tcBorders>
            <w:vAlign w:val="center"/>
          </w:tcPr>
          <w:p w14:paraId="6AAE4599">
            <w:pPr>
              <w:spacing w:line="440" w:lineRule="exact"/>
              <w:rPr>
                <w:rFonts w:ascii="宋体" w:hAnsi="宋体" w:cs="宋体"/>
                <w:b/>
                <w:color w:val="auto"/>
                <w:szCs w:val="21"/>
              </w:rPr>
            </w:pPr>
            <w:r>
              <w:rPr>
                <w:rFonts w:hint="eastAsia" w:ascii="宋体" w:hAnsi="宋体" w:cs="宋体"/>
                <w:color w:val="auto"/>
                <w:szCs w:val="21"/>
              </w:rPr>
              <w:t>付款条件（进度和方式）</w:t>
            </w:r>
          </w:p>
        </w:tc>
        <w:tc>
          <w:tcPr>
            <w:tcW w:w="731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5E83731">
            <w:pPr>
              <w:spacing w:line="440" w:lineRule="exact"/>
              <w:jc w:val="left"/>
              <w:rPr>
                <w:rFonts w:ascii="宋体" w:hAnsi="宋体" w:cs="宋体"/>
                <w:bCs/>
                <w:color w:val="auto"/>
                <w:szCs w:val="21"/>
              </w:rPr>
            </w:pPr>
            <w:r>
              <w:rPr>
                <w:rFonts w:hint="eastAsia" w:ascii="宋体" w:hAnsi="宋体" w:cs="宋体"/>
                <w:bCs/>
                <w:color w:val="auto"/>
                <w:szCs w:val="21"/>
              </w:rPr>
              <w:t>工程款原则上按工程进度支付，工程进度按月计算，工程款支付的限额标准为已完成工作量的80%。施工完成并经验收合格结算后支付到结算价款的 97%，余3%作为质量保证金，待缺陷责任期满后15个工作日内退还(无息)。</w:t>
            </w:r>
          </w:p>
        </w:tc>
      </w:tr>
      <w:tr w14:paraId="42CF0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600" w:type="dxa"/>
            <w:gridSpan w:val="2"/>
            <w:tcBorders>
              <w:top w:val="single" w:color="auto" w:sz="4" w:space="0"/>
              <w:left w:val="single" w:color="auto" w:sz="4" w:space="0"/>
              <w:bottom w:val="single" w:color="auto" w:sz="4" w:space="0"/>
              <w:right w:val="single" w:color="auto" w:sz="4" w:space="0"/>
            </w:tcBorders>
            <w:vAlign w:val="center"/>
          </w:tcPr>
          <w:p w14:paraId="23891DDC">
            <w:pPr>
              <w:spacing w:line="440" w:lineRule="exact"/>
              <w:rPr>
                <w:rFonts w:ascii="宋体" w:hAnsi="宋体" w:cs="宋体"/>
                <w:color w:val="auto"/>
                <w:szCs w:val="21"/>
              </w:rPr>
            </w:pPr>
            <w:r>
              <w:rPr>
                <w:rFonts w:hint="eastAsia" w:ascii="宋体" w:hAnsi="宋体" w:cs="宋体"/>
                <w:bCs/>
                <w:color w:val="auto"/>
                <w:szCs w:val="21"/>
              </w:rPr>
              <w:t>其他要求</w:t>
            </w:r>
          </w:p>
        </w:tc>
        <w:tc>
          <w:tcPr>
            <w:tcW w:w="7318" w:type="dxa"/>
            <w:gridSpan w:val="4"/>
            <w:tcBorders>
              <w:top w:val="single" w:color="auto" w:sz="4" w:space="0"/>
              <w:left w:val="single" w:color="auto" w:sz="4" w:space="0"/>
              <w:bottom w:val="single" w:color="auto" w:sz="4" w:space="0"/>
              <w:right w:val="single" w:color="auto" w:sz="4" w:space="0"/>
            </w:tcBorders>
            <w:vAlign w:val="center"/>
          </w:tcPr>
          <w:p w14:paraId="370639B0">
            <w:pPr>
              <w:spacing w:line="440" w:lineRule="exact"/>
              <w:rPr>
                <w:rFonts w:ascii="宋体" w:hAnsi="宋体" w:cs="宋体"/>
                <w:color w:val="auto"/>
                <w:szCs w:val="21"/>
              </w:rPr>
            </w:pPr>
            <w:r>
              <w:rPr>
                <w:rFonts w:hint="eastAsia" w:ascii="宋体" w:hAnsi="宋体" w:cs="宋体"/>
                <w:color w:val="auto"/>
                <w:szCs w:val="21"/>
              </w:rPr>
              <w:t>1.在未交付使用前，成交供应商应采取一切合理的预防措施，防止人员伤亡，财产损失，费用由成交供应商自行承担。</w:t>
            </w:r>
          </w:p>
          <w:p w14:paraId="742D7724">
            <w:pPr>
              <w:spacing w:line="440" w:lineRule="exact"/>
              <w:rPr>
                <w:rFonts w:ascii="宋体" w:hAnsi="宋体" w:cs="宋体"/>
                <w:color w:val="auto"/>
                <w:szCs w:val="21"/>
              </w:rPr>
            </w:pPr>
            <w:r>
              <w:rPr>
                <w:rFonts w:hint="eastAsia" w:ascii="宋体" w:hAnsi="宋体" w:cs="宋体"/>
                <w:color w:val="auto"/>
                <w:szCs w:val="21"/>
              </w:rPr>
              <w:t>2.供应商如认为有必要进行现场踏勘的，可自行联系采购人进行现场踏勘。</w:t>
            </w:r>
          </w:p>
          <w:p w14:paraId="45CAE9C9">
            <w:pPr>
              <w:spacing w:line="440" w:lineRule="exact"/>
              <w:rPr>
                <w:rFonts w:ascii="宋体" w:hAnsi="宋体" w:cs="宋体"/>
                <w:color w:val="auto"/>
                <w:szCs w:val="21"/>
              </w:rPr>
            </w:pPr>
            <w:r>
              <w:rPr>
                <w:rFonts w:hint="eastAsia" w:ascii="宋体" w:hAnsi="宋体" w:cs="宋体"/>
                <w:color w:val="auto"/>
                <w:szCs w:val="21"/>
              </w:rPr>
              <w:t>3.供应商需负责本项目向有关部门办理报建、报备等相关手续。</w:t>
            </w:r>
          </w:p>
          <w:p w14:paraId="457D8E00">
            <w:pPr>
              <w:spacing w:line="440" w:lineRule="exact"/>
              <w:rPr>
                <w:rFonts w:ascii="宋体" w:hAnsi="宋体" w:cs="宋体"/>
                <w:bCs/>
                <w:color w:val="auto"/>
                <w:szCs w:val="21"/>
              </w:rPr>
            </w:pPr>
            <w:r>
              <w:rPr>
                <w:rFonts w:hint="eastAsia" w:ascii="宋体" w:hAnsi="宋体" w:cs="宋体"/>
                <w:color w:val="auto"/>
                <w:szCs w:val="21"/>
              </w:rPr>
              <w:t>4.供应商可以根据实际情</w:t>
            </w:r>
            <w:r>
              <w:rPr>
                <w:rFonts w:hint="eastAsia" w:ascii="宋体" w:hAnsi="宋体" w:cs="宋体"/>
                <w:bCs/>
                <w:color w:val="auto"/>
                <w:szCs w:val="21"/>
              </w:rPr>
              <w:t>况在响应文件中提供项目管理机构、施工组织设计、业绩等内容。</w:t>
            </w:r>
          </w:p>
        </w:tc>
      </w:tr>
      <w:tr w14:paraId="551FE2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600" w:type="dxa"/>
            <w:gridSpan w:val="2"/>
            <w:tcBorders>
              <w:top w:val="single" w:color="auto" w:sz="4" w:space="0"/>
              <w:left w:val="single" w:color="auto" w:sz="4" w:space="0"/>
              <w:bottom w:val="single" w:color="auto" w:sz="4" w:space="0"/>
              <w:right w:val="single" w:color="auto" w:sz="4" w:space="0"/>
            </w:tcBorders>
            <w:vAlign w:val="center"/>
          </w:tcPr>
          <w:p w14:paraId="5442B8BE">
            <w:pPr>
              <w:spacing w:line="440" w:lineRule="exact"/>
              <w:rPr>
                <w:rFonts w:ascii="宋体" w:hAnsi="宋体" w:cs="宋体"/>
                <w:bCs/>
                <w:color w:val="auto"/>
                <w:szCs w:val="21"/>
                <w:highlight w:val="none"/>
              </w:rPr>
            </w:pPr>
            <w:r>
              <w:rPr>
                <w:rFonts w:hint="eastAsia" w:hAnsi="宋体" w:cs="宋体"/>
                <w:color w:val="auto"/>
                <w:highlight w:val="none"/>
              </w:rPr>
              <w:t>其他补充说明</w:t>
            </w:r>
          </w:p>
        </w:tc>
        <w:tc>
          <w:tcPr>
            <w:tcW w:w="7318" w:type="dxa"/>
            <w:gridSpan w:val="4"/>
            <w:tcBorders>
              <w:top w:val="single" w:color="auto" w:sz="4" w:space="0"/>
              <w:left w:val="single" w:color="auto" w:sz="4" w:space="0"/>
              <w:bottom w:val="single" w:color="auto" w:sz="4" w:space="0"/>
              <w:right w:val="single" w:color="auto" w:sz="4" w:space="0"/>
            </w:tcBorders>
            <w:vAlign w:val="center"/>
          </w:tcPr>
          <w:p w14:paraId="1E9E9070">
            <w:pPr>
              <w:spacing w:line="440" w:lineRule="exact"/>
              <w:rPr>
                <w:rFonts w:ascii="宋体" w:hAnsi="宋体" w:cs="宋体"/>
                <w:color w:val="auto"/>
                <w:szCs w:val="21"/>
                <w:highlight w:val="none"/>
              </w:rPr>
            </w:pPr>
            <w:r>
              <w:rPr>
                <w:rFonts w:hint="eastAsia" w:ascii="宋体" w:hAnsi="宋体" w:cs="宋体"/>
                <w:color w:val="auto"/>
                <w:szCs w:val="21"/>
                <w:highlight w:val="none"/>
              </w:rPr>
              <w:t>本项目所涉及的保通管理费、保险费（含安全生产责任险）、拆迁补偿费由采购人与成交供应商另行签订补充协议实施。</w:t>
            </w:r>
          </w:p>
        </w:tc>
      </w:tr>
      <w:tr w14:paraId="1CB03C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8918" w:type="dxa"/>
            <w:gridSpan w:val="6"/>
            <w:tcBorders>
              <w:top w:val="single" w:color="auto" w:sz="4" w:space="0"/>
              <w:left w:val="single" w:color="auto" w:sz="4" w:space="0"/>
              <w:bottom w:val="single" w:color="auto" w:sz="4" w:space="0"/>
              <w:right w:val="single" w:color="auto" w:sz="4" w:space="0"/>
            </w:tcBorders>
            <w:vAlign w:val="center"/>
          </w:tcPr>
          <w:p w14:paraId="3C070F38">
            <w:pPr>
              <w:pStyle w:val="5"/>
              <w:spacing w:line="440" w:lineRule="exact"/>
              <w:rPr>
                <w:rFonts w:ascii="宋体" w:hAnsi="宋体" w:cs="宋体"/>
                <w:color w:val="auto"/>
              </w:rPr>
            </w:pPr>
            <w:r>
              <w:rPr>
                <w:rFonts w:hint="eastAsia" w:ascii="宋体" w:hAnsi="宋体" w:cs="宋体"/>
                <w:b w:val="0"/>
                <w:bCs w:val="0"/>
                <w:color w:val="auto"/>
                <w:sz w:val="21"/>
                <w:szCs w:val="21"/>
              </w:rPr>
              <w:t>与本项目有关的设计图纸、技术规范、文件等附件资料供应商可在广西政府采购云平台（https://www.gcy.zfcg.gxzf.gov.cn/）自行下载（资料包含：项目施工图设计、工程量清单等）</w:t>
            </w:r>
          </w:p>
        </w:tc>
      </w:tr>
    </w:tbl>
    <w:p w14:paraId="3A44B582">
      <w:pPr>
        <w:tabs>
          <w:tab w:val="left" w:pos="180"/>
          <w:tab w:val="left" w:pos="1620"/>
        </w:tabs>
        <w:spacing w:line="440" w:lineRule="exact"/>
        <w:ind w:firstLine="422" w:firstLineChars="200"/>
        <w:rPr>
          <w:rFonts w:ascii="宋体" w:hAnsi="宋体" w:cs="宋体"/>
          <w:b/>
          <w:bCs/>
          <w:color w:val="auto"/>
          <w:szCs w:val="21"/>
        </w:rPr>
      </w:pPr>
    </w:p>
    <w:p w14:paraId="069FF3E1">
      <w:pPr>
        <w:spacing w:line="440" w:lineRule="exact"/>
        <w:rPr>
          <w:rFonts w:ascii="宋体" w:hAnsi="宋体" w:cs="宋体"/>
          <w:b/>
          <w:color w:val="auto"/>
          <w:sz w:val="44"/>
          <w:szCs w:val="44"/>
        </w:rPr>
      </w:pPr>
      <w:r>
        <w:rPr>
          <w:rFonts w:hint="eastAsia" w:ascii="宋体" w:hAnsi="宋体" w:cs="宋体"/>
          <w:b/>
          <w:color w:val="auto"/>
          <w:sz w:val="44"/>
          <w:szCs w:val="44"/>
        </w:rPr>
        <w:br w:type="page"/>
      </w:r>
    </w:p>
    <w:p w14:paraId="5DF649C6">
      <w:pPr>
        <w:pStyle w:val="28"/>
        <w:spacing w:before="340" w:after="340" w:line="440" w:lineRule="exact"/>
        <w:ind w:firstLine="643" w:firstLineChars="200"/>
        <w:jc w:val="center"/>
        <w:textAlignment w:val="center"/>
        <w:outlineLvl w:val="0"/>
        <w:rPr>
          <w:rFonts w:hAnsi="宋体" w:cs="宋体"/>
          <w:color w:val="auto"/>
          <w:sz w:val="32"/>
          <w:szCs w:val="32"/>
        </w:rPr>
      </w:pPr>
      <w:bookmarkStart w:id="71" w:name="_Toc28285"/>
      <w:r>
        <w:rPr>
          <w:rFonts w:hint="eastAsia" w:hAnsi="宋体" w:cs="宋体"/>
          <w:b/>
          <w:color w:val="auto"/>
          <w:sz w:val="32"/>
          <w:szCs w:val="32"/>
        </w:rPr>
        <w:t>第四章  评审程序、评审方法和评审标准</w:t>
      </w:r>
      <w:bookmarkEnd w:id="71"/>
    </w:p>
    <w:p w14:paraId="0E109609">
      <w:pPr>
        <w:spacing w:line="440" w:lineRule="exact"/>
        <w:jc w:val="center"/>
        <w:rPr>
          <w:rFonts w:ascii="宋体" w:hAnsi="宋体" w:cs="宋体"/>
          <w:b/>
          <w:color w:val="auto"/>
          <w:sz w:val="32"/>
          <w:szCs w:val="32"/>
        </w:rPr>
      </w:pPr>
      <w:r>
        <w:rPr>
          <w:rFonts w:hint="eastAsia" w:ascii="宋体" w:hAnsi="宋体" w:cs="宋体"/>
          <w:b/>
          <w:color w:val="auto"/>
          <w:sz w:val="32"/>
          <w:szCs w:val="32"/>
        </w:rPr>
        <w:t>一、评审程序和评审方法</w:t>
      </w:r>
    </w:p>
    <w:p w14:paraId="137C25DD">
      <w:pPr>
        <w:spacing w:line="440" w:lineRule="exact"/>
        <w:ind w:firstLine="354" w:firstLineChars="147"/>
        <w:jc w:val="left"/>
        <w:rPr>
          <w:rFonts w:ascii="宋体" w:hAnsi="宋体" w:cs="宋体"/>
          <w:b/>
          <w:bCs/>
          <w:color w:val="auto"/>
          <w:sz w:val="24"/>
        </w:rPr>
      </w:pPr>
      <w:r>
        <w:rPr>
          <w:rFonts w:hint="eastAsia" w:ascii="宋体" w:hAnsi="宋体" w:cs="宋体"/>
          <w:b/>
          <w:bCs/>
          <w:color w:val="auto"/>
          <w:sz w:val="24"/>
        </w:rPr>
        <w:t>1.资格审查</w:t>
      </w:r>
    </w:p>
    <w:p w14:paraId="20B4A028">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1.1响应文件开启后，磋商小组依法对供应商的资格证明文件进行审查。</w:t>
      </w:r>
    </w:p>
    <w:p w14:paraId="72EB6FCC">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注：</w:t>
      </w:r>
      <w:r>
        <w:rPr>
          <w:rFonts w:hint="eastAsia" w:ascii="宋体" w:hAnsi="宋体" w:cs="宋体"/>
          <w:color w:val="auto"/>
        </w:rPr>
        <w:t>磋商小组</w:t>
      </w:r>
      <w:r>
        <w:rPr>
          <w:rFonts w:hint="eastAsia" w:ascii="宋体" w:hAnsi="宋体" w:cs="宋体"/>
          <w:color w:val="auto"/>
          <w:szCs w:val="21"/>
        </w:rPr>
        <w:t>在资格审查结束前，对供应商进行信用查询。</w:t>
      </w:r>
    </w:p>
    <w:p w14:paraId="17F9547E">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（1）查询渠道：广西政府采购云平台“信用中国”网站（www.creditchina.gov.cn）、中国政府采购网（www.ccgp.gov.cn）、“中国执行信息公开网”（https://zxgk.court.gov.cn/）链接入口。</w:t>
      </w:r>
    </w:p>
    <w:p w14:paraId="1843BBA6">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（2）信用查询截止时点：资格审查结束前。</w:t>
      </w:r>
    </w:p>
    <w:p w14:paraId="2A8725F7">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（3）查询记录和证据留存方式：在查询网站中直接查询，截图另存为电子文档作为评审资料保存。</w:t>
      </w:r>
    </w:p>
    <w:p w14:paraId="7E0B26C6">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（4）信用信息使用规则：对在“信用中国”网站（www.creditchina.gov.cn） 、中国政府采购网（www.ccgp.gov.cn）、“中国执行信息公开网”（https://zxgk.court.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1855C01A">
      <w:pPr>
        <w:spacing w:line="440" w:lineRule="exact"/>
        <w:ind w:firstLine="420" w:firstLineChars="200"/>
        <w:rPr>
          <w:rFonts w:ascii="宋体" w:hAnsi="宋体" w:cs="宋体"/>
          <w:color w:val="auto"/>
          <w:szCs w:val="21"/>
        </w:rPr>
      </w:pPr>
      <w:r>
        <w:rPr>
          <w:rFonts w:hint="eastAsia" w:ascii="宋体" w:hAnsi="宋体" w:cs="宋体"/>
          <w:color w:val="auto"/>
          <w:szCs w:val="21"/>
        </w:rPr>
        <w:t>1.2资格审查标准为本磋商文件中载明对供应商资格要求的条件。资格审查采用合格制，凡符合磋商文件规定的供应商资格要求的响应文件均通过资格审查。</w:t>
      </w:r>
    </w:p>
    <w:p w14:paraId="30998AB7">
      <w:pPr>
        <w:spacing w:line="440" w:lineRule="exact"/>
        <w:ind w:firstLine="420" w:firstLineChars="200"/>
        <w:rPr>
          <w:rFonts w:ascii="宋体" w:hAnsi="宋体" w:cs="宋体"/>
          <w:color w:val="auto"/>
          <w:szCs w:val="21"/>
        </w:rPr>
      </w:pPr>
      <w:r>
        <w:rPr>
          <w:rFonts w:hint="eastAsia" w:ascii="宋体" w:hAnsi="宋体" w:cs="宋体"/>
          <w:color w:val="auto"/>
          <w:szCs w:val="21"/>
        </w:rPr>
        <w:t>1.3供应商有下列情形之一的，资格审查不通过，其响应文件按无效处理：</w:t>
      </w:r>
    </w:p>
    <w:p w14:paraId="508AF687">
      <w:pPr>
        <w:spacing w:line="440" w:lineRule="exact"/>
        <w:ind w:firstLine="420" w:firstLineChars="200"/>
        <w:rPr>
          <w:rFonts w:ascii="宋体" w:hAnsi="宋体" w:cs="宋体"/>
          <w:color w:val="auto"/>
          <w:szCs w:val="21"/>
        </w:rPr>
      </w:pPr>
      <w:r>
        <w:rPr>
          <w:rFonts w:hint="eastAsia" w:ascii="宋体" w:hAnsi="宋体" w:cs="宋体"/>
          <w:color w:val="auto"/>
          <w:szCs w:val="21"/>
        </w:rPr>
        <w:t>（1）不具备磋商文件中规定的资格要求的；</w:t>
      </w:r>
    </w:p>
    <w:p w14:paraId="516FCFB9">
      <w:pPr>
        <w:spacing w:line="440" w:lineRule="exact"/>
        <w:ind w:firstLine="420" w:firstLineChars="200"/>
        <w:rPr>
          <w:rFonts w:ascii="宋体" w:hAnsi="宋体" w:cs="宋体"/>
          <w:color w:val="auto"/>
          <w:szCs w:val="21"/>
        </w:rPr>
      </w:pPr>
      <w:r>
        <w:rPr>
          <w:rFonts w:hint="eastAsia" w:ascii="宋体" w:hAnsi="宋体" w:cs="宋体"/>
          <w:color w:val="auto"/>
          <w:szCs w:val="21"/>
        </w:rPr>
        <w:t>（2）未按磋商文件规定的方式获取本磋商文件的供应商；</w:t>
      </w:r>
    </w:p>
    <w:p w14:paraId="58B649B8">
      <w:pPr>
        <w:spacing w:line="440" w:lineRule="exact"/>
        <w:ind w:firstLine="420" w:firstLineChars="200"/>
        <w:rPr>
          <w:rFonts w:ascii="宋体" w:hAnsi="宋体" w:cs="宋体"/>
          <w:color w:val="auto"/>
          <w:szCs w:val="21"/>
        </w:rPr>
      </w:pPr>
      <w:r>
        <w:rPr>
          <w:rFonts w:hint="eastAsia" w:ascii="宋体" w:hAnsi="宋体" w:cs="宋体"/>
          <w:color w:val="auto"/>
          <w:szCs w:val="21"/>
        </w:rPr>
        <w:t>（3）响应文件的资格证明文件缺少任一项“供应商须知前附表”资格证明文件规定的“必须提供”的文件资料的；</w:t>
      </w:r>
    </w:p>
    <w:p w14:paraId="4537D461">
      <w:pPr>
        <w:spacing w:line="440" w:lineRule="exact"/>
        <w:ind w:firstLine="420" w:firstLineChars="200"/>
        <w:rPr>
          <w:rFonts w:ascii="宋体" w:hAnsi="宋体" w:cs="宋体"/>
          <w:color w:val="auto"/>
          <w:szCs w:val="21"/>
        </w:rPr>
      </w:pPr>
      <w:r>
        <w:rPr>
          <w:rFonts w:hint="eastAsia" w:ascii="宋体" w:hAnsi="宋体" w:cs="宋体"/>
          <w:color w:val="auto"/>
          <w:szCs w:val="21"/>
        </w:rPr>
        <w:t>（4）响应文件中的资格证明文件出现任一项不符合“供应商须知前附表”资格证明文件规定的“必须提供”的文件资料要求或者无效的；</w:t>
      </w:r>
    </w:p>
    <w:p w14:paraId="11B0D520">
      <w:pPr>
        <w:spacing w:line="440" w:lineRule="exact"/>
        <w:ind w:firstLine="420" w:firstLineChars="200"/>
        <w:rPr>
          <w:rFonts w:ascii="宋体" w:hAnsi="宋体" w:cs="宋体"/>
          <w:color w:val="auto"/>
          <w:szCs w:val="21"/>
        </w:rPr>
      </w:pPr>
      <w:r>
        <w:rPr>
          <w:rFonts w:hint="eastAsia" w:ascii="宋体" w:hAnsi="宋体" w:cs="宋体"/>
          <w:color w:val="auto"/>
          <w:szCs w:val="21"/>
        </w:rPr>
        <w:t>（5）同一合同项下的不同供应商，单位负责人为同一人或者存在直接控股、管理关系的；为本项目提供过整体设计、规范编制或者项目管理、监理、检测等服务的供应商，再参加该采购项目的其他采购活动的。</w:t>
      </w:r>
    </w:p>
    <w:p w14:paraId="4A8D25EA">
      <w:pPr>
        <w:spacing w:line="440" w:lineRule="exact"/>
        <w:ind w:firstLine="420" w:firstLineChars="200"/>
        <w:rPr>
          <w:rFonts w:ascii="宋体" w:hAnsi="宋体" w:cs="宋体"/>
          <w:color w:val="auto"/>
          <w:szCs w:val="21"/>
        </w:rPr>
      </w:pPr>
      <w:r>
        <w:rPr>
          <w:rFonts w:hint="eastAsia" w:ascii="宋体" w:hAnsi="宋体" w:cs="宋体"/>
          <w:color w:val="auto"/>
          <w:szCs w:val="21"/>
        </w:rPr>
        <w:t>1.4通过资格审查的合格供应商不足3家的，不得进入符合性审查环节，应当重新开展采购活动。</w:t>
      </w:r>
    </w:p>
    <w:p w14:paraId="7880392D">
      <w:pPr>
        <w:spacing w:line="440" w:lineRule="exact"/>
        <w:ind w:firstLine="482" w:firstLineChars="200"/>
        <w:rPr>
          <w:rFonts w:ascii="宋体" w:hAnsi="宋体" w:cs="宋体"/>
          <w:b/>
          <w:bCs/>
          <w:color w:val="auto"/>
          <w:sz w:val="24"/>
        </w:rPr>
      </w:pPr>
      <w:r>
        <w:rPr>
          <w:rFonts w:hint="eastAsia" w:ascii="宋体" w:hAnsi="宋体" w:cs="宋体"/>
          <w:b/>
          <w:bCs/>
          <w:color w:val="auto"/>
          <w:sz w:val="24"/>
        </w:rPr>
        <w:t>2.符合性审查</w:t>
      </w:r>
    </w:p>
    <w:p w14:paraId="4AB39EEC">
      <w:pPr>
        <w:spacing w:line="440" w:lineRule="exact"/>
        <w:ind w:firstLine="420" w:firstLineChars="200"/>
        <w:rPr>
          <w:rFonts w:ascii="宋体" w:hAnsi="宋体" w:cs="宋体"/>
          <w:color w:val="auto"/>
          <w:szCs w:val="21"/>
        </w:rPr>
      </w:pPr>
      <w:bookmarkStart w:id="72" w:name="_Hlk42528882"/>
      <w:r>
        <w:rPr>
          <w:rFonts w:hint="eastAsia" w:ascii="宋体" w:hAnsi="宋体" w:cs="宋体"/>
          <w:color w:val="auto"/>
          <w:szCs w:val="21"/>
        </w:rPr>
        <w:t>2.1磋商小组对通过资格审查的合格供应商的响应文件的竞标报价、商务、技术等实质性要求进行符合性审查，以确定其是否满足磋商文件的实质性要求。</w:t>
      </w:r>
    </w:p>
    <w:bookmarkEnd w:id="72"/>
    <w:p w14:paraId="16DA53D8">
      <w:pPr>
        <w:spacing w:line="440" w:lineRule="exact"/>
        <w:ind w:firstLine="420" w:firstLineChars="200"/>
        <w:rPr>
          <w:rFonts w:ascii="宋体" w:hAnsi="宋体" w:cs="宋体"/>
          <w:color w:val="auto"/>
          <w:szCs w:val="21"/>
        </w:rPr>
      </w:pPr>
      <w:r>
        <w:rPr>
          <w:rFonts w:hint="eastAsia" w:ascii="宋体" w:hAnsi="宋体" w:cs="宋体"/>
          <w:color w:val="auto"/>
          <w:szCs w:val="21"/>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B4CD2BE">
      <w:pPr>
        <w:spacing w:line="440" w:lineRule="exact"/>
        <w:ind w:firstLine="420" w:firstLineChars="200"/>
        <w:rPr>
          <w:rFonts w:ascii="宋体" w:hAnsi="宋体" w:cs="宋体"/>
          <w:color w:val="auto"/>
          <w:spacing w:val="-6"/>
          <w:szCs w:val="21"/>
        </w:rPr>
      </w:pPr>
      <w:r>
        <w:rPr>
          <w:rFonts w:hint="eastAsia" w:ascii="宋体" w:hAnsi="宋体" w:cs="宋体"/>
          <w:color w:val="auto"/>
          <w:szCs w:val="21"/>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ascii="宋体" w:hAnsi="宋体" w:cs="宋体"/>
          <w:color w:val="auto"/>
        </w:rPr>
        <w:t>签章</w:t>
      </w:r>
      <w:r>
        <w:rPr>
          <w:rFonts w:hint="eastAsia" w:ascii="宋体" w:hAnsi="宋体" w:cs="宋体"/>
          <w:color w:val="auto"/>
          <w:spacing w:val="-6"/>
          <w:szCs w:val="21"/>
        </w:rPr>
        <w:t>。</w:t>
      </w:r>
    </w:p>
    <w:p w14:paraId="37B80E89">
      <w:pPr>
        <w:spacing w:line="440" w:lineRule="exact"/>
        <w:ind w:firstLine="420" w:firstLineChars="200"/>
        <w:rPr>
          <w:rFonts w:ascii="宋体" w:hAnsi="宋体" w:cs="宋体"/>
          <w:color w:val="auto"/>
          <w:spacing w:val="-6"/>
          <w:szCs w:val="21"/>
        </w:rPr>
      </w:pPr>
      <w:r>
        <w:rPr>
          <w:rFonts w:hint="eastAsia" w:ascii="宋体" w:hAnsi="宋体" w:cs="宋体"/>
          <w:color w:val="auto"/>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4A36351A">
      <w:pPr>
        <w:spacing w:line="440" w:lineRule="exact"/>
        <w:ind w:firstLine="396" w:firstLineChars="200"/>
        <w:rPr>
          <w:rFonts w:ascii="宋体" w:hAnsi="宋体" w:cs="宋体"/>
          <w:color w:val="auto"/>
          <w:szCs w:val="21"/>
        </w:rPr>
      </w:pPr>
      <w:r>
        <w:rPr>
          <w:rFonts w:hint="eastAsia" w:ascii="宋体" w:hAnsi="宋体" w:cs="宋体"/>
          <w:color w:val="auto"/>
          <w:spacing w:val="-6"/>
          <w:szCs w:val="21"/>
        </w:rPr>
        <w:t>2.4</w:t>
      </w:r>
      <w:r>
        <w:rPr>
          <w:rFonts w:hint="eastAsia" w:ascii="宋体" w:hAnsi="宋体" w:cs="宋体"/>
          <w:color w:val="auto"/>
          <w:szCs w:val="21"/>
        </w:rPr>
        <w:t xml:space="preserve">首次响应文件报价出现前后不一致的，按照下列规定修正： </w:t>
      </w:r>
    </w:p>
    <w:p w14:paraId="514E649A">
      <w:pPr>
        <w:spacing w:line="440" w:lineRule="exact"/>
        <w:ind w:firstLine="420" w:firstLineChars="200"/>
        <w:rPr>
          <w:rFonts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14:paraId="5AA84F1E">
      <w:pPr>
        <w:spacing w:line="440" w:lineRule="exact"/>
        <w:ind w:firstLine="420" w:firstLineChars="200"/>
        <w:rPr>
          <w:rFonts w:ascii="宋体" w:hAnsi="宋体" w:cs="宋体"/>
          <w:color w:val="auto"/>
          <w:szCs w:val="21"/>
        </w:rPr>
      </w:pPr>
      <w:r>
        <w:rPr>
          <w:rFonts w:hint="eastAsia" w:ascii="宋体" w:hAnsi="宋体" w:cs="宋体"/>
          <w:color w:val="auto"/>
          <w:szCs w:val="21"/>
        </w:rPr>
        <w:t>（2）大写金额和小写金额不一致的，以大写金额为准；</w:t>
      </w:r>
    </w:p>
    <w:p w14:paraId="3D97D2EF">
      <w:pPr>
        <w:spacing w:line="440" w:lineRule="exact"/>
        <w:ind w:firstLine="420" w:firstLineChars="200"/>
        <w:rPr>
          <w:rFonts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14:paraId="27F9B956">
      <w:pPr>
        <w:spacing w:line="440" w:lineRule="exact"/>
        <w:ind w:firstLine="420" w:firstLineChars="200"/>
        <w:rPr>
          <w:rFonts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6205A735">
      <w:pPr>
        <w:spacing w:line="440" w:lineRule="exact"/>
        <w:ind w:firstLine="420" w:firstLineChars="200"/>
        <w:rPr>
          <w:rFonts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同时出现两种以上不一致的，按照以上（1）-（4）规定的顺序逐条进行修正。修正后的报价经供应商确认后产生约束力，供应商不确认的，其响应文件按无效处理。</w:t>
      </w:r>
    </w:p>
    <w:p w14:paraId="2BA54FDB">
      <w:pPr>
        <w:spacing w:line="440" w:lineRule="exact"/>
        <w:ind w:firstLine="420" w:firstLineChars="200"/>
        <w:rPr>
          <w:rFonts w:ascii="宋体" w:hAnsi="宋体" w:cs="宋体"/>
          <w:color w:val="auto"/>
          <w:szCs w:val="21"/>
        </w:rPr>
      </w:pPr>
      <w:r>
        <w:rPr>
          <w:rFonts w:hint="eastAsia" w:ascii="宋体" w:hAnsi="宋体" w:cs="宋体"/>
          <w:color w:val="auto"/>
          <w:szCs w:val="21"/>
        </w:rPr>
        <w:t>2.5商务技术报价评审</w:t>
      </w:r>
    </w:p>
    <w:p w14:paraId="4A246044">
      <w:pPr>
        <w:spacing w:line="440" w:lineRule="exact"/>
        <w:ind w:firstLine="422" w:firstLineChars="200"/>
        <w:rPr>
          <w:rFonts w:ascii="宋体" w:hAnsi="宋体" w:cs="宋体"/>
          <w:b/>
          <w:color w:val="auto"/>
          <w:szCs w:val="21"/>
        </w:rPr>
      </w:pPr>
      <w:r>
        <w:rPr>
          <w:rFonts w:hint="eastAsia" w:ascii="宋体" w:hAnsi="宋体" w:cs="宋体"/>
          <w:b/>
          <w:color w:val="auto"/>
          <w:szCs w:val="21"/>
        </w:rPr>
        <w:t>在评审时，如发现下列情形之一的，将被视为响应文件无效处理：</w:t>
      </w:r>
    </w:p>
    <w:p w14:paraId="67B2EF58">
      <w:pPr>
        <w:spacing w:line="440" w:lineRule="exact"/>
        <w:ind w:firstLine="422" w:firstLineChars="200"/>
        <w:rPr>
          <w:rFonts w:ascii="宋体" w:hAnsi="宋体" w:cs="宋体"/>
          <w:b/>
          <w:color w:val="auto"/>
          <w:szCs w:val="21"/>
        </w:rPr>
      </w:pPr>
      <w:r>
        <w:rPr>
          <w:rFonts w:hint="eastAsia" w:ascii="宋体" w:hAnsi="宋体" w:cs="宋体"/>
          <w:b/>
          <w:color w:val="auto"/>
          <w:szCs w:val="21"/>
        </w:rPr>
        <w:t>（1）商务技术评审</w:t>
      </w:r>
    </w:p>
    <w:p w14:paraId="427A9AF8">
      <w:pPr>
        <w:spacing w:line="440" w:lineRule="exact"/>
        <w:ind w:firstLine="422" w:firstLineChars="200"/>
        <w:rPr>
          <w:rFonts w:ascii="宋体" w:hAnsi="宋体" w:cs="宋体"/>
          <w:b/>
          <w:color w:val="auto"/>
          <w:szCs w:val="21"/>
        </w:rPr>
      </w:pPr>
      <w:r>
        <w:rPr>
          <w:rFonts w:hint="eastAsia" w:ascii="宋体" w:hAnsi="宋体" w:cs="宋体"/>
          <w:b/>
          <w:color w:val="auto"/>
          <w:szCs w:val="21"/>
        </w:rPr>
        <w:t>1）响应文件未按磋商文件要求签署、盖章的；</w:t>
      </w:r>
    </w:p>
    <w:p w14:paraId="4B1E55F6">
      <w:pPr>
        <w:spacing w:line="440" w:lineRule="exact"/>
        <w:ind w:firstLine="422" w:firstLineChars="200"/>
        <w:rPr>
          <w:rFonts w:ascii="宋体" w:hAnsi="宋体" w:cs="宋体"/>
          <w:b/>
          <w:color w:val="auto"/>
          <w:szCs w:val="21"/>
        </w:rPr>
      </w:pPr>
      <w:r>
        <w:rPr>
          <w:rFonts w:hint="eastAsia" w:ascii="宋体" w:hAnsi="宋体" w:cs="宋体"/>
          <w:b/>
          <w:color w:val="auto"/>
          <w:szCs w:val="21"/>
        </w:rPr>
        <w:t xml:space="preserve">2）委托代理人未能出具有效身份证或者出具的身份证与授权委托书中的信息不符的； </w:t>
      </w:r>
    </w:p>
    <w:p w14:paraId="75026138">
      <w:pPr>
        <w:spacing w:line="440" w:lineRule="exact"/>
        <w:ind w:firstLine="422" w:firstLineChars="200"/>
        <w:rPr>
          <w:rFonts w:ascii="宋体" w:hAnsi="宋体" w:cs="宋体"/>
          <w:b/>
          <w:color w:val="auto"/>
          <w:szCs w:val="21"/>
        </w:rPr>
      </w:pPr>
      <w:r>
        <w:rPr>
          <w:rFonts w:hint="eastAsia" w:ascii="宋体" w:hAnsi="宋体" w:cs="宋体"/>
          <w:b/>
          <w:color w:val="auto"/>
          <w:szCs w:val="21"/>
        </w:rPr>
        <w:t>3）提交的磋商保证金无效的或者未按照磋商文件的规定提交磋商保证金的；</w:t>
      </w:r>
    </w:p>
    <w:p w14:paraId="3783A170">
      <w:pPr>
        <w:spacing w:line="440" w:lineRule="exact"/>
        <w:ind w:firstLine="422" w:firstLineChars="200"/>
        <w:rPr>
          <w:rFonts w:ascii="宋体" w:hAnsi="宋体" w:cs="宋体"/>
          <w:b/>
          <w:color w:val="auto"/>
          <w:szCs w:val="21"/>
        </w:rPr>
      </w:pPr>
      <w:r>
        <w:rPr>
          <w:rFonts w:hint="eastAsia" w:ascii="宋体" w:hAnsi="宋体" w:cs="宋体"/>
          <w:b/>
          <w:color w:val="auto"/>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14:paraId="00D983B9">
      <w:pPr>
        <w:spacing w:line="440" w:lineRule="exact"/>
        <w:ind w:firstLine="422" w:firstLineChars="200"/>
        <w:rPr>
          <w:rFonts w:ascii="宋体" w:hAnsi="宋体" w:cs="宋体"/>
          <w:b/>
          <w:color w:val="auto"/>
          <w:szCs w:val="21"/>
        </w:rPr>
      </w:pPr>
      <w:r>
        <w:rPr>
          <w:rFonts w:hint="eastAsia" w:ascii="宋体" w:hAnsi="宋体" w:cs="宋体"/>
          <w:b/>
          <w:color w:val="auto"/>
          <w:szCs w:val="21"/>
        </w:rPr>
        <w:t>5）商务要求允许负偏离的条款数超过“供应商须知前附表”规定项数的；</w:t>
      </w:r>
    </w:p>
    <w:p w14:paraId="27A9DD8F">
      <w:pPr>
        <w:spacing w:line="440" w:lineRule="exact"/>
        <w:ind w:firstLine="422" w:firstLineChars="200"/>
        <w:rPr>
          <w:rFonts w:ascii="宋体" w:hAnsi="宋体" w:cs="宋体"/>
          <w:b/>
          <w:color w:val="auto"/>
          <w:szCs w:val="21"/>
        </w:rPr>
      </w:pPr>
      <w:r>
        <w:rPr>
          <w:rFonts w:hint="eastAsia" w:ascii="宋体" w:hAnsi="宋体" w:cs="宋体"/>
          <w:b/>
          <w:color w:val="auto"/>
          <w:szCs w:val="21"/>
        </w:rPr>
        <w:t>6）未对竞标有效期作出响应或者响应文件承诺的竞标有效期不满足磋商文件要求的；</w:t>
      </w:r>
    </w:p>
    <w:p w14:paraId="29ADF6B4">
      <w:pPr>
        <w:spacing w:line="440" w:lineRule="exact"/>
        <w:ind w:firstLine="422" w:firstLineChars="200"/>
        <w:rPr>
          <w:rFonts w:ascii="宋体" w:hAnsi="宋体" w:cs="宋体"/>
          <w:b/>
          <w:color w:val="auto"/>
          <w:szCs w:val="21"/>
        </w:rPr>
      </w:pPr>
      <w:r>
        <w:rPr>
          <w:rFonts w:hint="eastAsia" w:ascii="宋体" w:hAnsi="宋体" w:cs="宋体"/>
          <w:b/>
          <w:color w:val="auto"/>
          <w:szCs w:val="21"/>
        </w:rPr>
        <w:t>7）响应文件的实质性内容未使用中文表述、使用计量单位不符合磋商文件要求的；</w:t>
      </w:r>
    </w:p>
    <w:p w14:paraId="6D9A6A41">
      <w:pPr>
        <w:spacing w:line="440" w:lineRule="exact"/>
        <w:ind w:firstLine="422" w:firstLineChars="200"/>
        <w:rPr>
          <w:rFonts w:ascii="宋体" w:hAnsi="宋体" w:cs="宋体"/>
          <w:b/>
          <w:color w:val="auto"/>
          <w:szCs w:val="21"/>
        </w:rPr>
      </w:pPr>
      <w:r>
        <w:rPr>
          <w:rFonts w:hint="eastAsia" w:ascii="宋体" w:hAnsi="宋体" w:cs="宋体"/>
          <w:b/>
          <w:color w:val="auto"/>
          <w:szCs w:val="21"/>
        </w:rPr>
        <w:t>8）响应文件中的文件资料因填写不齐全或者内容虚假或者出现其他情形而导致被磋商小组认定无效的；</w:t>
      </w:r>
    </w:p>
    <w:p w14:paraId="669D4B23">
      <w:pPr>
        <w:spacing w:line="440" w:lineRule="exact"/>
        <w:ind w:firstLine="422" w:firstLineChars="200"/>
        <w:rPr>
          <w:rFonts w:ascii="宋体" w:hAnsi="宋体" w:cs="宋体"/>
          <w:b/>
          <w:color w:val="auto"/>
          <w:szCs w:val="21"/>
        </w:rPr>
      </w:pPr>
      <w:r>
        <w:rPr>
          <w:rFonts w:hint="eastAsia" w:ascii="宋体" w:hAnsi="宋体" w:cs="宋体"/>
          <w:b/>
          <w:color w:val="auto"/>
          <w:szCs w:val="21"/>
        </w:rPr>
        <w:t>9）响应文件含有采购人不能接受的附加条件的；</w:t>
      </w:r>
    </w:p>
    <w:p w14:paraId="62903099">
      <w:pPr>
        <w:spacing w:line="440" w:lineRule="exact"/>
        <w:ind w:firstLine="422" w:firstLineChars="200"/>
        <w:rPr>
          <w:rFonts w:ascii="宋体" w:hAnsi="宋体" w:cs="宋体"/>
          <w:b/>
          <w:color w:val="auto"/>
          <w:szCs w:val="21"/>
        </w:rPr>
      </w:pPr>
      <w:r>
        <w:rPr>
          <w:rFonts w:hint="eastAsia" w:ascii="宋体" w:hAnsi="宋体" w:cs="宋体"/>
          <w:b/>
          <w:color w:val="auto"/>
          <w:szCs w:val="21"/>
        </w:rPr>
        <w:t>10）属于“供应商须知正文”第7.5条供应商相互串通竞标情形的；</w:t>
      </w:r>
    </w:p>
    <w:p w14:paraId="14F2FFDA">
      <w:pPr>
        <w:spacing w:line="440" w:lineRule="exact"/>
        <w:ind w:firstLine="422" w:firstLineChars="200"/>
        <w:rPr>
          <w:rFonts w:ascii="宋体" w:hAnsi="宋体" w:cs="宋体"/>
          <w:b/>
          <w:color w:val="auto"/>
          <w:szCs w:val="21"/>
        </w:rPr>
      </w:pPr>
      <w:r>
        <w:rPr>
          <w:rFonts w:hint="eastAsia" w:ascii="宋体" w:hAnsi="宋体" w:cs="宋体"/>
          <w:b/>
          <w:color w:val="auto"/>
          <w:szCs w:val="21"/>
        </w:rPr>
        <w:t>11）技术要求允许负偏离的条款数超过“供应商须知前附表”规定项数的；</w:t>
      </w:r>
    </w:p>
    <w:p w14:paraId="12833B9A">
      <w:pPr>
        <w:spacing w:line="440" w:lineRule="exact"/>
        <w:ind w:firstLine="422" w:firstLineChars="200"/>
        <w:rPr>
          <w:rFonts w:ascii="宋体" w:hAnsi="宋体" w:cs="宋体"/>
          <w:b/>
          <w:color w:val="auto"/>
          <w:szCs w:val="21"/>
        </w:rPr>
      </w:pPr>
      <w:r>
        <w:rPr>
          <w:rFonts w:hint="eastAsia" w:ascii="宋体" w:hAnsi="宋体" w:cs="宋体"/>
          <w:b/>
          <w:color w:val="auto"/>
          <w:szCs w:val="21"/>
        </w:rPr>
        <w:t>12）虚假竞标，或者出现其他情形而导致被磋商小组认定无效的；</w:t>
      </w:r>
    </w:p>
    <w:p w14:paraId="27B161E0">
      <w:pPr>
        <w:spacing w:line="440" w:lineRule="exact"/>
        <w:ind w:firstLine="422" w:firstLineChars="200"/>
        <w:rPr>
          <w:rFonts w:ascii="宋体" w:hAnsi="宋体" w:cs="宋体"/>
          <w:b/>
          <w:color w:val="auto"/>
          <w:szCs w:val="21"/>
        </w:rPr>
      </w:pPr>
      <w:r>
        <w:rPr>
          <w:rFonts w:hint="eastAsia" w:ascii="宋体" w:hAnsi="宋体" w:cs="宋体"/>
          <w:b/>
          <w:color w:val="auto"/>
          <w:szCs w:val="21"/>
        </w:rPr>
        <w:t>13）</w:t>
      </w:r>
      <w:bookmarkStart w:id="73" w:name="_Hlk71704147"/>
      <w:r>
        <w:rPr>
          <w:rFonts w:hint="eastAsia" w:ascii="宋体" w:hAnsi="宋体" w:cs="宋体"/>
          <w:b/>
          <w:color w:val="auto"/>
          <w:szCs w:val="21"/>
        </w:rPr>
        <w:t>磋商文件未载明允许提供备选（替代）竞标方案或明确不允许提供备选（替代）竞标方案时，供应商提供了备选（替代）竞标方案的；</w:t>
      </w:r>
      <w:bookmarkEnd w:id="73"/>
    </w:p>
    <w:p w14:paraId="1982DB51">
      <w:pPr>
        <w:spacing w:line="440" w:lineRule="exact"/>
        <w:ind w:firstLine="422" w:firstLineChars="200"/>
        <w:rPr>
          <w:rFonts w:ascii="宋体" w:hAnsi="宋体" w:cs="宋体"/>
          <w:b/>
          <w:color w:val="auto"/>
          <w:szCs w:val="21"/>
        </w:rPr>
      </w:pPr>
      <w:r>
        <w:rPr>
          <w:rFonts w:hint="eastAsia" w:ascii="宋体" w:hAnsi="宋体" w:cs="宋体"/>
          <w:b/>
          <w:color w:val="auto"/>
          <w:szCs w:val="21"/>
        </w:rPr>
        <w:t>14）响应文件标注的项目名称或者项目编号与磋商文件标注的项目名称或者项目编号不一致的；</w:t>
      </w:r>
    </w:p>
    <w:p w14:paraId="17C65B3A">
      <w:pPr>
        <w:spacing w:line="440" w:lineRule="exact"/>
        <w:ind w:firstLine="422" w:firstLineChars="200"/>
        <w:rPr>
          <w:rFonts w:ascii="宋体" w:hAnsi="宋体" w:cs="宋体"/>
          <w:b/>
          <w:color w:val="auto"/>
          <w:szCs w:val="21"/>
        </w:rPr>
      </w:pPr>
      <w:r>
        <w:rPr>
          <w:rFonts w:hint="eastAsia" w:ascii="宋体" w:hAnsi="宋体" w:cs="宋体"/>
          <w:b/>
          <w:color w:val="auto"/>
          <w:szCs w:val="21"/>
        </w:rPr>
        <w:t>15）竞争性磋商文件明确不允许分包，响应文件拟分包的；</w:t>
      </w:r>
    </w:p>
    <w:p w14:paraId="1E1B6B6E">
      <w:pPr>
        <w:spacing w:line="440" w:lineRule="exact"/>
        <w:ind w:firstLine="422" w:firstLineChars="200"/>
        <w:rPr>
          <w:rFonts w:ascii="宋体" w:hAnsi="宋体" w:cs="宋体"/>
          <w:b/>
          <w:color w:val="auto"/>
          <w:szCs w:val="21"/>
        </w:rPr>
      </w:pPr>
      <w:r>
        <w:rPr>
          <w:rFonts w:hint="eastAsia" w:ascii="宋体" w:hAnsi="宋体" w:cs="宋体"/>
          <w:b/>
          <w:color w:val="auto"/>
          <w:szCs w:val="21"/>
        </w:rPr>
        <w:t>16）未响应磋商文件实质性要求的；</w:t>
      </w:r>
    </w:p>
    <w:p w14:paraId="3DF26791">
      <w:pPr>
        <w:spacing w:line="440" w:lineRule="exact"/>
        <w:ind w:firstLine="422" w:firstLineChars="200"/>
        <w:rPr>
          <w:rFonts w:ascii="宋体" w:hAnsi="宋体" w:cs="宋体"/>
          <w:b/>
          <w:color w:val="auto"/>
          <w:szCs w:val="21"/>
        </w:rPr>
      </w:pPr>
      <w:r>
        <w:rPr>
          <w:rFonts w:hint="eastAsia" w:ascii="宋体" w:hAnsi="宋体" w:cs="宋体"/>
          <w:b/>
          <w:color w:val="auto"/>
          <w:szCs w:val="21"/>
        </w:rPr>
        <w:t>17）法律、法规和磋商文件规定的其他无效情形。</w:t>
      </w:r>
    </w:p>
    <w:p w14:paraId="754D3A3C">
      <w:pPr>
        <w:spacing w:line="440" w:lineRule="exact"/>
        <w:ind w:firstLine="422" w:firstLineChars="200"/>
        <w:rPr>
          <w:rFonts w:ascii="宋体" w:hAnsi="宋体" w:cs="宋体"/>
          <w:b/>
          <w:color w:val="auto"/>
          <w:szCs w:val="21"/>
        </w:rPr>
      </w:pPr>
      <w:r>
        <w:rPr>
          <w:rFonts w:hint="eastAsia" w:ascii="宋体" w:hAnsi="宋体" w:cs="宋体"/>
          <w:b/>
          <w:color w:val="auto"/>
          <w:szCs w:val="21"/>
        </w:rPr>
        <w:t>（2）报价评审</w:t>
      </w:r>
    </w:p>
    <w:p w14:paraId="1D61EC47">
      <w:pPr>
        <w:spacing w:line="440" w:lineRule="exact"/>
        <w:ind w:firstLine="422" w:firstLineChars="200"/>
        <w:rPr>
          <w:rFonts w:ascii="宋体" w:hAnsi="宋体" w:cs="宋体"/>
          <w:b/>
          <w:color w:val="auto"/>
          <w:szCs w:val="21"/>
        </w:rPr>
      </w:pPr>
      <w:r>
        <w:rPr>
          <w:rFonts w:hint="eastAsia" w:ascii="宋体" w:hAnsi="宋体" w:cs="宋体"/>
          <w:b/>
          <w:color w:val="auto"/>
          <w:szCs w:val="21"/>
        </w:rPr>
        <w:t>1）响应文件未提供“供应商须知前附表” 报价文件中规定的“竞标报价表”的；</w:t>
      </w:r>
    </w:p>
    <w:p w14:paraId="5F222148">
      <w:pPr>
        <w:spacing w:line="440" w:lineRule="exact"/>
        <w:ind w:firstLine="422" w:firstLineChars="200"/>
        <w:rPr>
          <w:rFonts w:ascii="宋体" w:hAnsi="宋体" w:cs="宋体"/>
          <w:b/>
          <w:color w:val="auto"/>
          <w:szCs w:val="21"/>
        </w:rPr>
      </w:pPr>
      <w:r>
        <w:rPr>
          <w:rFonts w:hint="eastAsia" w:ascii="宋体" w:hAnsi="宋体" w:cs="宋体"/>
          <w:b/>
          <w:color w:val="auto"/>
          <w:szCs w:val="21"/>
        </w:rPr>
        <w:t>2）未采用人民币报价或者未按照磋商文件标明的币种报价的；</w:t>
      </w:r>
    </w:p>
    <w:p w14:paraId="104B4F68">
      <w:pPr>
        <w:spacing w:line="440" w:lineRule="exact"/>
        <w:ind w:firstLine="422" w:firstLineChars="200"/>
        <w:rPr>
          <w:rFonts w:ascii="宋体" w:hAnsi="宋体" w:cs="宋体"/>
          <w:b/>
          <w:color w:val="auto"/>
          <w:szCs w:val="21"/>
        </w:rPr>
      </w:pPr>
      <w:r>
        <w:rPr>
          <w:rFonts w:hint="eastAsia" w:ascii="宋体" w:hAnsi="宋体" w:cs="宋体"/>
          <w:b/>
          <w:color w:val="auto"/>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630F154F">
      <w:pPr>
        <w:spacing w:line="440" w:lineRule="exact"/>
        <w:ind w:firstLine="422" w:firstLineChars="200"/>
        <w:rPr>
          <w:rFonts w:ascii="宋体" w:hAnsi="宋体" w:cs="宋体"/>
          <w:b/>
          <w:color w:val="auto"/>
          <w:szCs w:val="21"/>
        </w:rPr>
      </w:pPr>
      <w:r>
        <w:rPr>
          <w:rFonts w:hint="eastAsia" w:ascii="宋体" w:hAnsi="宋体" w:cs="宋体"/>
          <w:b/>
          <w:color w:val="auto"/>
          <w:szCs w:val="21"/>
        </w:rPr>
        <w:t>4）竞标报价（包含首次报价、最后报价）超过所竞标分标规定的采购预算金额或者最高限价的（如本项目公布了最高限价）；</w:t>
      </w:r>
      <w:bookmarkStart w:id="74" w:name="_Hlk42596405"/>
      <w:r>
        <w:rPr>
          <w:rFonts w:hint="eastAsia" w:ascii="宋体" w:hAnsi="宋体" w:cs="宋体"/>
          <w:b/>
          <w:color w:val="auto"/>
          <w:szCs w:val="21"/>
        </w:rPr>
        <w:t>竞标报价（包含首次报价、最后报价）</w:t>
      </w:r>
      <w:bookmarkEnd w:id="74"/>
      <w:bookmarkStart w:id="75" w:name="_Hlk42596276"/>
      <w:r>
        <w:rPr>
          <w:rFonts w:hint="eastAsia" w:ascii="宋体" w:hAnsi="宋体" w:cs="宋体"/>
          <w:b/>
          <w:color w:val="auto"/>
          <w:szCs w:val="21"/>
        </w:rPr>
        <w:t>超过磋商文件分项采购预算金额或者最高限价的</w:t>
      </w:r>
      <w:bookmarkEnd w:id="75"/>
      <w:r>
        <w:rPr>
          <w:rFonts w:hint="eastAsia" w:ascii="宋体" w:hAnsi="宋体" w:cs="宋体"/>
          <w:b/>
          <w:color w:val="auto"/>
          <w:szCs w:val="21"/>
        </w:rPr>
        <w:t>（如本项目有要求并公布了分项采购预算金额或者最高限价）；</w:t>
      </w:r>
    </w:p>
    <w:p w14:paraId="3CF7CA74">
      <w:pPr>
        <w:spacing w:line="440" w:lineRule="exact"/>
        <w:ind w:firstLine="422" w:firstLineChars="200"/>
        <w:rPr>
          <w:rFonts w:ascii="宋体" w:hAnsi="宋体" w:cs="宋体"/>
          <w:b/>
          <w:color w:val="auto"/>
          <w:szCs w:val="21"/>
        </w:rPr>
      </w:pPr>
      <w:r>
        <w:rPr>
          <w:rFonts w:hint="eastAsia" w:ascii="宋体" w:hAnsi="宋体" w:cs="宋体"/>
          <w:b/>
          <w:color w:val="auto"/>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有要求并公布了分项采购预算金额或者最高限价）。</w:t>
      </w:r>
    </w:p>
    <w:p w14:paraId="33023EEF">
      <w:pPr>
        <w:spacing w:line="440" w:lineRule="exact"/>
        <w:ind w:firstLine="422" w:firstLineChars="200"/>
        <w:rPr>
          <w:rFonts w:ascii="宋体" w:hAnsi="宋体" w:cs="宋体"/>
          <w:b/>
          <w:color w:val="auto"/>
          <w:szCs w:val="21"/>
        </w:rPr>
      </w:pPr>
      <w:r>
        <w:rPr>
          <w:rFonts w:hint="eastAsia" w:ascii="宋体" w:hAnsi="宋体" w:cs="宋体"/>
          <w:b/>
          <w:color w:val="auto"/>
          <w:szCs w:val="21"/>
        </w:rPr>
        <w:t>6）在单价合同工程中供应商采用总价优惠或以总价百分比优惠的方式进行竞标报价的；</w:t>
      </w:r>
    </w:p>
    <w:p w14:paraId="653CE94B">
      <w:pPr>
        <w:spacing w:line="440" w:lineRule="exact"/>
        <w:ind w:firstLine="422" w:firstLineChars="200"/>
        <w:rPr>
          <w:rFonts w:ascii="宋体" w:hAnsi="宋体" w:cs="宋体"/>
          <w:b/>
          <w:strike/>
          <w:color w:val="auto"/>
          <w:szCs w:val="21"/>
        </w:rPr>
      </w:pPr>
      <w:r>
        <w:rPr>
          <w:rFonts w:hint="eastAsia" w:ascii="宋体" w:hAnsi="宋体" w:cs="宋体"/>
          <w:b/>
          <w:color w:val="auto"/>
          <w:szCs w:val="21"/>
        </w:rPr>
        <w:t>7）竞标总报价与已标价工程量清单汇总表不一致的；</w:t>
      </w:r>
    </w:p>
    <w:p w14:paraId="6E671AE6">
      <w:pPr>
        <w:spacing w:line="440" w:lineRule="exact"/>
        <w:ind w:firstLine="422" w:firstLineChars="200"/>
        <w:rPr>
          <w:rFonts w:ascii="宋体" w:hAnsi="宋体" w:cs="宋体"/>
          <w:b/>
          <w:strike/>
          <w:color w:val="auto"/>
          <w:szCs w:val="21"/>
        </w:rPr>
      </w:pPr>
      <w:r>
        <w:rPr>
          <w:rFonts w:hint="eastAsia" w:ascii="宋体" w:hAnsi="宋体" w:cs="宋体"/>
          <w:b/>
          <w:color w:val="auto"/>
          <w:szCs w:val="21"/>
        </w:rPr>
        <w:t xml:space="preserve">8）供应商已标价工程量清单的项目编码（12位）、计量单位、工程量任何一处与工程量清单不一致的； </w:t>
      </w:r>
    </w:p>
    <w:p w14:paraId="1BE54DA3">
      <w:pPr>
        <w:spacing w:line="440" w:lineRule="exact"/>
        <w:ind w:firstLine="422" w:firstLineChars="200"/>
        <w:rPr>
          <w:rFonts w:ascii="宋体" w:hAnsi="宋体" w:cs="宋体"/>
          <w:b/>
          <w:color w:val="auto"/>
          <w:szCs w:val="21"/>
        </w:rPr>
      </w:pPr>
      <w:r>
        <w:rPr>
          <w:rFonts w:hint="eastAsia" w:ascii="宋体" w:hAnsi="宋体" w:cs="宋体"/>
          <w:b/>
          <w:color w:val="auto"/>
          <w:szCs w:val="21"/>
        </w:rPr>
        <w:t>9）设有暂估价、暂列金额的，竞标时未按工程量清单给出的暂估价总价、暂列金额总价计入竞标总报价中的；</w:t>
      </w:r>
    </w:p>
    <w:p w14:paraId="05DA3D3B">
      <w:pPr>
        <w:spacing w:line="440" w:lineRule="exact"/>
        <w:ind w:firstLine="422" w:firstLineChars="200"/>
        <w:rPr>
          <w:rFonts w:ascii="宋体" w:hAnsi="宋体" w:cs="宋体"/>
          <w:b/>
          <w:color w:val="auto"/>
          <w:szCs w:val="21"/>
        </w:rPr>
      </w:pPr>
      <w:r>
        <w:rPr>
          <w:rFonts w:hint="eastAsia" w:ascii="宋体" w:hAnsi="宋体" w:cs="宋体"/>
          <w:b/>
          <w:color w:val="auto"/>
          <w:szCs w:val="21"/>
        </w:rPr>
        <w:t>11）供应商对工程量清单内容进行增减或对竞标范围进行调整的；</w:t>
      </w:r>
    </w:p>
    <w:p w14:paraId="1E9111EF">
      <w:pPr>
        <w:spacing w:line="440" w:lineRule="exact"/>
        <w:ind w:firstLine="422" w:firstLineChars="200"/>
        <w:rPr>
          <w:rFonts w:ascii="宋体" w:hAnsi="宋体" w:cs="宋体"/>
          <w:b/>
          <w:color w:val="auto"/>
          <w:szCs w:val="21"/>
        </w:rPr>
      </w:pPr>
      <w:r>
        <w:rPr>
          <w:rFonts w:hint="eastAsia" w:ascii="宋体" w:hAnsi="宋体" w:cs="宋体"/>
          <w:b/>
          <w:color w:val="auto"/>
          <w:szCs w:val="21"/>
        </w:rPr>
        <w:t>12）响应文件响应的标的数量及单位与竞争性磋商采购文件要求实质性不一致的；</w:t>
      </w:r>
    </w:p>
    <w:p w14:paraId="4A76CD49">
      <w:pPr>
        <w:spacing w:line="440" w:lineRule="exact"/>
        <w:ind w:firstLine="422" w:firstLineChars="200"/>
        <w:rPr>
          <w:rFonts w:ascii="宋体" w:hAnsi="宋体" w:cs="宋体"/>
          <w:b/>
          <w:color w:val="auto"/>
          <w:szCs w:val="21"/>
        </w:rPr>
      </w:pPr>
      <w:r>
        <w:rPr>
          <w:rFonts w:hint="eastAsia" w:ascii="宋体" w:hAnsi="宋体" w:cs="宋体"/>
          <w:b/>
          <w:color w:val="auto"/>
          <w:szCs w:val="21"/>
        </w:rPr>
        <w:t>13）未响应磋商文件实质性要求的。</w:t>
      </w:r>
    </w:p>
    <w:p w14:paraId="6FF57D06">
      <w:pPr>
        <w:spacing w:line="440" w:lineRule="exact"/>
        <w:ind w:firstLine="420" w:firstLineChars="200"/>
        <w:rPr>
          <w:rFonts w:ascii="宋体" w:hAnsi="宋体" w:cs="宋体"/>
          <w:color w:val="auto"/>
          <w:szCs w:val="21"/>
        </w:rPr>
      </w:pPr>
      <w:r>
        <w:rPr>
          <w:rFonts w:hint="eastAsia" w:ascii="宋体" w:hAnsi="宋体" w:cs="宋体"/>
          <w:color w:val="auto"/>
          <w:szCs w:val="21"/>
        </w:rPr>
        <w:t>2.6磋商小组对响应文件进行评审，未实质性响应磋商文件的响应文件按无效处理，磋商小组应当将资格和符合性不通过的情况告知有关供应商。</w:t>
      </w:r>
    </w:p>
    <w:p w14:paraId="2DC6CCA9">
      <w:pPr>
        <w:spacing w:line="440" w:lineRule="exact"/>
        <w:ind w:firstLine="420" w:firstLineChars="200"/>
        <w:rPr>
          <w:rFonts w:ascii="宋体" w:hAnsi="宋体" w:cs="宋体"/>
          <w:color w:val="auto"/>
          <w:szCs w:val="21"/>
        </w:rPr>
      </w:pPr>
      <w:r>
        <w:rPr>
          <w:rFonts w:hint="eastAsia" w:ascii="宋体" w:hAnsi="宋体" w:cs="宋体"/>
          <w:color w:val="auto"/>
          <w:szCs w:val="21"/>
        </w:rPr>
        <w:t>2.7通过符合性审查的合格供应商不足3家的，不得进入磋商环节，应当重新开展采购活动。</w:t>
      </w:r>
    </w:p>
    <w:p w14:paraId="1285FE8E">
      <w:pPr>
        <w:spacing w:line="440" w:lineRule="exact"/>
        <w:ind w:firstLine="482" w:firstLineChars="200"/>
        <w:rPr>
          <w:rFonts w:ascii="宋体" w:hAnsi="宋体" w:cs="宋体"/>
          <w:b/>
          <w:bCs/>
          <w:color w:val="auto"/>
          <w:sz w:val="24"/>
        </w:rPr>
      </w:pPr>
      <w:r>
        <w:rPr>
          <w:rFonts w:hint="eastAsia" w:ascii="宋体" w:hAnsi="宋体" w:cs="宋体"/>
          <w:b/>
          <w:bCs/>
          <w:color w:val="auto"/>
          <w:sz w:val="24"/>
        </w:rPr>
        <w:t>3.磋商程序</w:t>
      </w:r>
    </w:p>
    <w:p w14:paraId="4F3C3D58">
      <w:pPr>
        <w:spacing w:line="440" w:lineRule="exact"/>
        <w:ind w:firstLine="420" w:firstLineChars="200"/>
        <w:rPr>
          <w:rFonts w:ascii="宋体" w:hAnsi="宋体" w:cs="宋体"/>
          <w:color w:val="auto"/>
          <w:kern w:val="0"/>
          <w:szCs w:val="21"/>
        </w:rPr>
      </w:pPr>
      <w:r>
        <w:rPr>
          <w:rFonts w:hint="eastAsia" w:ascii="宋体" w:hAnsi="宋体" w:cs="宋体"/>
          <w:color w:val="auto"/>
          <w:kern w:val="0"/>
          <w:szCs w:val="21"/>
        </w:rPr>
        <w:t>3.1磋商小组</w:t>
      </w:r>
      <w:r>
        <w:rPr>
          <w:rFonts w:hint="eastAsia" w:ascii="宋体" w:hAnsi="宋体" w:cs="宋体"/>
          <w:color w:val="auto"/>
          <w:szCs w:val="21"/>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73E4F6EA">
      <w:pPr>
        <w:spacing w:line="440" w:lineRule="exact"/>
        <w:ind w:firstLine="420" w:firstLineChars="200"/>
        <w:rPr>
          <w:rFonts w:ascii="宋体" w:hAnsi="宋体" w:cs="宋体"/>
          <w:color w:val="auto"/>
          <w:szCs w:val="21"/>
        </w:rPr>
      </w:pPr>
      <w:r>
        <w:rPr>
          <w:rFonts w:hint="eastAsia" w:ascii="宋体" w:hAnsi="宋体" w:cs="宋体"/>
          <w:color w:val="auto"/>
          <w:szCs w:val="21"/>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D666B2D">
      <w:pPr>
        <w:spacing w:line="440" w:lineRule="exact"/>
        <w:ind w:firstLine="420" w:firstLineChars="200"/>
        <w:rPr>
          <w:rFonts w:ascii="宋体" w:hAnsi="宋体" w:cs="宋体"/>
          <w:color w:val="auto"/>
          <w:szCs w:val="21"/>
        </w:rPr>
      </w:pPr>
      <w:r>
        <w:rPr>
          <w:rFonts w:hint="eastAsia" w:ascii="宋体" w:hAnsi="宋体" w:cs="宋体"/>
          <w:color w:val="auto"/>
          <w:szCs w:val="21"/>
        </w:rPr>
        <w:t>3.3对磋商文件作出的实质性变动是磋商文件的有效组成部分，由磋商小组及时以电子澄清函形式同时通知所有参加磋商的供应商。</w:t>
      </w:r>
    </w:p>
    <w:p w14:paraId="78E5EE71">
      <w:pPr>
        <w:spacing w:line="440" w:lineRule="exact"/>
        <w:ind w:firstLine="420" w:firstLineChars="200"/>
        <w:rPr>
          <w:rFonts w:ascii="宋体" w:hAnsi="宋体" w:cs="宋体"/>
          <w:color w:val="auto"/>
          <w:szCs w:val="21"/>
        </w:rPr>
      </w:pPr>
      <w:r>
        <w:rPr>
          <w:rFonts w:hint="eastAsia" w:ascii="宋体" w:hAnsi="宋体" w:cs="宋体"/>
          <w:color w:val="auto"/>
          <w:szCs w:val="21"/>
        </w:rPr>
        <w:t>3.4供应商必须按照磋商文件的变动情况和磋商小组的要求以回函的形式重新提交响应文件，并由其法定代表人或者授权代表签字或者加盖电子签章。磋商过程中重新提交的响应文件，供应商可以在开启前补充、修改。参加磋商的供应商未在规定时间内重新提交响应文件的，视同退出磋商，其响应文件按无效处理。</w:t>
      </w:r>
    </w:p>
    <w:p w14:paraId="1515079D">
      <w:pPr>
        <w:spacing w:line="440" w:lineRule="exact"/>
        <w:ind w:firstLine="420" w:firstLineChars="200"/>
        <w:rPr>
          <w:rFonts w:ascii="宋体" w:hAnsi="宋体" w:cs="宋体"/>
          <w:color w:val="auto"/>
          <w:szCs w:val="21"/>
        </w:rPr>
      </w:pPr>
      <w:r>
        <w:rPr>
          <w:rFonts w:hint="eastAsia" w:ascii="宋体" w:hAnsi="宋体" w:cs="宋体"/>
          <w:color w:val="auto"/>
          <w:szCs w:val="21"/>
        </w:rPr>
        <w:t>3.5磋商中，磋商的任何一方不得透露与磋商有关的其他供应商的技术资料、价格和其他信息</w:t>
      </w:r>
      <w:r>
        <w:rPr>
          <w:rFonts w:hint="eastAsia" w:ascii="宋体" w:hAnsi="宋体" w:cs="宋体"/>
          <w:color w:val="auto"/>
          <w:spacing w:val="-6"/>
          <w:szCs w:val="21"/>
        </w:rPr>
        <w:t>。</w:t>
      </w:r>
    </w:p>
    <w:p w14:paraId="4F1F5FCD">
      <w:pPr>
        <w:widowControl/>
        <w:tabs>
          <w:tab w:val="left" w:pos="540"/>
        </w:tabs>
        <w:spacing w:line="440" w:lineRule="exact"/>
        <w:ind w:firstLine="420" w:firstLineChars="200"/>
        <w:jc w:val="left"/>
        <w:rPr>
          <w:rFonts w:ascii="宋体" w:hAnsi="宋体" w:cs="宋体"/>
          <w:color w:val="auto"/>
          <w:szCs w:val="21"/>
        </w:rPr>
      </w:pPr>
      <w:r>
        <w:rPr>
          <w:rFonts w:hint="eastAsia" w:ascii="宋体" w:hAnsi="宋体" w:cs="宋体"/>
          <w:color w:val="auto"/>
          <w:szCs w:val="21"/>
        </w:rPr>
        <w:t>3.6采购代理机构对磋商过程和磋商内容进行记录。</w:t>
      </w:r>
    </w:p>
    <w:p w14:paraId="78C864CF">
      <w:pPr>
        <w:widowControl/>
        <w:tabs>
          <w:tab w:val="left" w:pos="540"/>
        </w:tabs>
        <w:spacing w:line="440" w:lineRule="exact"/>
        <w:ind w:firstLine="420" w:firstLineChars="200"/>
        <w:jc w:val="left"/>
        <w:rPr>
          <w:rFonts w:ascii="宋体" w:hAnsi="宋体" w:cs="宋体"/>
          <w:color w:val="auto"/>
          <w:szCs w:val="21"/>
        </w:rPr>
      </w:pPr>
      <w:r>
        <w:rPr>
          <w:rFonts w:hint="eastAsia" w:ascii="宋体" w:hAnsi="宋体" w:cs="宋体"/>
          <w:color w:val="auto"/>
          <w:szCs w:val="21"/>
        </w:rPr>
        <w:t>3.7</w:t>
      </w:r>
      <w:r>
        <w:rPr>
          <w:rFonts w:hint="eastAsia" w:ascii="宋体" w:hAnsi="宋体" w:cs="宋体"/>
          <w:color w:val="auto"/>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F24B613">
      <w:pPr>
        <w:tabs>
          <w:tab w:val="left" w:pos="2835"/>
        </w:tabs>
        <w:spacing w:line="440" w:lineRule="exact"/>
        <w:ind w:firstLine="420" w:firstLineChars="200"/>
        <w:rPr>
          <w:rFonts w:ascii="宋体" w:hAnsi="宋体" w:cs="宋体"/>
          <w:color w:val="auto"/>
          <w:szCs w:val="21"/>
        </w:rPr>
      </w:pPr>
      <w:r>
        <w:rPr>
          <w:rFonts w:hint="eastAsia" w:ascii="宋体" w:hAnsi="宋体" w:cs="宋体"/>
          <w:color w:val="auto"/>
          <w:szCs w:val="21"/>
        </w:rPr>
        <w:t>3.8除</w:t>
      </w:r>
      <w:r>
        <w:rPr>
          <w:rFonts w:hint="eastAsia" w:ascii="宋体" w:hAnsi="宋体" w:cs="宋体"/>
          <w:color w:val="auto"/>
        </w:rPr>
        <w:t>本章第3.7条规定的情形外，</w:t>
      </w:r>
      <w:r>
        <w:rPr>
          <w:rFonts w:hint="eastAsia" w:ascii="宋体" w:hAnsi="宋体" w:cs="宋体"/>
          <w:color w:val="auto"/>
          <w:szCs w:val="21"/>
        </w:rPr>
        <w:t>对磋商过程提交的响应文件进行有效性、完整性和响应程度审查，通过审查的合格供应商不足3家的，应当重新开展采购活动。</w:t>
      </w:r>
    </w:p>
    <w:p w14:paraId="5920EB7C">
      <w:pPr>
        <w:spacing w:line="440" w:lineRule="exact"/>
        <w:ind w:firstLine="482" w:firstLineChars="200"/>
        <w:rPr>
          <w:rFonts w:ascii="宋体" w:hAnsi="宋体" w:cs="宋体"/>
          <w:color w:val="auto"/>
          <w:szCs w:val="21"/>
        </w:rPr>
      </w:pPr>
      <w:r>
        <w:rPr>
          <w:rFonts w:hint="eastAsia" w:ascii="宋体" w:hAnsi="宋体" w:cs="宋体"/>
          <w:b/>
          <w:bCs/>
          <w:color w:val="auto"/>
          <w:sz w:val="24"/>
        </w:rPr>
        <w:t>4. 最后报价</w:t>
      </w:r>
    </w:p>
    <w:p w14:paraId="66CB6694">
      <w:pPr>
        <w:spacing w:line="440" w:lineRule="exact"/>
        <w:ind w:firstLine="420" w:firstLineChars="200"/>
        <w:rPr>
          <w:rFonts w:ascii="宋体" w:hAnsi="宋体" w:cs="宋体"/>
          <w:color w:val="auto"/>
          <w:szCs w:val="21"/>
        </w:rPr>
      </w:pPr>
      <w:r>
        <w:rPr>
          <w:rFonts w:hint="eastAsia" w:ascii="宋体" w:hAnsi="宋体" w:cs="宋体"/>
          <w:color w:val="auto"/>
          <w:szCs w:val="21"/>
        </w:rPr>
        <w:t>4.1磋商文件能够详细列明采购标的的技术、服务要求的，磋商结束后，磋商小组应当要求所有继续参加磋商的供应商在规定时间内在广西政府采购云平台开标大厅提交加盖供应商电子签章的最后报价，除本章第4.3条规定的情形外，提交最后报价的供应商不得少于3家，否则应当重新开展采购活动。</w:t>
      </w:r>
    </w:p>
    <w:p w14:paraId="37BC8BAE">
      <w:pPr>
        <w:spacing w:line="440" w:lineRule="exact"/>
        <w:ind w:firstLine="420" w:firstLineChars="200"/>
        <w:rPr>
          <w:rFonts w:ascii="宋体" w:hAnsi="宋体" w:cs="宋体"/>
          <w:color w:val="auto"/>
          <w:szCs w:val="21"/>
        </w:rPr>
      </w:pPr>
      <w:r>
        <w:rPr>
          <w:rFonts w:hint="eastAsia" w:ascii="宋体" w:hAnsi="宋体" w:cs="宋体"/>
          <w:color w:val="auto"/>
          <w:szCs w:val="21"/>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r>
        <w:rPr>
          <w:rFonts w:hint="eastAsia" w:ascii="宋体" w:hAnsi="宋体" w:cs="宋体"/>
          <w:b/>
          <w:color w:val="auto"/>
          <w:szCs w:val="21"/>
        </w:rPr>
        <w:t>如果供应商的最后报价与首次报价不一致的，不能只报竞标总报价，必须同时提供“已标价工程量清单”，否则做无效响应处理。</w:t>
      </w:r>
    </w:p>
    <w:p w14:paraId="57E492CE">
      <w:pPr>
        <w:spacing w:line="440" w:lineRule="exact"/>
        <w:ind w:firstLine="420" w:firstLineChars="200"/>
        <w:rPr>
          <w:rFonts w:ascii="宋体" w:hAnsi="宋体" w:cs="宋体"/>
          <w:color w:val="auto"/>
          <w:szCs w:val="21"/>
        </w:rPr>
      </w:pPr>
      <w:r>
        <w:rPr>
          <w:rFonts w:hint="eastAsia" w:ascii="宋体" w:hAnsi="宋体" w:cs="宋体"/>
          <w:color w:val="auto"/>
          <w:szCs w:val="21"/>
        </w:rPr>
        <w:t>4.3 最后报价是供应商响应文件的有效组成部分。符合《政府采购竞争性磋商采购方式管理暂行办法》（财库〔2014〕214号）第三条第四项“市场竞争不充分的科研项目，以及需要扶持的科技成果转化项目”和</w:t>
      </w:r>
      <w:r>
        <w:rPr>
          <w:rFonts w:hint="eastAsia" w:ascii="宋体" w:hAnsi="宋体" w:cs="宋体"/>
          <w:color w:val="auto"/>
        </w:rPr>
        <w:t>本章第3.7条</w:t>
      </w:r>
      <w:r>
        <w:rPr>
          <w:rFonts w:hint="eastAsia" w:ascii="宋体" w:hAnsi="宋体" w:cs="宋体"/>
          <w:color w:val="auto"/>
          <w:szCs w:val="21"/>
        </w:rPr>
        <w:t>规定</w:t>
      </w:r>
      <w:r>
        <w:rPr>
          <w:rFonts w:hint="eastAsia" w:ascii="宋体" w:hAnsi="宋体" w:cs="宋体"/>
          <w:color w:val="auto"/>
        </w:rPr>
        <w:t>情形的，</w:t>
      </w:r>
      <w:r>
        <w:rPr>
          <w:rFonts w:hint="eastAsia" w:ascii="宋体" w:hAnsi="宋体" w:cs="宋体"/>
          <w:color w:val="auto"/>
          <w:szCs w:val="21"/>
        </w:rPr>
        <w:t>提交最后报价的供应商可以为2家。</w:t>
      </w:r>
    </w:p>
    <w:p w14:paraId="400974C3">
      <w:pPr>
        <w:spacing w:line="440" w:lineRule="exact"/>
        <w:ind w:firstLine="420" w:firstLineChars="200"/>
        <w:rPr>
          <w:rFonts w:ascii="宋体" w:hAnsi="宋体" w:cs="宋体"/>
          <w:color w:val="auto"/>
          <w:szCs w:val="21"/>
        </w:rPr>
      </w:pPr>
      <w:r>
        <w:rPr>
          <w:rFonts w:hint="eastAsia" w:ascii="宋体" w:hAnsi="宋体" w:cs="宋体"/>
          <w:color w:val="auto"/>
          <w:szCs w:val="21"/>
        </w:rPr>
        <w:t>4.4已经提交响应文件的供应商，在提交最后报价之前，可以根据磋商情况退出磋商，退出磋商的供应商的响应文件按无效处理。采购人、采购代理机构将退还退出磋商的供应商的保证金。</w:t>
      </w:r>
    </w:p>
    <w:p w14:paraId="00D6294D">
      <w:pPr>
        <w:spacing w:line="440" w:lineRule="exact"/>
        <w:ind w:firstLine="420" w:firstLineChars="200"/>
        <w:rPr>
          <w:rFonts w:ascii="宋体" w:hAnsi="宋体" w:cs="宋体"/>
          <w:color w:val="auto"/>
          <w:szCs w:val="21"/>
        </w:rPr>
      </w:pPr>
      <w:r>
        <w:rPr>
          <w:rFonts w:hint="eastAsia" w:ascii="宋体" w:hAnsi="宋体" w:cs="宋体"/>
          <w:color w:val="auto"/>
          <w:szCs w:val="21"/>
        </w:rPr>
        <w:t>4.5供应商未在规定时间内提交最后报价的，视同退出磋商，其响应文件按无效处理。</w:t>
      </w:r>
    </w:p>
    <w:p w14:paraId="26A69130">
      <w:pPr>
        <w:spacing w:line="440" w:lineRule="exact"/>
        <w:ind w:firstLine="420" w:firstLineChars="200"/>
        <w:rPr>
          <w:rFonts w:ascii="宋体" w:hAnsi="宋体" w:cs="宋体"/>
          <w:color w:val="auto"/>
          <w:szCs w:val="21"/>
        </w:rPr>
      </w:pPr>
      <w:r>
        <w:rPr>
          <w:rFonts w:hint="eastAsia" w:ascii="宋体" w:hAnsi="宋体" w:cs="宋体"/>
          <w:color w:val="auto"/>
          <w:szCs w:val="21"/>
        </w:rPr>
        <w:t>4.6最后报价统一开启后，磋商小组对最后报价进行有效性、完整性和响应程度的审查。</w:t>
      </w:r>
    </w:p>
    <w:p w14:paraId="75979897">
      <w:pPr>
        <w:spacing w:line="440" w:lineRule="exact"/>
        <w:ind w:firstLine="420" w:firstLineChars="200"/>
        <w:rPr>
          <w:rFonts w:ascii="宋体" w:hAnsi="宋体" w:cs="宋体"/>
          <w:color w:val="auto"/>
          <w:szCs w:val="21"/>
        </w:rPr>
      </w:pPr>
      <w:r>
        <w:rPr>
          <w:rFonts w:hint="eastAsia" w:ascii="宋体" w:hAnsi="宋体" w:cs="宋体"/>
          <w:color w:val="auto"/>
          <w:szCs w:val="21"/>
        </w:rPr>
        <w:t xml:space="preserve">4.7最后报价出现前后不一致的，按照本章第2.4条的规定修正。 </w:t>
      </w:r>
    </w:p>
    <w:p w14:paraId="06744069">
      <w:pPr>
        <w:spacing w:line="440" w:lineRule="exact"/>
        <w:ind w:firstLine="420" w:firstLineChars="200"/>
        <w:rPr>
          <w:rFonts w:ascii="宋体" w:hAnsi="宋体" w:cs="宋体"/>
          <w:color w:val="auto"/>
          <w:szCs w:val="21"/>
        </w:rPr>
      </w:pPr>
      <w:r>
        <w:rPr>
          <w:rFonts w:hint="eastAsia" w:ascii="宋体" w:hAnsi="宋体" w:cs="宋体"/>
          <w:color w:val="auto"/>
          <w:szCs w:val="21"/>
        </w:rPr>
        <w:t>4.8修正后的报价出现下列情形的，按无效响应处理：</w:t>
      </w:r>
    </w:p>
    <w:p w14:paraId="0DE189DA">
      <w:pPr>
        <w:spacing w:line="440" w:lineRule="exact"/>
        <w:ind w:firstLine="420" w:firstLineChars="200"/>
        <w:rPr>
          <w:rFonts w:ascii="宋体" w:hAnsi="宋体" w:cs="宋体"/>
          <w:color w:val="auto"/>
          <w:szCs w:val="21"/>
        </w:rPr>
      </w:pPr>
      <w:r>
        <w:rPr>
          <w:rFonts w:hint="eastAsia" w:ascii="宋体" w:hAnsi="宋体" w:cs="宋体"/>
          <w:color w:val="auto"/>
          <w:szCs w:val="21"/>
        </w:rPr>
        <w:t>（1）供应商不确认的（全流程电子化评标采取在线确认）；</w:t>
      </w:r>
    </w:p>
    <w:p w14:paraId="2E69A840">
      <w:pPr>
        <w:spacing w:line="440" w:lineRule="exact"/>
        <w:ind w:firstLine="420" w:firstLineChars="200"/>
        <w:rPr>
          <w:rFonts w:ascii="宋体" w:hAnsi="宋体" w:cs="宋体"/>
          <w:color w:val="auto"/>
          <w:szCs w:val="21"/>
        </w:rPr>
      </w:pPr>
      <w:r>
        <w:rPr>
          <w:rFonts w:hint="eastAsia" w:ascii="宋体" w:hAnsi="宋体" w:cs="宋体"/>
          <w:color w:val="auto"/>
          <w:szCs w:val="21"/>
        </w:rPr>
        <w:t>（2）经供应商确认修正后的竞标报价（包含首次报价、最后报价）超过所竞标分标规定的采购预算金额或者最高限价的（如本项目公布了最高限价）；</w:t>
      </w:r>
    </w:p>
    <w:p w14:paraId="76B2BC9E">
      <w:pPr>
        <w:spacing w:line="440" w:lineRule="exact"/>
        <w:ind w:firstLine="420" w:firstLineChars="200"/>
        <w:rPr>
          <w:rFonts w:ascii="宋体" w:hAnsi="宋体" w:cs="宋体"/>
          <w:color w:val="auto"/>
          <w:szCs w:val="21"/>
        </w:rPr>
      </w:pPr>
      <w:r>
        <w:rPr>
          <w:rFonts w:hint="eastAsia" w:ascii="宋体" w:hAnsi="宋体" w:cs="宋体"/>
          <w:color w:val="auto"/>
          <w:szCs w:val="21"/>
        </w:rPr>
        <w:t>（3）经供应商确认修正后的竞标报价（包含首次报价、最后报价）超过分项采购预算金额或者最高限价的（如本项目公布了最高限价）。</w:t>
      </w:r>
    </w:p>
    <w:p w14:paraId="7E435B7C">
      <w:pPr>
        <w:spacing w:line="440" w:lineRule="exact"/>
        <w:ind w:firstLine="420" w:firstLineChars="200"/>
        <w:rPr>
          <w:rFonts w:ascii="宋体" w:hAnsi="宋体" w:cs="宋体"/>
          <w:color w:val="auto"/>
          <w:szCs w:val="21"/>
        </w:rPr>
      </w:pPr>
      <w:r>
        <w:rPr>
          <w:rFonts w:hint="eastAsia" w:ascii="宋体" w:hAnsi="宋体" w:cs="宋体"/>
          <w:color w:val="auto"/>
          <w:szCs w:val="21"/>
        </w:rPr>
        <w:t>4.9经供应商确认修正后的最后报价作为评审及签订合同的依据。</w:t>
      </w:r>
    </w:p>
    <w:p w14:paraId="3E19C547">
      <w:pPr>
        <w:spacing w:line="440" w:lineRule="exact"/>
        <w:ind w:firstLine="420" w:firstLineChars="200"/>
        <w:rPr>
          <w:rFonts w:ascii="宋体" w:hAnsi="宋体" w:cs="宋体"/>
          <w:color w:val="auto"/>
          <w:szCs w:val="21"/>
        </w:rPr>
      </w:pPr>
      <w:r>
        <w:rPr>
          <w:rFonts w:hint="eastAsia" w:ascii="宋体" w:hAnsi="宋体" w:cs="宋体"/>
          <w:color w:val="auto"/>
          <w:szCs w:val="21"/>
        </w:rPr>
        <w:t>4.10供应商出现最后报价按无效响应处理或者响应文件按无效处理时</w:t>
      </w:r>
      <w:r>
        <w:rPr>
          <w:rFonts w:hint="eastAsia" w:ascii="宋体" w:hAnsi="宋体" w:cs="宋体"/>
          <w:color w:val="auto"/>
          <w:sz w:val="22"/>
          <w:szCs w:val="22"/>
        </w:rPr>
        <w:t>，磋商小组应当告知有关供应商</w:t>
      </w:r>
      <w:r>
        <w:rPr>
          <w:rFonts w:hint="eastAsia" w:ascii="宋体" w:hAnsi="宋体" w:cs="宋体"/>
          <w:color w:val="auto"/>
          <w:szCs w:val="21"/>
        </w:rPr>
        <w:t>。</w:t>
      </w:r>
    </w:p>
    <w:p w14:paraId="7EFED64B">
      <w:pPr>
        <w:spacing w:line="440" w:lineRule="exact"/>
        <w:ind w:firstLine="420" w:firstLineChars="200"/>
        <w:rPr>
          <w:rFonts w:ascii="宋体" w:hAnsi="宋体" w:cs="宋体"/>
          <w:color w:val="auto"/>
          <w:szCs w:val="21"/>
        </w:rPr>
      </w:pPr>
      <w:r>
        <w:rPr>
          <w:rFonts w:hint="eastAsia" w:ascii="宋体" w:hAnsi="宋体" w:cs="宋体"/>
          <w:color w:val="auto"/>
          <w:szCs w:val="21"/>
        </w:rPr>
        <w:t>4.11最后报价结束后，磋商小组不得再与供应商进行任何形式的商谈。</w:t>
      </w:r>
    </w:p>
    <w:p w14:paraId="1E830B6D">
      <w:pPr>
        <w:spacing w:line="440" w:lineRule="exact"/>
        <w:ind w:firstLine="482" w:firstLineChars="200"/>
        <w:rPr>
          <w:rFonts w:ascii="宋体" w:hAnsi="宋体" w:cs="宋体"/>
          <w:b/>
          <w:bCs/>
          <w:color w:val="auto"/>
          <w:sz w:val="24"/>
        </w:rPr>
      </w:pPr>
      <w:r>
        <w:rPr>
          <w:rFonts w:hint="eastAsia" w:ascii="宋体" w:hAnsi="宋体" w:cs="宋体"/>
          <w:b/>
          <w:bCs/>
          <w:color w:val="auto"/>
          <w:sz w:val="24"/>
        </w:rPr>
        <w:t>5.比较与评价</w:t>
      </w:r>
    </w:p>
    <w:p w14:paraId="532B3355">
      <w:pPr>
        <w:spacing w:line="440" w:lineRule="exact"/>
        <w:ind w:firstLine="420" w:firstLineChars="200"/>
        <w:rPr>
          <w:rFonts w:ascii="宋体" w:hAnsi="宋体" w:cs="宋体"/>
          <w:color w:val="auto"/>
          <w:szCs w:val="21"/>
        </w:rPr>
      </w:pPr>
      <w:r>
        <w:rPr>
          <w:rFonts w:hint="eastAsia" w:ascii="宋体" w:hAnsi="宋体" w:cs="宋体"/>
          <w:color w:val="auto"/>
          <w:szCs w:val="21"/>
        </w:rPr>
        <w:t>5.1评审方法：综合评分法。</w:t>
      </w:r>
    </w:p>
    <w:p w14:paraId="5ECAA3EF">
      <w:pPr>
        <w:spacing w:line="440" w:lineRule="exact"/>
        <w:ind w:firstLine="420" w:firstLineChars="200"/>
        <w:rPr>
          <w:rFonts w:ascii="宋体" w:hAnsi="宋体" w:cs="宋体"/>
          <w:color w:val="auto"/>
          <w:szCs w:val="21"/>
        </w:rPr>
      </w:pPr>
      <w:r>
        <w:rPr>
          <w:rFonts w:hint="eastAsia" w:ascii="宋体" w:hAnsi="宋体" w:cs="宋体"/>
          <w:color w:val="auto"/>
          <w:szCs w:val="21"/>
        </w:rPr>
        <w:t>5.2经磋商确定最终采购需求和提交最后报价的供应商后，由磋商小组采用综合评分法对提交最后报价的供应商的响应文件和最后报价进行综合评分。</w:t>
      </w:r>
    </w:p>
    <w:p w14:paraId="108AE325">
      <w:pPr>
        <w:spacing w:line="440" w:lineRule="exact"/>
        <w:ind w:firstLine="420" w:firstLineChars="200"/>
        <w:rPr>
          <w:rFonts w:ascii="宋体" w:hAnsi="宋体" w:cs="宋体"/>
          <w:color w:val="auto"/>
          <w:szCs w:val="21"/>
        </w:rPr>
      </w:pPr>
      <w:r>
        <w:rPr>
          <w:rFonts w:hint="eastAsia" w:ascii="宋体" w:hAnsi="宋体" w:cs="宋体"/>
          <w:color w:val="auto"/>
          <w:szCs w:val="21"/>
        </w:rPr>
        <w:t>5.3评审时，磋商小组各成员应当独立对每个有效响应的文件进行评价、打分，然后汇总每个供应商每项评分因素的得分。</w:t>
      </w:r>
    </w:p>
    <w:p w14:paraId="2A01E3CF">
      <w:pPr>
        <w:spacing w:line="440" w:lineRule="exact"/>
        <w:ind w:firstLine="420" w:firstLineChars="200"/>
        <w:rPr>
          <w:rFonts w:ascii="宋体" w:hAnsi="宋体" w:cs="宋体"/>
          <w:color w:val="auto"/>
          <w:szCs w:val="21"/>
        </w:rPr>
      </w:pPr>
      <w:r>
        <w:rPr>
          <w:rFonts w:hint="eastAsia" w:ascii="宋体" w:hAnsi="宋体" w:cs="宋体"/>
          <w:color w:val="auto"/>
          <w:szCs w:val="21"/>
        </w:rPr>
        <w:t>（1）磋商小组按照磋商文件中规定的评审标准计算各供应商的报价得分。项目评审过程中，不得去掉最后报价中的最高报价和最低报价。</w:t>
      </w:r>
    </w:p>
    <w:p w14:paraId="2DF9E72E">
      <w:pPr>
        <w:spacing w:line="440" w:lineRule="exact"/>
        <w:ind w:firstLine="420" w:firstLineChars="200"/>
        <w:rPr>
          <w:rFonts w:ascii="宋体" w:hAnsi="宋体" w:cs="宋体"/>
          <w:color w:val="auto"/>
          <w:szCs w:val="21"/>
        </w:rPr>
      </w:pPr>
      <w:r>
        <w:rPr>
          <w:rFonts w:hint="eastAsia" w:ascii="宋体" w:hAnsi="宋体" w:cs="宋体"/>
          <w:color w:val="auto"/>
          <w:szCs w:val="21"/>
        </w:rPr>
        <w:t>（2）各供应商的得分为磋商小组所有成员的有效评分的算术平均数。</w:t>
      </w:r>
    </w:p>
    <w:p w14:paraId="4EA7297E">
      <w:pPr>
        <w:spacing w:line="440" w:lineRule="exact"/>
        <w:ind w:firstLine="420" w:firstLineChars="200"/>
        <w:rPr>
          <w:rFonts w:ascii="宋体" w:hAnsi="宋体" w:cs="宋体"/>
          <w:color w:val="auto"/>
          <w:szCs w:val="21"/>
        </w:rPr>
      </w:pPr>
      <w:r>
        <w:rPr>
          <w:rFonts w:hint="eastAsia" w:ascii="宋体" w:hAnsi="宋体" w:cs="宋体"/>
          <w:color w:val="auto"/>
          <w:szCs w:val="21"/>
        </w:rPr>
        <w:t>5.4评审价为供应商的最后报价进行政策性扣除后的价格，评审价只是作为评审时使用。最终成交供应商的成交金额等于最后报价（如有修正，以确认修正后的最后报价为准）。</w:t>
      </w:r>
    </w:p>
    <w:p w14:paraId="3A879CBE">
      <w:pPr>
        <w:spacing w:line="440" w:lineRule="exact"/>
        <w:ind w:firstLine="482" w:firstLineChars="200"/>
        <w:rPr>
          <w:rFonts w:ascii="宋体" w:hAnsi="宋体" w:cs="宋体"/>
          <w:b/>
          <w:bCs/>
          <w:color w:val="auto"/>
          <w:sz w:val="24"/>
        </w:rPr>
      </w:pPr>
      <w:r>
        <w:rPr>
          <w:rFonts w:hint="eastAsia" w:ascii="宋体" w:hAnsi="宋体" w:cs="宋体"/>
          <w:b/>
          <w:bCs/>
          <w:color w:val="auto"/>
          <w:sz w:val="24"/>
        </w:rPr>
        <w:t>6. 成交供应商推荐原则</w:t>
      </w:r>
    </w:p>
    <w:p w14:paraId="2E9AD6D4">
      <w:pPr>
        <w:spacing w:line="440" w:lineRule="exact"/>
        <w:ind w:firstLine="420" w:firstLineChars="200"/>
        <w:rPr>
          <w:rFonts w:ascii="宋体" w:hAnsi="宋体" w:cs="宋体"/>
          <w:color w:val="auto"/>
          <w:kern w:val="0"/>
          <w:szCs w:val="21"/>
        </w:rPr>
      </w:pPr>
      <w:r>
        <w:rPr>
          <w:rFonts w:hint="eastAsia" w:ascii="宋体" w:hAnsi="宋体" w:cs="宋体"/>
          <w:color w:val="auto"/>
          <w:szCs w:val="21"/>
        </w:rPr>
        <w:t>6.1</w:t>
      </w:r>
      <w:r>
        <w:rPr>
          <w:rFonts w:hint="eastAsia" w:ascii="宋体" w:hAnsi="宋体" w:cs="宋体"/>
          <w:bCs/>
          <w:color w:val="auto"/>
          <w:szCs w:val="21"/>
        </w:rPr>
        <w:t>由磋商小组根据综合评分情况，按照评审得分由高到低顺序推荐3名以上成交候选供应商，并编写评审报告，</w:t>
      </w:r>
      <w:r>
        <w:rPr>
          <w:rFonts w:hint="eastAsia" w:ascii="宋体" w:hAnsi="宋体" w:cs="宋体"/>
          <w:color w:val="auto"/>
        </w:rPr>
        <w:t>评审报告通过电子交易平台向采购人、采购代理机构提交。</w:t>
      </w:r>
      <w:r>
        <w:rPr>
          <w:rFonts w:hint="eastAsia" w:ascii="宋体" w:hAnsi="宋体" w:cs="宋体"/>
          <w:bCs/>
          <w:color w:val="auto"/>
          <w:szCs w:val="21"/>
        </w:rPr>
        <w:t>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宋体" w:hAnsi="宋体" w:cs="宋体"/>
          <w:color w:val="auto"/>
          <w:kern w:val="0"/>
          <w:szCs w:val="21"/>
        </w:rPr>
        <w:t>。</w:t>
      </w:r>
    </w:p>
    <w:p w14:paraId="798153BD">
      <w:pPr>
        <w:spacing w:line="440" w:lineRule="exact"/>
        <w:ind w:firstLine="420" w:firstLineChars="200"/>
        <w:rPr>
          <w:rFonts w:ascii="宋体" w:hAnsi="宋体" w:cs="宋体"/>
          <w:color w:val="auto"/>
          <w:szCs w:val="21"/>
        </w:rPr>
      </w:pPr>
      <w:r>
        <w:rPr>
          <w:rFonts w:hint="eastAsia" w:ascii="宋体" w:hAnsi="宋体" w:cs="宋体"/>
          <w:color w:val="auto"/>
          <w:kern w:val="0"/>
          <w:szCs w:val="21"/>
        </w:rPr>
        <w:t>6.2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86B7C16">
      <w:pPr>
        <w:spacing w:line="440" w:lineRule="exact"/>
        <w:jc w:val="center"/>
        <w:rPr>
          <w:rFonts w:ascii="宋体" w:hAnsi="宋体" w:cs="宋体"/>
          <w:b/>
          <w:color w:val="auto"/>
          <w:sz w:val="32"/>
          <w:szCs w:val="32"/>
        </w:rPr>
      </w:pPr>
      <w:r>
        <w:rPr>
          <w:rFonts w:hint="eastAsia" w:ascii="宋体" w:hAnsi="宋体" w:cs="宋体"/>
          <w:b/>
          <w:color w:val="auto"/>
          <w:sz w:val="32"/>
          <w:szCs w:val="32"/>
        </w:rPr>
        <w:t>二、评审标准</w:t>
      </w:r>
    </w:p>
    <w:p w14:paraId="752EF7FF">
      <w:pPr>
        <w:spacing w:line="440" w:lineRule="exact"/>
        <w:ind w:firstLine="420" w:firstLineChars="200"/>
        <w:rPr>
          <w:rFonts w:ascii="宋体" w:hAnsi="宋体" w:cs="宋体"/>
          <w:bCs/>
          <w:color w:val="auto"/>
          <w:szCs w:val="21"/>
        </w:rPr>
      </w:pPr>
      <w:r>
        <w:rPr>
          <w:rFonts w:hint="eastAsia" w:ascii="宋体" w:hAnsi="宋体" w:cs="宋体"/>
          <w:bCs/>
          <w:color w:val="auto"/>
          <w:szCs w:val="21"/>
        </w:rPr>
        <w:t>7.评审依据：磋商小组以磋商文件为评审依据，对供应商的报价、技术、商务等方面内容按百分制打分。（计分方法按四舍五入取至百分位）</w:t>
      </w:r>
    </w:p>
    <w:tbl>
      <w:tblPr>
        <w:tblStyle w:val="47"/>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053"/>
        <w:gridCol w:w="67"/>
        <w:gridCol w:w="987"/>
        <w:gridCol w:w="5777"/>
        <w:gridCol w:w="892"/>
      </w:tblGrid>
      <w:tr w14:paraId="15D5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2" w:type="dxa"/>
            <w:shd w:val="clear" w:color="auto" w:fill="auto"/>
            <w:vAlign w:val="center"/>
          </w:tcPr>
          <w:p w14:paraId="2F50CB86">
            <w:pPr>
              <w:widowControl/>
              <w:spacing w:line="400" w:lineRule="exact"/>
              <w:jc w:val="center"/>
              <w:rPr>
                <w:rFonts w:ascii="宋体" w:hAnsi="宋体" w:cs="宋体"/>
                <w:b/>
                <w:bCs/>
                <w:color w:val="auto"/>
                <w:kern w:val="0"/>
                <w:szCs w:val="21"/>
              </w:rPr>
            </w:pPr>
            <w:r>
              <w:rPr>
                <w:rFonts w:hint="eastAsia" w:ascii="宋体" w:hAnsi="宋体" w:cs="宋体"/>
                <w:b/>
                <w:bCs/>
                <w:color w:val="auto"/>
                <w:kern w:val="0"/>
                <w:szCs w:val="21"/>
              </w:rPr>
              <w:t>序号</w:t>
            </w:r>
          </w:p>
        </w:tc>
        <w:tc>
          <w:tcPr>
            <w:tcW w:w="2107" w:type="dxa"/>
            <w:gridSpan w:val="3"/>
            <w:shd w:val="clear" w:color="auto" w:fill="auto"/>
            <w:vAlign w:val="center"/>
          </w:tcPr>
          <w:p w14:paraId="4E50FE5D">
            <w:pPr>
              <w:widowControl/>
              <w:spacing w:line="400" w:lineRule="exact"/>
              <w:jc w:val="center"/>
              <w:rPr>
                <w:rFonts w:ascii="宋体" w:hAnsi="宋体" w:cs="宋体"/>
                <w:b/>
                <w:bCs/>
                <w:color w:val="auto"/>
                <w:kern w:val="0"/>
                <w:szCs w:val="21"/>
              </w:rPr>
            </w:pPr>
            <w:r>
              <w:rPr>
                <w:rFonts w:hint="eastAsia" w:ascii="宋体" w:hAnsi="宋体" w:cs="宋体"/>
                <w:b/>
                <w:bCs/>
                <w:color w:val="auto"/>
                <w:kern w:val="0"/>
                <w:szCs w:val="21"/>
              </w:rPr>
              <w:t>评审因素</w:t>
            </w:r>
          </w:p>
        </w:tc>
        <w:tc>
          <w:tcPr>
            <w:tcW w:w="5777" w:type="dxa"/>
            <w:shd w:val="clear" w:color="auto" w:fill="auto"/>
            <w:vAlign w:val="center"/>
          </w:tcPr>
          <w:p w14:paraId="7F47957D">
            <w:pPr>
              <w:widowControl/>
              <w:spacing w:line="400" w:lineRule="exact"/>
              <w:jc w:val="center"/>
              <w:rPr>
                <w:rFonts w:ascii="宋体" w:hAnsi="宋体" w:cs="宋体"/>
                <w:b/>
                <w:bCs/>
                <w:color w:val="auto"/>
                <w:kern w:val="0"/>
                <w:szCs w:val="21"/>
              </w:rPr>
            </w:pPr>
            <w:r>
              <w:rPr>
                <w:rFonts w:hint="eastAsia" w:ascii="宋体" w:hAnsi="宋体" w:cs="宋体"/>
                <w:b/>
                <w:bCs/>
                <w:color w:val="auto"/>
                <w:kern w:val="0"/>
                <w:szCs w:val="21"/>
              </w:rPr>
              <w:t>评审标准</w:t>
            </w:r>
          </w:p>
        </w:tc>
        <w:tc>
          <w:tcPr>
            <w:tcW w:w="892" w:type="dxa"/>
            <w:shd w:val="clear" w:color="auto" w:fill="auto"/>
            <w:vAlign w:val="center"/>
          </w:tcPr>
          <w:p w14:paraId="0A1B8371">
            <w:pPr>
              <w:widowControl/>
              <w:spacing w:line="400" w:lineRule="exact"/>
              <w:jc w:val="center"/>
              <w:rPr>
                <w:rFonts w:ascii="宋体" w:hAnsi="宋体" w:cs="宋体"/>
                <w:b/>
                <w:bCs/>
                <w:color w:val="auto"/>
                <w:kern w:val="0"/>
                <w:szCs w:val="21"/>
              </w:rPr>
            </w:pPr>
            <w:r>
              <w:rPr>
                <w:rFonts w:hint="eastAsia" w:ascii="宋体" w:hAnsi="宋体" w:cs="宋体"/>
                <w:b/>
                <w:bCs/>
                <w:color w:val="auto"/>
                <w:kern w:val="0"/>
                <w:szCs w:val="21"/>
              </w:rPr>
              <w:t>分值</w:t>
            </w:r>
          </w:p>
        </w:tc>
      </w:tr>
      <w:tr w14:paraId="3D80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742" w:type="dxa"/>
            <w:shd w:val="clear" w:color="auto" w:fill="auto"/>
            <w:vAlign w:val="center"/>
          </w:tcPr>
          <w:p w14:paraId="349B52C4">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1</w:t>
            </w:r>
          </w:p>
        </w:tc>
        <w:tc>
          <w:tcPr>
            <w:tcW w:w="2107" w:type="dxa"/>
            <w:gridSpan w:val="3"/>
            <w:shd w:val="clear" w:color="auto" w:fill="auto"/>
            <w:vAlign w:val="center"/>
          </w:tcPr>
          <w:p w14:paraId="709766F8">
            <w:pPr>
              <w:widowControl/>
              <w:spacing w:line="40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rPr>
              <w:t>价格分</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lang w:eastAsia="zh-CN"/>
              </w:rPr>
              <w:t>（满分</w:t>
            </w:r>
            <w:r>
              <w:rPr>
                <w:rFonts w:hint="eastAsia" w:ascii="宋体" w:hAnsi="宋体" w:cs="宋体"/>
                <w:color w:val="auto"/>
                <w:kern w:val="0"/>
                <w:szCs w:val="21"/>
                <w:lang w:val="en-US" w:eastAsia="zh-CN"/>
              </w:rPr>
              <w:t>10分）</w:t>
            </w:r>
          </w:p>
        </w:tc>
        <w:tc>
          <w:tcPr>
            <w:tcW w:w="5777" w:type="dxa"/>
            <w:shd w:val="clear" w:color="auto" w:fill="auto"/>
          </w:tcPr>
          <w:p w14:paraId="106DC246">
            <w:pPr>
              <w:pStyle w:val="28"/>
              <w:spacing w:line="400" w:lineRule="exact"/>
              <w:ind w:firstLine="420" w:firstLineChars="200"/>
              <w:rPr>
                <w:rFonts w:hAnsi="宋体" w:cs="宋体"/>
                <w:color w:val="auto"/>
                <w:sz w:val="21"/>
              </w:rPr>
            </w:pPr>
            <w:r>
              <w:rPr>
                <w:rFonts w:hint="eastAsia" w:hAnsi="宋体" w:cs="宋体"/>
                <w:bCs/>
                <w:color w:val="auto"/>
                <w:sz w:val="21"/>
              </w:rPr>
              <w:t>（1）</w:t>
            </w:r>
            <w:r>
              <w:rPr>
                <w:rFonts w:hint="eastAsia" w:hAnsi="宋体" w:cs="宋体"/>
                <w:color w:val="auto"/>
                <w:sz w:val="21"/>
              </w:rPr>
              <w:t>评审价为供应商的最后报价，最终成交供应商的成交金额等于最后报价（如有修正，以确认修正后的最后报价为准）。</w:t>
            </w:r>
          </w:p>
          <w:p w14:paraId="55BB668C">
            <w:pPr>
              <w:pStyle w:val="28"/>
              <w:spacing w:line="400" w:lineRule="exact"/>
              <w:ind w:firstLine="420" w:firstLineChars="200"/>
              <w:rPr>
                <w:rFonts w:hAnsi="宋体" w:cs="宋体"/>
                <w:bCs/>
                <w:color w:val="auto"/>
                <w:sz w:val="21"/>
              </w:rPr>
            </w:pPr>
            <w:r>
              <w:rPr>
                <w:rFonts w:hint="eastAsia" w:hAnsi="宋体" w:cs="宋体"/>
                <w:bCs/>
                <w:color w:val="auto"/>
                <w:sz w:val="21"/>
              </w:rPr>
              <w:t>（2）</w:t>
            </w:r>
            <w:r>
              <w:rPr>
                <w:rFonts w:hint="eastAsia" w:hAnsi="宋体" w:cs="宋体"/>
                <w:color w:val="auto"/>
                <w:sz w:val="21"/>
              </w:rPr>
              <w:t>本项目为专门面向中小企业采购的项目，参加本项目磋商的供应商必须为中小微企业，或监狱企业，或残疾人福利性单位，否则竞标无效。价格评审时，不享受价格扣除优惠政策，其评审价=竞标报价。</w:t>
            </w:r>
          </w:p>
          <w:p w14:paraId="5E1A4C9A">
            <w:pPr>
              <w:pStyle w:val="28"/>
              <w:spacing w:line="400" w:lineRule="exact"/>
              <w:ind w:firstLine="420" w:firstLineChars="200"/>
              <w:rPr>
                <w:rFonts w:hAnsi="宋体" w:cs="宋体"/>
                <w:color w:val="auto"/>
                <w:sz w:val="21"/>
              </w:rPr>
            </w:pPr>
            <w:r>
              <w:rPr>
                <w:rFonts w:hint="eastAsia" w:hAnsi="宋体" w:cs="宋体"/>
                <w:color w:val="auto"/>
                <w:sz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14:paraId="4E53F534">
            <w:pPr>
              <w:pStyle w:val="28"/>
              <w:spacing w:line="400" w:lineRule="exact"/>
              <w:ind w:firstLine="420" w:firstLineChars="200"/>
              <w:rPr>
                <w:rFonts w:hAnsi="宋体" w:cs="宋体"/>
                <w:color w:val="auto"/>
                <w:sz w:val="21"/>
              </w:rPr>
            </w:pPr>
            <w:r>
              <w:rPr>
                <w:rFonts w:hint="eastAsia" w:hAnsi="宋体" w:cs="宋体"/>
                <w:color w:val="auto"/>
                <w:sz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w:t>
            </w:r>
          </w:p>
          <w:p w14:paraId="73F6A1A6">
            <w:pPr>
              <w:pStyle w:val="28"/>
              <w:spacing w:line="400" w:lineRule="exact"/>
              <w:ind w:firstLine="420" w:firstLineChars="200"/>
              <w:rPr>
                <w:rFonts w:hAnsi="宋体" w:cs="宋体"/>
                <w:bCs/>
                <w:color w:val="auto"/>
                <w:kern w:val="2"/>
                <w:sz w:val="21"/>
              </w:rPr>
            </w:pPr>
            <w:r>
              <w:rPr>
                <w:rFonts w:hint="eastAsia" w:hAnsi="宋体" w:cs="宋体"/>
                <w:bCs/>
                <w:color w:val="auto"/>
                <w:kern w:val="2"/>
                <w:sz w:val="21"/>
              </w:rPr>
              <w:t>（5）以进入比较与评价环节的最低的评审价为基准价，基准价得分为</w:t>
            </w:r>
            <w:r>
              <w:rPr>
                <w:rFonts w:hint="eastAsia" w:hAnsi="宋体" w:cs="宋体"/>
                <w:b/>
                <w:color w:val="auto"/>
                <w:kern w:val="2"/>
                <w:sz w:val="21"/>
                <w:u w:val="single"/>
              </w:rPr>
              <w:t>10</w:t>
            </w:r>
            <w:r>
              <w:rPr>
                <w:rFonts w:hint="eastAsia" w:hAnsi="宋体" w:cs="宋体"/>
                <w:b/>
                <w:color w:val="auto"/>
                <w:kern w:val="2"/>
                <w:sz w:val="21"/>
              </w:rPr>
              <w:t>分</w:t>
            </w:r>
            <w:r>
              <w:rPr>
                <w:rFonts w:hint="eastAsia" w:hAnsi="宋体" w:cs="宋体"/>
                <w:bCs/>
                <w:color w:val="auto"/>
                <w:kern w:val="2"/>
                <w:sz w:val="21"/>
              </w:rPr>
              <w:t>。</w:t>
            </w:r>
          </w:p>
          <w:p w14:paraId="24FA4A20">
            <w:pPr>
              <w:pStyle w:val="28"/>
              <w:spacing w:line="400" w:lineRule="exact"/>
              <w:ind w:firstLine="420" w:firstLineChars="200"/>
              <w:rPr>
                <w:rFonts w:hAnsi="宋体" w:cs="宋体"/>
                <w:bCs/>
                <w:color w:val="auto"/>
                <w:kern w:val="2"/>
                <w:sz w:val="21"/>
              </w:rPr>
            </w:pPr>
            <w:r>
              <w:rPr>
                <w:rFonts w:hint="eastAsia" w:hAnsi="宋体" w:cs="宋体"/>
                <w:bCs/>
                <w:color w:val="auto"/>
                <w:kern w:val="2"/>
                <w:sz w:val="21"/>
              </w:rPr>
              <w:t>（6）价格分计算公式：</w:t>
            </w:r>
          </w:p>
          <w:p w14:paraId="16A54C8F">
            <w:pPr>
              <w:pStyle w:val="28"/>
              <w:spacing w:line="400" w:lineRule="exact"/>
              <w:ind w:firstLine="422" w:firstLineChars="200"/>
              <w:jc w:val="left"/>
              <w:rPr>
                <w:rFonts w:hAnsi="宋体" w:cs="宋体"/>
                <w:b/>
                <w:color w:val="auto"/>
                <w:kern w:val="2"/>
                <w:sz w:val="21"/>
              </w:rPr>
            </w:pPr>
            <w:r>
              <w:rPr>
                <w:rFonts w:hint="eastAsia" w:hAnsi="宋体" w:cs="宋体"/>
                <w:b/>
                <w:color w:val="auto"/>
                <w:kern w:val="2"/>
                <w:sz w:val="21"/>
              </w:rPr>
              <w:t>报价得分=（基准价/最后报价）×</w:t>
            </w:r>
            <w:r>
              <w:rPr>
                <w:rFonts w:hint="eastAsia" w:hAnsi="宋体" w:cs="宋体"/>
                <w:b/>
                <w:color w:val="auto"/>
                <w:kern w:val="2"/>
                <w:sz w:val="21"/>
                <w:u w:val="single"/>
              </w:rPr>
              <w:t>10</w:t>
            </w:r>
            <w:r>
              <w:rPr>
                <w:rFonts w:hint="eastAsia" w:hAnsi="宋体" w:cs="宋体"/>
                <w:b/>
                <w:color w:val="auto"/>
                <w:kern w:val="2"/>
                <w:sz w:val="21"/>
              </w:rPr>
              <w:t>分</w:t>
            </w:r>
          </w:p>
          <w:p w14:paraId="7A9E21F7">
            <w:pPr>
              <w:pStyle w:val="28"/>
              <w:spacing w:line="400" w:lineRule="exact"/>
              <w:ind w:firstLine="420" w:firstLineChars="200"/>
              <w:jc w:val="left"/>
              <w:rPr>
                <w:rFonts w:hAnsi="宋体" w:cs="宋体"/>
                <w:b/>
                <w:color w:val="auto"/>
                <w:kern w:val="2"/>
                <w:sz w:val="21"/>
              </w:rPr>
            </w:pPr>
            <w:r>
              <w:rPr>
                <w:rFonts w:hint="eastAsia" w:hAnsi="宋体" w:cs="宋体"/>
                <w:bCs/>
                <w:color w:val="auto"/>
                <w:kern w:val="2"/>
                <w:sz w:val="21"/>
              </w:rPr>
              <w:t>注：</w:t>
            </w:r>
            <w:r>
              <w:rPr>
                <w:rFonts w:hint="eastAsia" w:hAnsi="宋体" w:cs="宋体"/>
                <w:bCs/>
                <w:color w:val="auto"/>
                <w:kern w:val="2"/>
                <w:sz w:val="21"/>
                <w:lang w:eastAsia="zh-CN"/>
              </w:rPr>
              <w:t>磋商</w:t>
            </w:r>
            <w:r>
              <w:rPr>
                <w:rFonts w:hint="eastAsia" w:hAnsi="宋体" w:cs="宋体"/>
                <w:bCs/>
                <w:color w:val="auto"/>
                <w:kern w:val="2"/>
                <w:sz w:val="21"/>
              </w:rPr>
              <w:t>小组为供应商的报价明显低于其他通过符合性审查供应商的报价，有可能影响项目质量或者不能诚信履约的，应当要求其在评标现场合理的时间内提供书面说明，必要时提交相关证明材料；供应商不能证明其报价合理性的，</w:t>
            </w:r>
            <w:r>
              <w:rPr>
                <w:rFonts w:hint="eastAsia" w:hAnsi="宋体" w:cs="宋体"/>
                <w:bCs/>
                <w:color w:val="auto"/>
                <w:kern w:val="2"/>
                <w:sz w:val="21"/>
                <w:lang w:eastAsia="zh-CN"/>
              </w:rPr>
              <w:t>磋商小组</w:t>
            </w:r>
            <w:r>
              <w:rPr>
                <w:rFonts w:hint="eastAsia" w:hAnsi="宋体" w:cs="宋体"/>
                <w:bCs/>
                <w:color w:val="auto"/>
                <w:kern w:val="2"/>
                <w:sz w:val="21"/>
              </w:rPr>
              <w:t>应当将其作为无效响应处理。</w:t>
            </w:r>
          </w:p>
        </w:tc>
        <w:tc>
          <w:tcPr>
            <w:tcW w:w="892" w:type="dxa"/>
            <w:shd w:val="clear" w:color="auto" w:fill="auto"/>
            <w:vAlign w:val="center"/>
          </w:tcPr>
          <w:p w14:paraId="4FC1467E">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10分</w:t>
            </w:r>
          </w:p>
        </w:tc>
      </w:tr>
      <w:tr w14:paraId="76E7F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42" w:type="dxa"/>
            <w:shd w:val="clear" w:color="auto" w:fill="auto"/>
            <w:vAlign w:val="center"/>
          </w:tcPr>
          <w:p w14:paraId="44796118">
            <w:pPr>
              <w:widowControl/>
              <w:spacing w:line="400" w:lineRule="exact"/>
              <w:jc w:val="center"/>
              <w:rPr>
                <w:rFonts w:ascii="宋体" w:hAnsi="宋体" w:cs="宋体"/>
                <w:b/>
                <w:color w:val="auto"/>
                <w:kern w:val="0"/>
                <w:szCs w:val="21"/>
              </w:rPr>
            </w:pPr>
            <w:r>
              <w:rPr>
                <w:rFonts w:hint="eastAsia" w:ascii="宋体" w:hAnsi="宋体" w:cs="宋体"/>
                <w:b/>
                <w:color w:val="auto"/>
                <w:kern w:val="0"/>
                <w:szCs w:val="21"/>
              </w:rPr>
              <w:t>2</w:t>
            </w:r>
          </w:p>
        </w:tc>
        <w:tc>
          <w:tcPr>
            <w:tcW w:w="2107" w:type="dxa"/>
            <w:gridSpan w:val="3"/>
            <w:shd w:val="clear" w:color="auto" w:fill="auto"/>
            <w:vAlign w:val="center"/>
          </w:tcPr>
          <w:p w14:paraId="7504E16D">
            <w:pPr>
              <w:widowControl/>
              <w:spacing w:line="400" w:lineRule="exact"/>
              <w:jc w:val="center"/>
              <w:rPr>
                <w:rFonts w:ascii="宋体" w:hAnsi="宋体" w:cs="宋体"/>
                <w:b/>
                <w:color w:val="auto"/>
                <w:kern w:val="0"/>
                <w:szCs w:val="21"/>
              </w:rPr>
            </w:pPr>
            <w:r>
              <w:rPr>
                <w:rFonts w:hint="eastAsia" w:ascii="宋体" w:hAnsi="宋体" w:cs="宋体"/>
                <w:b/>
                <w:color w:val="auto"/>
                <w:kern w:val="0"/>
                <w:szCs w:val="21"/>
              </w:rPr>
              <w:t>技术分</w:t>
            </w:r>
          </w:p>
        </w:tc>
        <w:tc>
          <w:tcPr>
            <w:tcW w:w="5777" w:type="dxa"/>
            <w:shd w:val="clear" w:color="auto" w:fill="auto"/>
            <w:vAlign w:val="center"/>
          </w:tcPr>
          <w:p w14:paraId="68443A10">
            <w:pPr>
              <w:spacing w:line="400" w:lineRule="exact"/>
              <w:jc w:val="center"/>
              <w:rPr>
                <w:rFonts w:ascii="宋体" w:hAnsi="宋体" w:cs="宋体"/>
                <w:b/>
                <w:color w:val="auto"/>
                <w:kern w:val="0"/>
                <w:szCs w:val="21"/>
              </w:rPr>
            </w:pPr>
            <w:r>
              <w:rPr>
                <w:rFonts w:hint="eastAsia" w:ascii="宋体" w:hAnsi="宋体" w:cs="宋体"/>
                <w:b/>
                <w:color w:val="auto"/>
                <w:szCs w:val="21"/>
              </w:rPr>
              <w:t>评审标准</w:t>
            </w:r>
          </w:p>
        </w:tc>
        <w:tc>
          <w:tcPr>
            <w:tcW w:w="892" w:type="dxa"/>
            <w:shd w:val="clear" w:color="auto" w:fill="auto"/>
            <w:vAlign w:val="center"/>
          </w:tcPr>
          <w:p w14:paraId="5FE5EA19">
            <w:pPr>
              <w:spacing w:line="400" w:lineRule="exact"/>
              <w:jc w:val="center"/>
              <w:rPr>
                <w:rFonts w:ascii="宋体" w:hAnsi="宋体" w:cs="宋体"/>
                <w:b/>
                <w:color w:val="auto"/>
                <w:kern w:val="0"/>
                <w:szCs w:val="21"/>
              </w:rPr>
            </w:pPr>
            <w:r>
              <w:rPr>
                <w:rFonts w:hint="eastAsia" w:ascii="宋体" w:hAnsi="宋体" w:cs="宋体"/>
                <w:b/>
                <w:color w:val="auto"/>
                <w:kern w:val="0"/>
                <w:szCs w:val="21"/>
              </w:rPr>
              <w:t>70分</w:t>
            </w:r>
          </w:p>
        </w:tc>
      </w:tr>
      <w:tr w14:paraId="1116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42" w:type="dxa"/>
            <w:vMerge w:val="restart"/>
            <w:shd w:val="clear" w:color="auto" w:fill="auto"/>
            <w:vAlign w:val="center"/>
          </w:tcPr>
          <w:p w14:paraId="39413CA4">
            <w:pPr>
              <w:adjustRightInd w:val="0"/>
              <w:spacing w:line="400" w:lineRule="exact"/>
              <w:ind w:left="-105" w:leftChars="-50" w:right="-105" w:rightChars="-50"/>
              <w:jc w:val="center"/>
              <w:textAlignment w:val="baseline"/>
              <w:rPr>
                <w:rFonts w:ascii="宋体" w:hAnsi="宋体" w:cs="宋体"/>
                <w:bCs/>
                <w:color w:val="auto"/>
                <w:kern w:val="0"/>
                <w:szCs w:val="21"/>
              </w:rPr>
            </w:pPr>
            <w:r>
              <w:rPr>
                <w:rFonts w:hint="eastAsia" w:ascii="宋体" w:hAnsi="宋体" w:cs="宋体"/>
                <w:bCs/>
                <w:color w:val="auto"/>
                <w:kern w:val="0"/>
                <w:szCs w:val="21"/>
              </w:rPr>
              <w:t>2.1</w:t>
            </w:r>
          </w:p>
        </w:tc>
        <w:tc>
          <w:tcPr>
            <w:tcW w:w="1120" w:type="dxa"/>
            <w:gridSpan w:val="2"/>
            <w:vMerge w:val="restart"/>
            <w:shd w:val="clear" w:color="auto" w:fill="auto"/>
            <w:vAlign w:val="center"/>
          </w:tcPr>
          <w:p w14:paraId="12C398B2">
            <w:pPr>
              <w:spacing w:line="400" w:lineRule="exact"/>
              <w:jc w:val="center"/>
              <w:rPr>
                <w:rFonts w:ascii="宋体" w:hAnsi="宋体" w:cs="宋体"/>
                <w:color w:val="auto"/>
                <w:szCs w:val="21"/>
              </w:rPr>
            </w:pPr>
            <w:r>
              <w:rPr>
                <w:rFonts w:hint="eastAsia" w:ascii="宋体" w:hAnsi="宋体" w:cs="宋体"/>
                <w:color w:val="auto"/>
                <w:szCs w:val="21"/>
              </w:rPr>
              <w:t>项目管理机构</w:t>
            </w:r>
          </w:p>
          <w:p w14:paraId="7D3EE4AF">
            <w:pPr>
              <w:spacing w:line="400" w:lineRule="exact"/>
              <w:jc w:val="cente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满分</w:t>
            </w:r>
            <w:r>
              <w:rPr>
                <w:rFonts w:hint="eastAsia" w:ascii="宋体" w:hAnsi="宋体" w:cs="宋体"/>
                <w:color w:val="auto"/>
                <w:szCs w:val="21"/>
              </w:rPr>
              <w:t>10分）</w:t>
            </w:r>
          </w:p>
        </w:tc>
        <w:tc>
          <w:tcPr>
            <w:tcW w:w="987" w:type="dxa"/>
            <w:shd w:val="clear" w:color="auto" w:fill="auto"/>
            <w:vAlign w:val="center"/>
          </w:tcPr>
          <w:p w14:paraId="698DC1A0">
            <w:pPr>
              <w:pStyle w:val="244"/>
              <w:spacing w:line="400" w:lineRule="exact"/>
              <w:jc w:val="center"/>
              <w:rPr>
                <w:rFonts w:ascii="宋体" w:hAnsi="宋体" w:eastAsia="宋体" w:cs="宋体"/>
                <w:color w:val="auto"/>
                <w:sz w:val="21"/>
                <w:szCs w:val="21"/>
              </w:rPr>
            </w:pPr>
            <w:r>
              <w:rPr>
                <w:rFonts w:hint="eastAsia" w:ascii="宋体" w:hAnsi="宋体" w:eastAsia="宋体" w:cs="宋体"/>
                <w:color w:val="auto"/>
                <w:sz w:val="21"/>
                <w:szCs w:val="21"/>
              </w:rPr>
              <w:t>项目</w:t>
            </w:r>
          </w:p>
          <w:p w14:paraId="0A2A42B5">
            <w:pPr>
              <w:pStyle w:val="244"/>
              <w:spacing w:line="400" w:lineRule="exact"/>
              <w:jc w:val="center"/>
              <w:rPr>
                <w:rFonts w:ascii="宋体" w:hAnsi="宋体" w:eastAsia="宋体" w:cs="宋体"/>
                <w:color w:val="auto"/>
                <w:sz w:val="21"/>
                <w:szCs w:val="21"/>
              </w:rPr>
            </w:pPr>
            <w:r>
              <w:rPr>
                <w:rFonts w:hint="eastAsia" w:ascii="宋体" w:hAnsi="宋体" w:eastAsia="宋体" w:cs="宋体"/>
                <w:color w:val="auto"/>
                <w:sz w:val="21"/>
                <w:szCs w:val="21"/>
              </w:rPr>
              <w:t>经理</w:t>
            </w:r>
          </w:p>
        </w:tc>
        <w:tc>
          <w:tcPr>
            <w:tcW w:w="5777" w:type="dxa"/>
            <w:shd w:val="clear" w:color="auto" w:fill="auto"/>
            <w:vAlign w:val="center"/>
          </w:tcPr>
          <w:p w14:paraId="3A323309">
            <w:pPr>
              <w:widowControl/>
              <w:spacing w:line="400" w:lineRule="exact"/>
              <w:ind w:firstLine="420" w:firstLineChars="200"/>
              <w:rPr>
                <w:rFonts w:ascii="宋体" w:hAnsi="宋体" w:cs="宋体"/>
                <w:color w:val="auto"/>
                <w:szCs w:val="21"/>
              </w:rPr>
            </w:pPr>
            <w:r>
              <w:rPr>
                <w:rFonts w:hint="eastAsia" w:ascii="宋体" w:hAnsi="宋体" w:cs="宋体"/>
                <w:color w:val="auto"/>
                <w:szCs w:val="21"/>
              </w:rPr>
              <w:t>具备路桥类专业（路桥类专业是指职称证上的专业为路桥、公路工程、桥梁工程、交通土建、交通工程、铁路、土木工程、隧道工程、市政道路工程等专业均可）中级及以上职称且具有公路工程专业贰级（含贰级）以上注册建造师资格的得2分。（提供相关职称及资格证书复印件并加盖单位公章，不提供或提供的资料不符合评审要求不得分）（本项满分2分）</w:t>
            </w:r>
          </w:p>
          <w:p w14:paraId="2E3E2BED">
            <w:pPr>
              <w:widowControl/>
              <w:spacing w:line="400" w:lineRule="exact"/>
              <w:ind w:firstLine="420" w:firstLineChars="200"/>
              <w:rPr>
                <w:rFonts w:ascii="宋体" w:hAnsi="宋体" w:cs="宋体"/>
                <w:color w:val="auto"/>
                <w:szCs w:val="21"/>
              </w:rPr>
            </w:pPr>
            <w:r>
              <w:rPr>
                <w:rFonts w:hint="eastAsia" w:ascii="宋体" w:hAnsi="宋体" w:cs="宋体"/>
                <w:color w:val="auto"/>
                <w:szCs w:val="21"/>
              </w:rPr>
              <w:t>在 2021年05月01日之后，每担任过1项同类业绩[二级以上（含二级）公路工程的新建、改扩建或大中修工程</w:t>
            </w:r>
            <w:r>
              <w:rPr>
                <w:rFonts w:hint="eastAsia" w:ascii="宋体" w:hAnsi="宋体" w:cs="宋体"/>
                <w:color w:val="auto"/>
                <w:szCs w:val="21"/>
                <w:lang w:val="en-US" w:eastAsia="zh-CN"/>
              </w:rPr>
              <w:t>或</w:t>
            </w:r>
            <w:r>
              <w:rPr>
                <w:rFonts w:hint="eastAsia" w:ascii="宋体" w:hAnsi="宋体" w:cs="宋体"/>
                <w:color w:val="auto"/>
                <w:szCs w:val="21"/>
              </w:rPr>
              <w:t>公路安全设施精细化提升工程（须含交安设施）]的项目经理或项目副经理职务的得2 分，在此基础上，每增加1项加2分。（人员业绩须提供相应交通运输主管部门公路建设市场监督管理系统相关页面截屏打印页或合同协议书或交工验收证书或项目业主开具的其他证明材料能体现担任的具体职务，以上材料提供复印件并加盖单位公章，不提供或提供的资料不符合评审要求不得分）（本项满分4分）</w:t>
            </w:r>
          </w:p>
          <w:p w14:paraId="79087743">
            <w:pPr>
              <w:widowControl/>
              <w:numPr>
                <w:ilvl w:val="255"/>
                <w:numId w:val="0"/>
              </w:numPr>
              <w:spacing w:line="400" w:lineRule="exact"/>
              <w:ind w:firstLine="420" w:firstLineChars="200"/>
              <w:jc w:val="left"/>
              <w:rPr>
                <w:rFonts w:ascii="宋体" w:hAnsi="宋体" w:cs="宋体"/>
                <w:color w:val="auto"/>
                <w:szCs w:val="21"/>
              </w:rPr>
            </w:pPr>
            <w:r>
              <w:rPr>
                <w:rFonts w:hint="eastAsia" w:ascii="宋体" w:hAnsi="宋体" w:cs="宋体"/>
                <w:color w:val="auto"/>
                <w:szCs w:val="21"/>
              </w:rPr>
              <w:t>注：1.拟派任项目经理必须与资格审查合格通过的项目经理在名称、专业、资格等级等方面一致。</w:t>
            </w:r>
          </w:p>
          <w:p w14:paraId="14786046">
            <w:pPr>
              <w:widowControl/>
              <w:spacing w:line="400" w:lineRule="exact"/>
              <w:ind w:firstLine="420" w:firstLineChars="200"/>
              <w:jc w:val="left"/>
              <w:rPr>
                <w:rFonts w:ascii="宋体" w:hAnsi="宋体" w:cs="宋体"/>
                <w:color w:val="auto"/>
                <w:szCs w:val="21"/>
              </w:rPr>
            </w:pPr>
            <w:r>
              <w:rPr>
                <w:rFonts w:hint="eastAsia" w:ascii="宋体" w:hAnsi="宋体" w:cs="宋体"/>
                <w:color w:val="auto"/>
                <w:szCs w:val="21"/>
              </w:rPr>
              <w:t>2.供应商须提供为以上人员缴纳2025年12月至2026年05月内</w:t>
            </w:r>
            <w:r>
              <w:rPr>
                <w:rFonts w:hint="eastAsia" w:ascii="宋体" w:hAnsi="宋体" w:cs="宋体"/>
                <w:b/>
                <w:bCs/>
                <w:color w:val="auto"/>
                <w:szCs w:val="21"/>
              </w:rPr>
              <w:t>任意连续3个月缴纳社保的证明复印件（不足期限的提供劳动合同复印件）</w:t>
            </w:r>
            <w:r>
              <w:rPr>
                <w:rFonts w:hint="eastAsia" w:ascii="宋体" w:hAnsi="宋体" w:cs="宋体"/>
                <w:color w:val="auto"/>
                <w:szCs w:val="21"/>
              </w:rPr>
              <w:t>，不提供或提供的资料不符合评审要求不得分。</w:t>
            </w:r>
          </w:p>
        </w:tc>
        <w:tc>
          <w:tcPr>
            <w:tcW w:w="892" w:type="dxa"/>
            <w:shd w:val="clear" w:color="auto" w:fill="auto"/>
            <w:vAlign w:val="center"/>
          </w:tcPr>
          <w:p w14:paraId="27B67F7A">
            <w:pPr>
              <w:spacing w:line="400" w:lineRule="exact"/>
              <w:jc w:val="center"/>
              <w:rPr>
                <w:rFonts w:ascii="宋体" w:hAnsi="宋体" w:cs="宋体"/>
                <w:color w:val="auto"/>
                <w:kern w:val="0"/>
                <w:szCs w:val="21"/>
              </w:rPr>
            </w:pPr>
            <w:r>
              <w:rPr>
                <w:rFonts w:hint="eastAsia" w:ascii="宋体" w:hAnsi="宋体" w:cs="宋体"/>
                <w:color w:val="auto"/>
                <w:kern w:val="0"/>
                <w:szCs w:val="21"/>
              </w:rPr>
              <w:t>6分</w:t>
            </w:r>
          </w:p>
        </w:tc>
      </w:tr>
      <w:tr w14:paraId="19C5A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42" w:type="dxa"/>
            <w:vMerge w:val="continue"/>
            <w:shd w:val="clear" w:color="auto" w:fill="auto"/>
            <w:vAlign w:val="center"/>
          </w:tcPr>
          <w:p w14:paraId="70910989">
            <w:pPr>
              <w:adjustRightInd w:val="0"/>
              <w:spacing w:line="400" w:lineRule="exact"/>
              <w:ind w:left="-105" w:leftChars="-50" w:right="-105" w:rightChars="-50"/>
              <w:jc w:val="center"/>
              <w:textAlignment w:val="baseline"/>
              <w:rPr>
                <w:rFonts w:ascii="宋体" w:hAnsi="宋体" w:cs="宋体"/>
                <w:bCs/>
                <w:color w:val="auto"/>
                <w:kern w:val="0"/>
                <w:szCs w:val="21"/>
              </w:rPr>
            </w:pPr>
          </w:p>
        </w:tc>
        <w:tc>
          <w:tcPr>
            <w:tcW w:w="1120" w:type="dxa"/>
            <w:gridSpan w:val="2"/>
            <w:vMerge w:val="continue"/>
            <w:shd w:val="clear" w:color="auto" w:fill="auto"/>
            <w:vAlign w:val="center"/>
          </w:tcPr>
          <w:p w14:paraId="16238AB7">
            <w:pPr>
              <w:spacing w:line="400" w:lineRule="exact"/>
              <w:jc w:val="left"/>
              <w:rPr>
                <w:rFonts w:ascii="宋体" w:hAnsi="宋体" w:cs="宋体"/>
                <w:color w:val="auto"/>
                <w:szCs w:val="21"/>
              </w:rPr>
            </w:pPr>
          </w:p>
        </w:tc>
        <w:tc>
          <w:tcPr>
            <w:tcW w:w="987" w:type="dxa"/>
            <w:shd w:val="clear" w:color="auto" w:fill="auto"/>
            <w:vAlign w:val="center"/>
          </w:tcPr>
          <w:p w14:paraId="409DA0BF">
            <w:pPr>
              <w:pStyle w:val="244"/>
              <w:spacing w:line="400" w:lineRule="exact"/>
              <w:jc w:val="center"/>
              <w:rPr>
                <w:rFonts w:ascii="宋体" w:hAnsi="宋体" w:eastAsia="宋体" w:cs="宋体"/>
                <w:color w:val="auto"/>
                <w:sz w:val="21"/>
                <w:szCs w:val="21"/>
              </w:rPr>
            </w:pPr>
            <w:r>
              <w:rPr>
                <w:rFonts w:hint="eastAsia" w:ascii="宋体" w:hAnsi="宋体" w:eastAsia="宋体" w:cs="宋体"/>
                <w:color w:val="auto"/>
                <w:sz w:val="21"/>
                <w:szCs w:val="21"/>
              </w:rPr>
              <w:t>其他主要人员</w:t>
            </w:r>
          </w:p>
        </w:tc>
        <w:tc>
          <w:tcPr>
            <w:tcW w:w="5777" w:type="dxa"/>
            <w:shd w:val="clear" w:color="auto" w:fill="auto"/>
            <w:vAlign w:val="center"/>
          </w:tcPr>
          <w:p w14:paraId="6CC1FA79">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项目实施人员齐备，满足要求，具有相关岗位证书。</w:t>
            </w:r>
          </w:p>
          <w:p w14:paraId="61A3ACDE">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拟派项目总工具有路桥类专业（路桥类专业是指职称证上的专业为路桥、公路工程、桥梁工程、交通土建、交通工程、铁路、土木工程、隧道工程、市政道路工程等专业均可）工程师（或以上）职称的得2分； （提供相关职称及资格证书复印件并加盖单位公章，不提供或提供的资料不符合评审要求不得分）（本项满分2分）</w:t>
            </w:r>
          </w:p>
          <w:p w14:paraId="5766CDB2">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安全生产管理人员具有工程师（或以上）职称的得 2 分。（本项满分2分）</w:t>
            </w:r>
          </w:p>
          <w:p w14:paraId="1144E839">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注：供应商须提供为以上人员缴纳2025年12月至2026年05月内</w:t>
            </w:r>
            <w:r>
              <w:rPr>
                <w:rFonts w:hint="eastAsia" w:ascii="宋体" w:hAnsi="宋体" w:cs="宋体"/>
                <w:b/>
                <w:bCs/>
                <w:color w:val="auto"/>
                <w:szCs w:val="21"/>
              </w:rPr>
              <w:t>任意连续3个月缴纳社保的证明复印件（不足期限的提供劳动合同复印件）</w:t>
            </w:r>
            <w:r>
              <w:rPr>
                <w:rFonts w:hint="eastAsia" w:ascii="宋体" w:hAnsi="宋体" w:cs="宋体"/>
                <w:color w:val="auto"/>
                <w:szCs w:val="21"/>
              </w:rPr>
              <w:t>，不提供或提供的资料不符合评审要求不得分。</w:t>
            </w:r>
          </w:p>
        </w:tc>
        <w:tc>
          <w:tcPr>
            <w:tcW w:w="892" w:type="dxa"/>
            <w:shd w:val="clear" w:color="auto" w:fill="auto"/>
            <w:vAlign w:val="center"/>
          </w:tcPr>
          <w:p w14:paraId="6E40CA59">
            <w:pPr>
              <w:spacing w:line="400" w:lineRule="exact"/>
              <w:jc w:val="center"/>
              <w:rPr>
                <w:rFonts w:ascii="宋体" w:hAnsi="宋体" w:cs="宋体"/>
                <w:color w:val="auto"/>
                <w:kern w:val="0"/>
                <w:szCs w:val="21"/>
              </w:rPr>
            </w:pPr>
            <w:r>
              <w:rPr>
                <w:rFonts w:hint="eastAsia" w:ascii="宋体" w:hAnsi="宋体" w:cs="宋体"/>
                <w:color w:val="auto"/>
                <w:kern w:val="0"/>
                <w:szCs w:val="21"/>
              </w:rPr>
              <w:t>4分</w:t>
            </w:r>
          </w:p>
        </w:tc>
      </w:tr>
      <w:tr w14:paraId="1E66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2" w:type="dxa"/>
            <w:vMerge w:val="restart"/>
            <w:shd w:val="clear" w:color="auto" w:fill="auto"/>
            <w:vAlign w:val="center"/>
          </w:tcPr>
          <w:p w14:paraId="010C79D6">
            <w:pPr>
              <w:adjustRightInd w:val="0"/>
              <w:spacing w:line="400" w:lineRule="exact"/>
              <w:ind w:left="-105" w:leftChars="-50" w:right="-105" w:rightChars="-50"/>
              <w:jc w:val="center"/>
              <w:textAlignment w:val="baseline"/>
              <w:rPr>
                <w:rFonts w:ascii="宋体" w:hAnsi="宋体" w:cs="宋体"/>
                <w:bCs/>
                <w:color w:val="auto"/>
                <w:kern w:val="0"/>
                <w:szCs w:val="21"/>
              </w:rPr>
            </w:pPr>
            <w:r>
              <w:rPr>
                <w:rFonts w:hint="eastAsia" w:ascii="宋体" w:hAnsi="宋体" w:cs="宋体"/>
                <w:bCs/>
                <w:color w:val="auto"/>
                <w:kern w:val="0"/>
                <w:szCs w:val="21"/>
              </w:rPr>
              <w:t>2.2</w:t>
            </w:r>
          </w:p>
        </w:tc>
        <w:tc>
          <w:tcPr>
            <w:tcW w:w="1120" w:type="dxa"/>
            <w:gridSpan w:val="2"/>
            <w:vMerge w:val="restart"/>
            <w:shd w:val="clear" w:color="auto" w:fill="auto"/>
            <w:vAlign w:val="center"/>
          </w:tcPr>
          <w:p w14:paraId="4E6FD673">
            <w:pPr>
              <w:adjustRightInd w:val="0"/>
              <w:spacing w:line="400" w:lineRule="exact"/>
              <w:jc w:val="center"/>
              <w:textAlignment w:val="baseline"/>
              <w:rPr>
                <w:rFonts w:ascii="宋体" w:hAnsi="宋体" w:cs="宋体"/>
                <w:color w:val="auto"/>
                <w:szCs w:val="21"/>
              </w:rPr>
            </w:pPr>
            <w:r>
              <w:rPr>
                <w:rFonts w:hint="eastAsia" w:ascii="宋体" w:hAnsi="宋体" w:cs="宋体"/>
                <w:bCs/>
                <w:color w:val="auto"/>
                <w:kern w:val="0"/>
                <w:szCs w:val="21"/>
              </w:rPr>
              <w:t>施工组织设计</w:t>
            </w:r>
          </w:p>
          <w:p w14:paraId="52E0B280">
            <w:pPr>
              <w:spacing w:line="400" w:lineRule="exact"/>
              <w:jc w:val="center"/>
              <w:rPr>
                <w:rFonts w:ascii="宋体" w:hAnsi="宋体" w:cs="宋体"/>
                <w:bCs/>
                <w:color w:val="auto"/>
                <w:kern w:val="0"/>
                <w:szCs w:val="21"/>
              </w:rPr>
            </w:pPr>
            <w:r>
              <w:rPr>
                <w:rFonts w:hint="eastAsia" w:ascii="宋体" w:hAnsi="宋体" w:cs="宋体"/>
                <w:color w:val="auto"/>
                <w:szCs w:val="21"/>
              </w:rPr>
              <w:t>（</w:t>
            </w:r>
            <w:r>
              <w:rPr>
                <w:rFonts w:hint="eastAsia" w:ascii="宋体" w:hAnsi="宋体" w:cs="宋体"/>
                <w:color w:val="auto"/>
                <w:szCs w:val="21"/>
                <w:lang w:eastAsia="zh-CN"/>
              </w:rPr>
              <w:t>满分</w:t>
            </w:r>
            <w:r>
              <w:rPr>
                <w:rFonts w:hint="eastAsia" w:ascii="宋体" w:hAnsi="宋体" w:cs="宋体"/>
                <w:color w:val="auto"/>
                <w:szCs w:val="21"/>
              </w:rPr>
              <w:t>60分）</w:t>
            </w:r>
          </w:p>
        </w:tc>
        <w:tc>
          <w:tcPr>
            <w:tcW w:w="987" w:type="dxa"/>
            <w:shd w:val="clear" w:color="auto" w:fill="auto"/>
            <w:vAlign w:val="center"/>
          </w:tcPr>
          <w:p w14:paraId="3EE63A2D">
            <w:pPr>
              <w:spacing w:line="400" w:lineRule="exact"/>
              <w:rPr>
                <w:rFonts w:ascii="宋体" w:hAnsi="宋体" w:cs="宋体"/>
                <w:color w:val="auto"/>
                <w:kern w:val="0"/>
                <w:szCs w:val="21"/>
              </w:rPr>
            </w:pPr>
            <w:r>
              <w:rPr>
                <w:rFonts w:hint="eastAsia" w:ascii="宋体" w:hAnsi="宋体" w:cs="宋体"/>
                <w:color w:val="auto"/>
                <w:kern w:val="0"/>
                <w:szCs w:val="21"/>
              </w:rPr>
              <w:t>1、主要施工方法</w:t>
            </w:r>
          </w:p>
          <w:p w14:paraId="253B9A7E">
            <w:pPr>
              <w:pStyle w:val="244"/>
              <w:spacing w:line="400" w:lineRule="exact"/>
              <w:jc w:val="center"/>
              <w:rPr>
                <w:rFonts w:ascii="宋体" w:hAnsi="宋体" w:eastAsia="宋体" w:cs="宋体"/>
                <w:color w:val="auto"/>
                <w:sz w:val="21"/>
                <w:szCs w:val="21"/>
              </w:rPr>
            </w:pPr>
          </w:p>
        </w:tc>
        <w:tc>
          <w:tcPr>
            <w:tcW w:w="5777" w:type="dxa"/>
            <w:shd w:val="clear" w:color="auto" w:fill="auto"/>
            <w:vAlign w:val="center"/>
          </w:tcPr>
          <w:p w14:paraId="1E59684C">
            <w:pPr>
              <w:pStyle w:val="244"/>
              <w:spacing w:line="400" w:lineRule="exact"/>
              <w:rPr>
                <w:rFonts w:ascii="宋体" w:hAnsi="宋体" w:eastAsia="宋体" w:cs="宋体"/>
                <w:color w:val="auto"/>
                <w:sz w:val="21"/>
                <w:szCs w:val="21"/>
              </w:rPr>
            </w:pPr>
            <w:r>
              <w:rPr>
                <w:rFonts w:hint="eastAsia" w:ascii="宋体" w:hAnsi="宋体" w:eastAsia="宋体" w:cs="宋体"/>
                <w:color w:val="auto"/>
                <w:sz w:val="21"/>
                <w:szCs w:val="21"/>
              </w:rPr>
              <w:t>各主要分部施工方法符合项目实际，须有详尽的施工技术方案，工艺先进、 方法科学合理、可行，能指导具体施工并确保安全。满分5分。</w:t>
            </w:r>
          </w:p>
          <w:p w14:paraId="583743AD">
            <w:pPr>
              <w:pStyle w:val="244"/>
              <w:spacing w:line="400" w:lineRule="exact"/>
              <w:rPr>
                <w:rFonts w:ascii="宋体" w:hAnsi="宋体" w:eastAsia="宋体" w:cs="宋体"/>
                <w:color w:val="auto"/>
                <w:sz w:val="21"/>
                <w:szCs w:val="21"/>
              </w:rPr>
            </w:pPr>
            <w:r>
              <w:rPr>
                <w:rFonts w:hint="eastAsia" w:ascii="宋体" w:hAnsi="宋体" w:eastAsia="宋体" w:cs="宋体"/>
                <w:color w:val="auto"/>
                <w:sz w:val="21"/>
                <w:szCs w:val="21"/>
              </w:rPr>
              <w:t>四档（5分）：各主要分部施工方法符合项目实际，须有详尽的施工技术方案，工艺先进、方法科学合理、可行，能指导具体施工并确保安全。</w:t>
            </w:r>
          </w:p>
          <w:p w14:paraId="113722C2">
            <w:pPr>
              <w:pStyle w:val="244"/>
              <w:spacing w:line="400" w:lineRule="exact"/>
              <w:rPr>
                <w:rFonts w:ascii="宋体" w:hAnsi="宋体" w:eastAsia="宋体" w:cs="宋体"/>
                <w:color w:val="auto"/>
                <w:sz w:val="21"/>
                <w:szCs w:val="21"/>
              </w:rPr>
            </w:pPr>
            <w:r>
              <w:rPr>
                <w:rFonts w:hint="eastAsia" w:ascii="宋体" w:hAnsi="宋体" w:eastAsia="宋体" w:cs="宋体"/>
                <w:color w:val="auto"/>
                <w:sz w:val="21"/>
                <w:szCs w:val="21"/>
              </w:rPr>
              <w:t>三档（4分）：各主要分部施工方法符合项目实际，须有详尽的施工技术方案，工艺较先进、方法可行，能指导具体施工并确保安全。</w:t>
            </w:r>
          </w:p>
          <w:p w14:paraId="33647CF0">
            <w:pPr>
              <w:pStyle w:val="244"/>
              <w:spacing w:line="400" w:lineRule="exact"/>
              <w:rPr>
                <w:rFonts w:ascii="宋体" w:hAnsi="宋体" w:eastAsia="宋体" w:cs="宋体"/>
                <w:color w:val="auto"/>
                <w:sz w:val="21"/>
                <w:szCs w:val="21"/>
              </w:rPr>
            </w:pPr>
            <w:r>
              <w:rPr>
                <w:rFonts w:hint="eastAsia" w:ascii="宋体" w:hAnsi="宋体" w:eastAsia="宋体" w:cs="宋体"/>
                <w:color w:val="auto"/>
                <w:sz w:val="21"/>
                <w:szCs w:val="21"/>
              </w:rPr>
              <w:t xml:space="preserve">二档（2分）：各主要分部施工方法符合项目实际，须有较详尽的施工技术方案，工艺简单、方法基本可行，能指导具体施工并确保安全。 </w:t>
            </w:r>
          </w:p>
          <w:p w14:paraId="032B0AC9">
            <w:pPr>
              <w:pStyle w:val="244"/>
              <w:spacing w:line="400" w:lineRule="exact"/>
              <w:rPr>
                <w:rFonts w:ascii="宋体" w:hAnsi="宋体" w:eastAsia="宋体" w:cs="宋体"/>
                <w:color w:val="auto"/>
                <w:sz w:val="21"/>
                <w:szCs w:val="21"/>
              </w:rPr>
            </w:pPr>
            <w:r>
              <w:rPr>
                <w:rFonts w:hint="eastAsia" w:ascii="宋体" w:hAnsi="宋体" w:eastAsia="宋体" w:cs="宋体"/>
                <w:color w:val="auto"/>
                <w:sz w:val="21"/>
                <w:szCs w:val="21"/>
              </w:rPr>
              <w:t>一档（1分）：各主要分部施工方法不符合项目实际，无详尽的施工技术方案，不能指导具体施工并确保安全。</w:t>
            </w:r>
          </w:p>
        </w:tc>
        <w:tc>
          <w:tcPr>
            <w:tcW w:w="892" w:type="dxa"/>
            <w:shd w:val="clear" w:color="auto" w:fill="auto"/>
            <w:vAlign w:val="center"/>
          </w:tcPr>
          <w:p w14:paraId="3213B0B5">
            <w:pPr>
              <w:spacing w:line="400" w:lineRule="exact"/>
              <w:jc w:val="center"/>
              <w:rPr>
                <w:rFonts w:ascii="宋体" w:hAnsi="宋体" w:cs="宋体"/>
                <w:color w:val="auto"/>
                <w:szCs w:val="21"/>
              </w:rPr>
            </w:pPr>
            <w:r>
              <w:rPr>
                <w:rFonts w:hint="eastAsia" w:ascii="宋体" w:hAnsi="宋体" w:cs="宋体"/>
                <w:color w:val="auto"/>
                <w:kern w:val="0"/>
                <w:szCs w:val="21"/>
              </w:rPr>
              <w:t>5分</w:t>
            </w:r>
          </w:p>
        </w:tc>
      </w:tr>
      <w:tr w14:paraId="028E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42" w:type="dxa"/>
            <w:vMerge w:val="continue"/>
            <w:shd w:val="clear" w:color="auto" w:fill="auto"/>
            <w:vAlign w:val="center"/>
          </w:tcPr>
          <w:p w14:paraId="239281A6">
            <w:pPr>
              <w:adjustRightInd w:val="0"/>
              <w:spacing w:line="400" w:lineRule="exact"/>
              <w:ind w:left="-105" w:leftChars="-50" w:right="-105" w:rightChars="-50"/>
              <w:jc w:val="center"/>
              <w:textAlignment w:val="baseline"/>
              <w:rPr>
                <w:rFonts w:ascii="宋体" w:hAnsi="宋体" w:cs="宋体"/>
                <w:bCs/>
                <w:color w:val="auto"/>
                <w:kern w:val="0"/>
                <w:szCs w:val="21"/>
              </w:rPr>
            </w:pPr>
          </w:p>
        </w:tc>
        <w:tc>
          <w:tcPr>
            <w:tcW w:w="1120" w:type="dxa"/>
            <w:gridSpan w:val="2"/>
            <w:vMerge w:val="continue"/>
            <w:shd w:val="clear" w:color="auto" w:fill="auto"/>
            <w:vAlign w:val="center"/>
          </w:tcPr>
          <w:p w14:paraId="7395B6D8">
            <w:pPr>
              <w:adjustRightInd w:val="0"/>
              <w:spacing w:line="400" w:lineRule="exact"/>
              <w:jc w:val="center"/>
              <w:textAlignment w:val="baseline"/>
              <w:rPr>
                <w:rFonts w:ascii="宋体" w:hAnsi="宋体" w:cs="宋体"/>
                <w:bCs/>
                <w:color w:val="auto"/>
                <w:kern w:val="0"/>
                <w:szCs w:val="21"/>
              </w:rPr>
            </w:pPr>
          </w:p>
        </w:tc>
        <w:tc>
          <w:tcPr>
            <w:tcW w:w="987" w:type="dxa"/>
            <w:shd w:val="clear" w:color="auto" w:fill="auto"/>
            <w:vAlign w:val="center"/>
          </w:tcPr>
          <w:p w14:paraId="7A725793">
            <w:pPr>
              <w:spacing w:line="400" w:lineRule="exact"/>
              <w:rPr>
                <w:rFonts w:ascii="宋体" w:hAnsi="宋体" w:cs="宋体"/>
                <w:color w:val="auto"/>
                <w:kern w:val="0"/>
                <w:szCs w:val="21"/>
              </w:rPr>
            </w:pPr>
            <w:r>
              <w:rPr>
                <w:rFonts w:hint="eastAsia" w:ascii="宋体" w:hAnsi="宋体" w:cs="宋体"/>
                <w:color w:val="auto"/>
                <w:kern w:val="0"/>
                <w:szCs w:val="21"/>
              </w:rPr>
              <w:t>2、拟投入的主要物资计划</w:t>
            </w:r>
          </w:p>
          <w:p w14:paraId="15F70842">
            <w:pPr>
              <w:pStyle w:val="244"/>
              <w:spacing w:line="400" w:lineRule="exact"/>
              <w:jc w:val="center"/>
              <w:rPr>
                <w:rFonts w:ascii="宋体" w:hAnsi="宋体" w:eastAsia="宋体" w:cs="宋体"/>
                <w:color w:val="auto"/>
                <w:sz w:val="21"/>
                <w:szCs w:val="21"/>
              </w:rPr>
            </w:pPr>
          </w:p>
        </w:tc>
        <w:tc>
          <w:tcPr>
            <w:tcW w:w="5777" w:type="dxa"/>
            <w:shd w:val="clear" w:color="auto" w:fill="auto"/>
            <w:vAlign w:val="center"/>
          </w:tcPr>
          <w:p w14:paraId="6430C39B">
            <w:pPr>
              <w:widowControl/>
              <w:spacing w:line="400" w:lineRule="exact"/>
              <w:rPr>
                <w:rFonts w:ascii="宋体" w:hAnsi="宋体" w:cs="宋体"/>
                <w:color w:val="auto"/>
                <w:kern w:val="0"/>
                <w:szCs w:val="21"/>
              </w:rPr>
            </w:pPr>
            <w:r>
              <w:rPr>
                <w:rFonts w:hint="eastAsia" w:ascii="宋体" w:hAnsi="宋体" w:cs="宋体"/>
                <w:color w:val="auto"/>
                <w:kern w:val="0"/>
                <w:szCs w:val="21"/>
              </w:rPr>
              <w:t>投入的施工材料有详细的组织计划且计划周密，数量、选型配置、进场时间安排合理，满足施工需要。满分5分。</w:t>
            </w:r>
          </w:p>
          <w:p w14:paraId="0A0DE062">
            <w:pPr>
              <w:widowControl/>
              <w:spacing w:line="400" w:lineRule="exact"/>
              <w:jc w:val="left"/>
              <w:rPr>
                <w:rFonts w:ascii="宋体" w:hAnsi="宋体" w:cs="宋体"/>
                <w:color w:val="auto"/>
                <w:kern w:val="0"/>
                <w:szCs w:val="21"/>
              </w:rPr>
            </w:pPr>
            <w:r>
              <w:rPr>
                <w:rFonts w:hint="eastAsia" w:ascii="宋体" w:hAnsi="宋体" w:cs="宋体"/>
                <w:color w:val="auto"/>
                <w:kern w:val="0"/>
                <w:szCs w:val="21"/>
              </w:rPr>
              <w:t xml:space="preserve">四档（5分）：投入的施工材料有详细的组织计划且计划周密，数量、选型配置、进场时间安排科学合理，完全满足施工需要。 </w:t>
            </w:r>
          </w:p>
          <w:p w14:paraId="327F5E61">
            <w:pPr>
              <w:widowControl/>
              <w:spacing w:line="400" w:lineRule="exact"/>
              <w:jc w:val="left"/>
              <w:rPr>
                <w:rFonts w:ascii="宋体" w:hAnsi="宋体" w:cs="宋体"/>
                <w:color w:val="auto"/>
                <w:kern w:val="0"/>
                <w:szCs w:val="21"/>
              </w:rPr>
            </w:pPr>
            <w:r>
              <w:rPr>
                <w:rFonts w:hint="eastAsia" w:ascii="宋体" w:hAnsi="宋体" w:cs="宋体"/>
                <w:color w:val="auto"/>
                <w:kern w:val="0"/>
                <w:szCs w:val="21"/>
              </w:rPr>
              <w:t>三档（4分）：投入的施工材料有组织计划且计划较好，数量、选型配置、 进场时间安排基本满足施工需要。</w:t>
            </w:r>
          </w:p>
          <w:p w14:paraId="2A15F726">
            <w:pPr>
              <w:widowControl/>
              <w:spacing w:line="400" w:lineRule="exact"/>
              <w:jc w:val="left"/>
              <w:rPr>
                <w:rFonts w:ascii="宋体" w:hAnsi="宋体" w:cs="宋体"/>
                <w:color w:val="auto"/>
                <w:kern w:val="0"/>
                <w:szCs w:val="21"/>
              </w:rPr>
            </w:pPr>
            <w:r>
              <w:rPr>
                <w:rFonts w:hint="eastAsia" w:ascii="宋体" w:hAnsi="宋体" w:cs="宋体"/>
                <w:color w:val="auto"/>
                <w:kern w:val="0"/>
                <w:szCs w:val="21"/>
              </w:rPr>
              <w:t>二档（2分）：投入的施工材料有组织计划且计划较好，数量、选型配置、 进场时间安排基本满足施工需要。</w:t>
            </w:r>
          </w:p>
          <w:p w14:paraId="290269A1">
            <w:pPr>
              <w:widowControl/>
              <w:spacing w:line="400" w:lineRule="exact"/>
              <w:jc w:val="left"/>
              <w:rPr>
                <w:rFonts w:ascii="宋体" w:hAnsi="宋体" w:cs="宋体"/>
                <w:color w:val="auto"/>
                <w:szCs w:val="21"/>
              </w:rPr>
            </w:pPr>
            <w:r>
              <w:rPr>
                <w:rFonts w:hint="eastAsia" w:ascii="宋体" w:hAnsi="宋体" w:cs="宋体"/>
                <w:color w:val="auto"/>
                <w:kern w:val="0"/>
                <w:szCs w:val="21"/>
              </w:rPr>
              <w:t>一档（1分）：投入的施工材料无详细的组织计划，不能满足施工需要。</w:t>
            </w:r>
          </w:p>
        </w:tc>
        <w:tc>
          <w:tcPr>
            <w:tcW w:w="892" w:type="dxa"/>
            <w:shd w:val="clear" w:color="auto" w:fill="auto"/>
            <w:vAlign w:val="center"/>
          </w:tcPr>
          <w:p w14:paraId="144C59B4">
            <w:pPr>
              <w:spacing w:line="400" w:lineRule="exact"/>
              <w:jc w:val="center"/>
              <w:rPr>
                <w:rFonts w:ascii="宋体" w:hAnsi="宋体" w:cs="宋体"/>
                <w:color w:val="auto"/>
                <w:szCs w:val="21"/>
              </w:rPr>
            </w:pPr>
            <w:r>
              <w:rPr>
                <w:rFonts w:hint="eastAsia" w:ascii="宋体" w:hAnsi="宋体" w:cs="宋体"/>
                <w:color w:val="auto"/>
                <w:kern w:val="0"/>
                <w:szCs w:val="21"/>
              </w:rPr>
              <w:t>5分</w:t>
            </w:r>
          </w:p>
        </w:tc>
      </w:tr>
      <w:tr w14:paraId="3FA4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2" w:type="dxa"/>
            <w:vMerge w:val="continue"/>
            <w:shd w:val="clear" w:color="auto" w:fill="auto"/>
            <w:vAlign w:val="center"/>
          </w:tcPr>
          <w:p w14:paraId="118FBAC2">
            <w:pPr>
              <w:adjustRightInd w:val="0"/>
              <w:spacing w:line="400" w:lineRule="exact"/>
              <w:ind w:left="-105" w:leftChars="-50" w:right="-105" w:rightChars="-50"/>
              <w:jc w:val="center"/>
              <w:textAlignment w:val="baseline"/>
              <w:rPr>
                <w:rFonts w:ascii="宋体" w:hAnsi="宋体" w:cs="宋体"/>
                <w:bCs/>
                <w:color w:val="auto"/>
                <w:kern w:val="0"/>
                <w:szCs w:val="21"/>
              </w:rPr>
            </w:pPr>
          </w:p>
        </w:tc>
        <w:tc>
          <w:tcPr>
            <w:tcW w:w="1120" w:type="dxa"/>
            <w:gridSpan w:val="2"/>
            <w:vMerge w:val="continue"/>
            <w:shd w:val="clear" w:color="auto" w:fill="auto"/>
            <w:vAlign w:val="center"/>
          </w:tcPr>
          <w:p w14:paraId="7A9F8239">
            <w:pPr>
              <w:adjustRightInd w:val="0"/>
              <w:spacing w:line="400" w:lineRule="exact"/>
              <w:jc w:val="center"/>
              <w:textAlignment w:val="baseline"/>
              <w:rPr>
                <w:rFonts w:ascii="宋体" w:hAnsi="宋体" w:cs="宋体"/>
                <w:bCs/>
                <w:color w:val="auto"/>
                <w:kern w:val="0"/>
                <w:szCs w:val="21"/>
              </w:rPr>
            </w:pPr>
          </w:p>
        </w:tc>
        <w:tc>
          <w:tcPr>
            <w:tcW w:w="987" w:type="dxa"/>
            <w:shd w:val="clear" w:color="auto" w:fill="auto"/>
            <w:vAlign w:val="center"/>
          </w:tcPr>
          <w:p w14:paraId="0995E2BD">
            <w:pPr>
              <w:spacing w:line="400" w:lineRule="exact"/>
              <w:rPr>
                <w:rFonts w:ascii="宋体" w:hAnsi="宋体" w:cs="宋体"/>
                <w:color w:val="auto"/>
                <w:kern w:val="0"/>
                <w:szCs w:val="21"/>
              </w:rPr>
            </w:pPr>
            <w:r>
              <w:rPr>
                <w:rFonts w:hint="eastAsia" w:ascii="宋体" w:hAnsi="宋体" w:cs="宋体"/>
                <w:color w:val="auto"/>
                <w:kern w:val="0"/>
                <w:szCs w:val="21"/>
              </w:rPr>
              <w:t>3、拟投入的主要施工机械、设备计划</w:t>
            </w:r>
          </w:p>
          <w:p w14:paraId="08BA223D">
            <w:pPr>
              <w:pStyle w:val="244"/>
              <w:spacing w:line="400" w:lineRule="exact"/>
              <w:jc w:val="both"/>
              <w:rPr>
                <w:rFonts w:ascii="宋体" w:hAnsi="宋体" w:eastAsia="宋体" w:cs="宋体"/>
                <w:color w:val="auto"/>
                <w:sz w:val="21"/>
                <w:szCs w:val="21"/>
              </w:rPr>
            </w:pPr>
          </w:p>
        </w:tc>
        <w:tc>
          <w:tcPr>
            <w:tcW w:w="5777" w:type="dxa"/>
            <w:shd w:val="clear" w:color="auto" w:fill="auto"/>
            <w:vAlign w:val="center"/>
          </w:tcPr>
          <w:p w14:paraId="6EFFADE1">
            <w:pPr>
              <w:widowControl/>
              <w:spacing w:line="400" w:lineRule="exact"/>
              <w:rPr>
                <w:rFonts w:ascii="宋体" w:hAnsi="宋体" w:cs="宋体"/>
                <w:color w:val="auto"/>
                <w:kern w:val="0"/>
                <w:szCs w:val="21"/>
              </w:rPr>
            </w:pPr>
            <w:r>
              <w:rPr>
                <w:rFonts w:hint="eastAsia" w:ascii="宋体" w:hAnsi="宋体" w:cs="宋体"/>
                <w:color w:val="auto"/>
                <w:kern w:val="0"/>
                <w:szCs w:val="21"/>
              </w:rPr>
              <w:t xml:space="preserve">投入的施工机械、设备、机具有详细的组织计划且计划周密，设备数量、选型配置、进场时间安排合理，满足施工需要。满分5分。 </w:t>
            </w:r>
          </w:p>
          <w:p w14:paraId="0A2EC9FF">
            <w:pPr>
              <w:pStyle w:val="244"/>
              <w:spacing w:line="400" w:lineRule="exact"/>
              <w:rPr>
                <w:rFonts w:ascii="宋体" w:hAnsi="宋体" w:eastAsia="宋体" w:cs="宋体"/>
                <w:color w:val="auto"/>
                <w:sz w:val="21"/>
                <w:szCs w:val="21"/>
              </w:rPr>
            </w:pPr>
            <w:r>
              <w:rPr>
                <w:rFonts w:hint="eastAsia" w:ascii="宋体" w:hAnsi="宋体" w:eastAsia="宋体" w:cs="宋体"/>
                <w:color w:val="auto"/>
                <w:sz w:val="21"/>
                <w:szCs w:val="21"/>
              </w:rPr>
              <w:t>四档（5分）：投入的施工机械、设备、机具有详细的组织计划且计划周密科学，完全满足施工需要。</w:t>
            </w:r>
          </w:p>
          <w:p w14:paraId="1DB68E99">
            <w:pPr>
              <w:pStyle w:val="244"/>
              <w:spacing w:line="400" w:lineRule="exact"/>
              <w:rPr>
                <w:rFonts w:ascii="宋体" w:hAnsi="宋体" w:eastAsia="宋体" w:cs="宋体"/>
                <w:color w:val="auto"/>
                <w:sz w:val="21"/>
                <w:szCs w:val="21"/>
              </w:rPr>
            </w:pPr>
            <w:r>
              <w:rPr>
                <w:rFonts w:hint="eastAsia" w:ascii="宋体" w:hAnsi="宋体" w:eastAsia="宋体" w:cs="宋体"/>
                <w:color w:val="auto"/>
                <w:sz w:val="21"/>
                <w:szCs w:val="21"/>
              </w:rPr>
              <w:t xml:space="preserve">三档（4分）：投入的施工机械、设备、机具有组织计划且计划较好，基本满足施工需要。 </w:t>
            </w:r>
          </w:p>
          <w:p w14:paraId="45BA4C83">
            <w:pPr>
              <w:pStyle w:val="244"/>
              <w:spacing w:line="400" w:lineRule="exact"/>
              <w:rPr>
                <w:rFonts w:ascii="宋体" w:hAnsi="宋体" w:eastAsia="宋体" w:cs="宋体"/>
                <w:color w:val="auto"/>
                <w:sz w:val="21"/>
                <w:szCs w:val="21"/>
              </w:rPr>
            </w:pPr>
            <w:r>
              <w:rPr>
                <w:rFonts w:hint="eastAsia" w:ascii="宋体" w:hAnsi="宋体" w:eastAsia="宋体" w:cs="宋体"/>
                <w:color w:val="auto"/>
                <w:sz w:val="21"/>
                <w:szCs w:val="21"/>
              </w:rPr>
              <w:t>二档（2分）：投入的施工机械、设备、机具有组织计划且计划一般，基本满足施工需要。</w:t>
            </w:r>
          </w:p>
          <w:p w14:paraId="7D925D3D">
            <w:pPr>
              <w:pStyle w:val="244"/>
              <w:spacing w:line="400" w:lineRule="exact"/>
              <w:rPr>
                <w:rFonts w:ascii="宋体" w:hAnsi="宋体" w:eastAsia="宋体" w:cs="宋体"/>
                <w:color w:val="auto"/>
                <w:sz w:val="21"/>
                <w:szCs w:val="21"/>
              </w:rPr>
            </w:pPr>
            <w:r>
              <w:rPr>
                <w:rFonts w:hint="eastAsia" w:ascii="宋体" w:hAnsi="宋体" w:eastAsia="宋体" w:cs="宋体"/>
                <w:color w:val="auto"/>
                <w:sz w:val="21"/>
                <w:szCs w:val="21"/>
              </w:rPr>
              <w:t>一档（1分）：投入的施工机械、设备、机具无详细的组织计划，不能满足施工需要。</w:t>
            </w:r>
          </w:p>
        </w:tc>
        <w:tc>
          <w:tcPr>
            <w:tcW w:w="892" w:type="dxa"/>
            <w:shd w:val="clear" w:color="auto" w:fill="auto"/>
            <w:vAlign w:val="center"/>
          </w:tcPr>
          <w:p w14:paraId="44394741">
            <w:pPr>
              <w:spacing w:line="400" w:lineRule="exact"/>
              <w:jc w:val="center"/>
              <w:rPr>
                <w:rFonts w:ascii="宋体" w:hAnsi="宋体" w:cs="宋体"/>
                <w:color w:val="auto"/>
                <w:szCs w:val="21"/>
              </w:rPr>
            </w:pPr>
            <w:r>
              <w:rPr>
                <w:rFonts w:hint="eastAsia" w:ascii="宋体" w:hAnsi="宋体" w:cs="宋体"/>
                <w:color w:val="auto"/>
                <w:kern w:val="0"/>
                <w:szCs w:val="21"/>
              </w:rPr>
              <w:t>5分</w:t>
            </w:r>
          </w:p>
        </w:tc>
      </w:tr>
      <w:tr w14:paraId="0C4D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42" w:type="dxa"/>
            <w:vMerge w:val="continue"/>
            <w:shd w:val="clear" w:color="auto" w:fill="auto"/>
            <w:vAlign w:val="center"/>
          </w:tcPr>
          <w:p w14:paraId="26C190AA">
            <w:pPr>
              <w:adjustRightInd w:val="0"/>
              <w:spacing w:line="400" w:lineRule="exact"/>
              <w:ind w:left="-105" w:leftChars="-50" w:right="-105" w:rightChars="-50"/>
              <w:jc w:val="center"/>
              <w:textAlignment w:val="baseline"/>
              <w:rPr>
                <w:rFonts w:ascii="宋体" w:hAnsi="宋体" w:cs="宋体"/>
                <w:bCs/>
                <w:color w:val="auto"/>
                <w:kern w:val="0"/>
                <w:szCs w:val="21"/>
              </w:rPr>
            </w:pPr>
          </w:p>
        </w:tc>
        <w:tc>
          <w:tcPr>
            <w:tcW w:w="1120" w:type="dxa"/>
            <w:gridSpan w:val="2"/>
            <w:vMerge w:val="continue"/>
            <w:shd w:val="clear" w:color="auto" w:fill="auto"/>
            <w:vAlign w:val="center"/>
          </w:tcPr>
          <w:p w14:paraId="1DC8ED36">
            <w:pPr>
              <w:adjustRightInd w:val="0"/>
              <w:spacing w:line="400" w:lineRule="exact"/>
              <w:jc w:val="center"/>
              <w:textAlignment w:val="baseline"/>
              <w:rPr>
                <w:rFonts w:ascii="宋体" w:hAnsi="宋体" w:cs="宋体"/>
                <w:bCs/>
                <w:color w:val="auto"/>
                <w:kern w:val="0"/>
                <w:szCs w:val="21"/>
              </w:rPr>
            </w:pPr>
          </w:p>
        </w:tc>
        <w:tc>
          <w:tcPr>
            <w:tcW w:w="987" w:type="dxa"/>
            <w:shd w:val="clear" w:color="auto" w:fill="auto"/>
            <w:vAlign w:val="center"/>
          </w:tcPr>
          <w:p w14:paraId="7FB436E6">
            <w:pPr>
              <w:pStyle w:val="244"/>
              <w:spacing w:line="400" w:lineRule="exact"/>
              <w:jc w:val="center"/>
              <w:rPr>
                <w:rFonts w:ascii="宋体" w:hAnsi="宋体" w:eastAsia="宋体" w:cs="宋体"/>
                <w:color w:val="auto"/>
                <w:sz w:val="21"/>
                <w:szCs w:val="21"/>
              </w:rPr>
            </w:pPr>
            <w:r>
              <w:rPr>
                <w:rFonts w:hint="eastAsia" w:ascii="宋体" w:hAnsi="宋体" w:eastAsia="宋体" w:cs="宋体"/>
                <w:color w:val="auto"/>
                <w:sz w:val="21"/>
                <w:szCs w:val="21"/>
              </w:rPr>
              <w:t>4、劳动力安排计划</w:t>
            </w:r>
          </w:p>
        </w:tc>
        <w:tc>
          <w:tcPr>
            <w:tcW w:w="5777" w:type="dxa"/>
            <w:shd w:val="clear" w:color="auto" w:fill="auto"/>
            <w:vAlign w:val="center"/>
          </w:tcPr>
          <w:p w14:paraId="5FDF0CB1">
            <w:pPr>
              <w:pStyle w:val="244"/>
              <w:spacing w:line="400" w:lineRule="exact"/>
              <w:rPr>
                <w:rFonts w:ascii="宋体" w:hAnsi="宋体" w:eastAsia="宋体" w:cs="宋体"/>
                <w:color w:val="auto"/>
                <w:sz w:val="21"/>
                <w:szCs w:val="21"/>
              </w:rPr>
            </w:pPr>
            <w:r>
              <w:rPr>
                <w:rFonts w:hint="eastAsia" w:ascii="宋体" w:hAnsi="宋体" w:eastAsia="宋体" w:cs="宋体"/>
                <w:color w:val="auto"/>
                <w:sz w:val="21"/>
                <w:szCs w:val="21"/>
              </w:rPr>
              <w:t xml:space="preserve">各主要施工工序应有详细周密的劳动力安排计划，有各工种劳动力安排计划，劳动力投入合理，满足施工需要。 满分5分。 </w:t>
            </w:r>
          </w:p>
          <w:p w14:paraId="5D8F0AEA">
            <w:pPr>
              <w:pStyle w:val="244"/>
              <w:spacing w:line="400" w:lineRule="exact"/>
              <w:rPr>
                <w:rFonts w:ascii="宋体" w:hAnsi="宋体" w:eastAsia="宋体" w:cs="宋体"/>
                <w:color w:val="auto"/>
                <w:sz w:val="21"/>
                <w:szCs w:val="21"/>
              </w:rPr>
            </w:pPr>
            <w:r>
              <w:rPr>
                <w:rFonts w:hint="eastAsia" w:ascii="宋体" w:hAnsi="宋体" w:eastAsia="宋体" w:cs="宋体"/>
                <w:color w:val="auto"/>
                <w:sz w:val="21"/>
                <w:szCs w:val="21"/>
              </w:rPr>
              <w:t xml:space="preserve">四档（5分）：各主要施工工序有详细周密的劳动力安排计划，有各工种劳动力安排计划，高峰期劳动力投入完全满足施工需要。 </w:t>
            </w:r>
          </w:p>
          <w:p w14:paraId="3B4D501B">
            <w:pPr>
              <w:pStyle w:val="244"/>
              <w:spacing w:line="400" w:lineRule="exact"/>
              <w:rPr>
                <w:rFonts w:ascii="宋体" w:hAnsi="宋体" w:eastAsia="宋体" w:cs="宋体"/>
                <w:color w:val="auto"/>
                <w:sz w:val="21"/>
                <w:szCs w:val="21"/>
              </w:rPr>
            </w:pPr>
            <w:r>
              <w:rPr>
                <w:rFonts w:hint="eastAsia" w:ascii="宋体" w:hAnsi="宋体" w:eastAsia="宋体" w:cs="宋体"/>
                <w:color w:val="auto"/>
                <w:sz w:val="21"/>
                <w:szCs w:val="21"/>
              </w:rPr>
              <w:t>三档（4分）：各主要施工工序有劳动力安排计划，有各工种劳动力安排计划，高峰期劳动力投入满足施工需要。</w:t>
            </w:r>
          </w:p>
          <w:p w14:paraId="6FB30C14">
            <w:pPr>
              <w:pStyle w:val="244"/>
              <w:spacing w:line="400" w:lineRule="exact"/>
              <w:rPr>
                <w:rFonts w:ascii="宋体" w:hAnsi="宋体" w:eastAsia="宋体" w:cs="宋体"/>
                <w:color w:val="auto"/>
                <w:sz w:val="21"/>
                <w:szCs w:val="21"/>
              </w:rPr>
            </w:pPr>
            <w:r>
              <w:rPr>
                <w:rFonts w:hint="eastAsia" w:ascii="宋体" w:hAnsi="宋体" w:eastAsia="宋体" w:cs="宋体"/>
                <w:color w:val="auto"/>
                <w:sz w:val="21"/>
                <w:szCs w:val="21"/>
              </w:rPr>
              <w:t>二档（2分）：各主要施工工序有基本的劳动力安排计划，有各工种劳动力安排计划，高峰期劳动力投入人数基本满足施工需要。</w:t>
            </w:r>
          </w:p>
          <w:p w14:paraId="2BE64926">
            <w:pPr>
              <w:pStyle w:val="244"/>
              <w:spacing w:line="400" w:lineRule="exact"/>
              <w:rPr>
                <w:rFonts w:ascii="宋体" w:hAnsi="宋体" w:eastAsia="宋体" w:cs="宋体"/>
                <w:color w:val="auto"/>
                <w:sz w:val="21"/>
                <w:szCs w:val="21"/>
              </w:rPr>
            </w:pPr>
            <w:r>
              <w:rPr>
                <w:rFonts w:hint="eastAsia" w:ascii="宋体" w:hAnsi="宋体" w:eastAsia="宋体" w:cs="宋体"/>
                <w:color w:val="auto"/>
                <w:sz w:val="21"/>
                <w:szCs w:val="21"/>
              </w:rPr>
              <w:t>一档（1分）：各主要施工工序无劳动力安排计划，无各工种劳动力安排计划，高峰期劳动力投入人数不能满足施工需要。</w:t>
            </w:r>
          </w:p>
        </w:tc>
        <w:tc>
          <w:tcPr>
            <w:tcW w:w="892" w:type="dxa"/>
            <w:shd w:val="clear" w:color="auto" w:fill="auto"/>
            <w:vAlign w:val="center"/>
          </w:tcPr>
          <w:p w14:paraId="01E1FCCD">
            <w:pPr>
              <w:spacing w:line="400" w:lineRule="exact"/>
              <w:jc w:val="center"/>
              <w:rPr>
                <w:rFonts w:ascii="宋体" w:hAnsi="宋体" w:cs="宋体"/>
                <w:color w:val="auto"/>
                <w:kern w:val="0"/>
                <w:szCs w:val="21"/>
              </w:rPr>
            </w:pPr>
            <w:r>
              <w:rPr>
                <w:rFonts w:hint="eastAsia" w:ascii="宋体" w:hAnsi="宋体" w:cs="宋体"/>
                <w:color w:val="auto"/>
                <w:kern w:val="0"/>
                <w:szCs w:val="21"/>
              </w:rPr>
              <w:t>5分</w:t>
            </w:r>
          </w:p>
        </w:tc>
      </w:tr>
      <w:tr w14:paraId="4F77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2" w:type="dxa"/>
            <w:vMerge w:val="continue"/>
            <w:shd w:val="clear" w:color="auto" w:fill="auto"/>
            <w:vAlign w:val="center"/>
          </w:tcPr>
          <w:p w14:paraId="6D4015BB">
            <w:pPr>
              <w:adjustRightInd w:val="0"/>
              <w:spacing w:line="400" w:lineRule="exact"/>
              <w:ind w:left="-105" w:leftChars="-50" w:right="-105" w:rightChars="-50"/>
              <w:jc w:val="center"/>
              <w:textAlignment w:val="baseline"/>
              <w:rPr>
                <w:rFonts w:ascii="宋体" w:hAnsi="宋体" w:cs="宋体"/>
                <w:bCs/>
                <w:color w:val="auto"/>
                <w:kern w:val="0"/>
                <w:szCs w:val="21"/>
              </w:rPr>
            </w:pPr>
          </w:p>
        </w:tc>
        <w:tc>
          <w:tcPr>
            <w:tcW w:w="1120" w:type="dxa"/>
            <w:gridSpan w:val="2"/>
            <w:vMerge w:val="continue"/>
            <w:shd w:val="clear" w:color="auto" w:fill="auto"/>
            <w:vAlign w:val="center"/>
          </w:tcPr>
          <w:p w14:paraId="678F85A4">
            <w:pPr>
              <w:adjustRightInd w:val="0"/>
              <w:spacing w:line="400" w:lineRule="exact"/>
              <w:jc w:val="center"/>
              <w:textAlignment w:val="baseline"/>
              <w:rPr>
                <w:rFonts w:ascii="宋体" w:hAnsi="宋体" w:cs="宋体"/>
                <w:bCs/>
                <w:color w:val="auto"/>
                <w:kern w:val="0"/>
                <w:szCs w:val="21"/>
              </w:rPr>
            </w:pPr>
          </w:p>
        </w:tc>
        <w:tc>
          <w:tcPr>
            <w:tcW w:w="987" w:type="dxa"/>
            <w:shd w:val="clear" w:color="auto" w:fill="auto"/>
            <w:vAlign w:val="center"/>
          </w:tcPr>
          <w:p w14:paraId="02601C61">
            <w:pPr>
              <w:spacing w:line="400" w:lineRule="exact"/>
              <w:rPr>
                <w:rFonts w:ascii="宋体" w:hAnsi="宋体" w:cs="宋体"/>
                <w:color w:val="auto"/>
                <w:kern w:val="0"/>
                <w:szCs w:val="21"/>
              </w:rPr>
            </w:pPr>
            <w:r>
              <w:rPr>
                <w:rFonts w:hint="eastAsia" w:ascii="宋体" w:hAnsi="宋体" w:cs="宋体"/>
                <w:color w:val="auto"/>
                <w:kern w:val="0"/>
                <w:szCs w:val="21"/>
              </w:rPr>
              <w:t>5、确保工程质量的技术组织措施</w:t>
            </w:r>
          </w:p>
          <w:p w14:paraId="67EA9E43">
            <w:pPr>
              <w:pStyle w:val="244"/>
              <w:spacing w:line="400" w:lineRule="exact"/>
              <w:jc w:val="center"/>
              <w:rPr>
                <w:rFonts w:ascii="宋体" w:hAnsi="宋体" w:eastAsia="宋体" w:cs="宋体"/>
                <w:color w:val="auto"/>
                <w:sz w:val="21"/>
                <w:szCs w:val="21"/>
              </w:rPr>
            </w:pPr>
          </w:p>
        </w:tc>
        <w:tc>
          <w:tcPr>
            <w:tcW w:w="5777" w:type="dxa"/>
            <w:shd w:val="clear" w:color="auto" w:fill="auto"/>
            <w:vAlign w:val="center"/>
          </w:tcPr>
          <w:p w14:paraId="42DAECBB">
            <w:pPr>
              <w:widowControl/>
              <w:spacing w:line="400" w:lineRule="exact"/>
              <w:rPr>
                <w:rFonts w:ascii="宋体" w:hAnsi="宋体" w:cs="宋体"/>
                <w:color w:val="auto"/>
                <w:kern w:val="0"/>
                <w:szCs w:val="21"/>
              </w:rPr>
            </w:pPr>
            <w:r>
              <w:rPr>
                <w:rFonts w:hint="eastAsia" w:ascii="宋体" w:hAnsi="宋体" w:cs="宋体"/>
                <w:color w:val="auto"/>
                <w:kern w:val="0"/>
                <w:szCs w:val="21"/>
              </w:rPr>
              <w:t>应有专门的质量技术管理班子和制度，且人员配备合理，制度健全。主要工序应有质量技术保证措施和手段，自控体系完整，能有效保证技术质量，达到承诺的质量标准。满分10分。</w:t>
            </w:r>
          </w:p>
          <w:p w14:paraId="14C07372">
            <w:pPr>
              <w:widowControl/>
              <w:spacing w:line="400" w:lineRule="exact"/>
              <w:rPr>
                <w:rFonts w:ascii="宋体" w:hAnsi="宋体" w:cs="宋体"/>
                <w:color w:val="auto"/>
                <w:kern w:val="0"/>
                <w:szCs w:val="21"/>
              </w:rPr>
            </w:pPr>
            <w:r>
              <w:rPr>
                <w:rFonts w:hint="eastAsia" w:ascii="宋体" w:hAnsi="宋体" w:cs="宋体"/>
                <w:color w:val="auto"/>
                <w:szCs w:val="21"/>
              </w:rPr>
              <w:t>四档</w:t>
            </w:r>
            <w:r>
              <w:rPr>
                <w:rFonts w:hint="eastAsia" w:ascii="宋体" w:hAnsi="宋体" w:cs="宋体"/>
                <w:color w:val="auto"/>
                <w:kern w:val="0"/>
                <w:szCs w:val="21"/>
              </w:rPr>
              <w:t>（10分）：有专门的质量管理架构和制度，且人员配备合理，制度健全。 主要工序质量技术保证措施和手段科学合理，自控体系非常完整，能有效保证技术质量，达到承诺的质量标准。</w:t>
            </w:r>
          </w:p>
          <w:p w14:paraId="65BE6969">
            <w:pPr>
              <w:widowControl/>
              <w:spacing w:line="400" w:lineRule="exact"/>
              <w:rPr>
                <w:rFonts w:ascii="宋体" w:hAnsi="宋体" w:cs="宋体"/>
                <w:color w:val="auto"/>
                <w:kern w:val="0"/>
                <w:szCs w:val="21"/>
              </w:rPr>
            </w:pPr>
            <w:r>
              <w:rPr>
                <w:rFonts w:hint="eastAsia" w:ascii="宋体" w:hAnsi="宋体" w:cs="宋体"/>
                <w:color w:val="auto"/>
                <w:szCs w:val="21"/>
              </w:rPr>
              <w:t>三档</w:t>
            </w:r>
            <w:r>
              <w:rPr>
                <w:rFonts w:hint="eastAsia" w:ascii="宋体" w:hAnsi="宋体" w:cs="宋体"/>
                <w:color w:val="auto"/>
                <w:kern w:val="0"/>
                <w:szCs w:val="21"/>
              </w:rPr>
              <w:t>（7分）：有专门的质量管理架构和制度，且人员配备合理，制度健全。主要工序的质量技术保证措施和手段较合理，自控体系完整，基本能有效保证技术质量，达到承诺的质量标准。</w:t>
            </w:r>
          </w:p>
          <w:p w14:paraId="7BF1DDB7">
            <w:pPr>
              <w:widowControl/>
              <w:spacing w:line="400" w:lineRule="exact"/>
              <w:rPr>
                <w:rFonts w:ascii="宋体" w:hAnsi="宋体" w:cs="宋体"/>
                <w:color w:val="auto"/>
                <w:kern w:val="0"/>
                <w:szCs w:val="21"/>
              </w:rPr>
            </w:pPr>
            <w:r>
              <w:rPr>
                <w:rFonts w:hint="eastAsia" w:ascii="宋体" w:hAnsi="宋体" w:cs="宋体"/>
                <w:color w:val="auto"/>
                <w:szCs w:val="21"/>
              </w:rPr>
              <w:t>二档</w:t>
            </w:r>
            <w:r>
              <w:rPr>
                <w:rFonts w:hint="eastAsia" w:ascii="宋体" w:hAnsi="宋体" w:cs="宋体"/>
                <w:color w:val="auto"/>
                <w:kern w:val="0"/>
                <w:szCs w:val="21"/>
              </w:rPr>
              <w:t xml:space="preserve">（3分）：有专门的质量管理架构和制度，且人员配备合理，制度健全。主要工序的质量技术保证措施和手段简单，达到承诺的质量标准。 </w:t>
            </w:r>
          </w:p>
          <w:p w14:paraId="23107A11">
            <w:pPr>
              <w:pStyle w:val="244"/>
              <w:spacing w:line="400" w:lineRule="exact"/>
              <w:rPr>
                <w:rFonts w:ascii="宋体" w:hAnsi="宋体" w:eastAsia="宋体" w:cs="宋体"/>
                <w:color w:val="auto"/>
                <w:sz w:val="21"/>
                <w:szCs w:val="21"/>
              </w:rPr>
            </w:pPr>
            <w:r>
              <w:rPr>
                <w:rFonts w:hint="eastAsia" w:ascii="宋体" w:hAnsi="宋体" w:eastAsia="宋体" w:cs="宋体"/>
                <w:color w:val="auto"/>
                <w:sz w:val="21"/>
                <w:szCs w:val="21"/>
              </w:rPr>
              <w:t>一档（1分）：有专门的质量管理架构和制度，人员配备不合理，制度不健全。主要工序无质量技术保证措施和手段，达不到承诺的质量标准。</w:t>
            </w:r>
          </w:p>
        </w:tc>
        <w:tc>
          <w:tcPr>
            <w:tcW w:w="892" w:type="dxa"/>
            <w:shd w:val="clear" w:color="auto" w:fill="auto"/>
            <w:vAlign w:val="center"/>
          </w:tcPr>
          <w:p w14:paraId="3A2E261C">
            <w:pPr>
              <w:spacing w:line="400" w:lineRule="exact"/>
              <w:jc w:val="center"/>
              <w:rPr>
                <w:rFonts w:ascii="宋体" w:hAnsi="宋体" w:cs="宋体"/>
                <w:color w:val="auto"/>
                <w:szCs w:val="21"/>
              </w:rPr>
            </w:pPr>
            <w:r>
              <w:rPr>
                <w:rFonts w:hint="eastAsia" w:ascii="宋体" w:hAnsi="宋体" w:cs="宋体"/>
                <w:color w:val="auto"/>
                <w:kern w:val="0"/>
                <w:szCs w:val="21"/>
              </w:rPr>
              <w:t>10分</w:t>
            </w:r>
          </w:p>
        </w:tc>
      </w:tr>
      <w:tr w14:paraId="21E7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42" w:type="dxa"/>
            <w:vMerge w:val="continue"/>
            <w:shd w:val="clear" w:color="auto" w:fill="auto"/>
            <w:vAlign w:val="center"/>
          </w:tcPr>
          <w:p w14:paraId="230B7356">
            <w:pPr>
              <w:adjustRightInd w:val="0"/>
              <w:spacing w:line="400" w:lineRule="exact"/>
              <w:ind w:left="-105" w:leftChars="-50" w:right="-105" w:rightChars="-50"/>
              <w:jc w:val="center"/>
              <w:textAlignment w:val="baseline"/>
              <w:rPr>
                <w:rFonts w:ascii="宋体" w:hAnsi="宋体" w:cs="宋体"/>
                <w:bCs/>
                <w:color w:val="auto"/>
                <w:kern w:val="0"/>
                <w:szCs w:val="21"/>
              </w:rPr>
            </w:pPr>
          </w:p>
        </w:tc>
        <w:tc>
          <w:tcPr>
            <w:tcW w:w="1120" w:type="dxa"/>
            <w:gridSpan w:val="2"/>
            <w:vMerge w:val="continue"/>
            <w:shd w:val="clear" w:color="auto" w:fill="auto"/>
            <w:vAlign w:val="center"/>
          </w:tcPr>
          <w:p w14:paraId="24C4CBC6">
            <w:pPr>
              <w:adjustRightInd w:val="0"/>
              <w:spacing w:line="400" w:lineRule="exact"/>
              <w:jc w:val="center"/>
              <w:textAlignment w:val="baseline"/>
              <w:rPr>
                <w:rFonts w:ascii="宋体" w:hAnsi="宋体" w:cs="宋体"/>
                <w:bCs/>
                <w:color w:val="auto"/>
                <w:kern w:val="0"/>
                <w:szCs w:val="21"/>
              </w:rPr>
            </w:pPr>
          </w:p>
        </w:tc>
        <w:tc>
          <w:tcPr>
            <w:tcW w:w="987" w:type="dxa"/>
            <w:shd w:val="clear" w:color="auto" w:fill="auto"/>
            <w:vAlign w:val="center"/>
          </w:tcPr>
          <w:p w14:paraId="648AE6A9">
            <w:pPr>
              <w:pStyle w:val="244"/>
              <w:spacing w:line="400" w:lineRule="exact"/>
              <w:jc w:val="center"/>
              <w:rPr>
                <w:rFonts w:ascii="宋体" w:hAnsi="宋体" w:eastAsia="宋体" w:cs="宋体"/>
                <w:color w:val="auto"/>
                <w:sz w:val="21"/>
                <w:szCs w:val="21"/>
              </w:rPr>
            </w:pPr>
            <w:r>
              <w:rPr>
                <w:rFonts w:hint="eastAsia" w:ascii="宋体" w:hAnsi="宋体" w:eastAsia="宋体" w:cs="宋体"/>
                <w:color w:val="auto"/>
                <w:sz w:val="21"/>
                <w:szCs w:val="21"/>
              </w:rPr>
              <w:t>6、确保安全生产的技术组织措施</w:t>
            </w:r>
          </w:p>
          <w:p w14:paraId="25DD0561">
            <w:pPr>
              <w:pStyle w:val="244"/>
              <w:spacing w:line="400" w:lineRule="exact"/>
              <w:jc w:val="center"/>
              <w:rPr>
                <w:rFonts w:ascii="宋体" w:hAnsi="宋体" w:eastAsia="宋体" w:cs="宋体"/>
                <w:color w:val="auto"/>
                <w:sz w:val="21"/>
                <w:szCs w:val="21"/>
              </w:rPr>
            </w:pPr>
          </w:p>
        </w:tc>
        <w:tc>
          <w:tcPr>
            <w:tcW w:w="5777" w:type="dxa"/>
            <w:shd w:val="clear" w:color="auto" w:fill="auto"/>
            <w:vAlign w:val="center"/>
          </w:tcPr>
          <w:p w14:paraId="5B6653B1">
            <w:pPr>
              <w:widowControl/>
              <w:spacing w:line="400" w:lineRule="exact"/>
              <w:rPr>
                <w:rFonts w:ascii="宋体" w:hAnsi="宋体" w:cs="宋体"/>
                <w:color w:val="auto"/>
                <w:kern w:val="0"/>
                <w:szCs w:val="21"/>
              </w:rPr>
            </w:pPr>
            <w:r>
              <w:rPr>
                <w:rFonts w:hint="eastAsia" w:ascii="宋体" w:hAnsi="宋体" w:cs="宋体"/>
                <w:color w:val="auto"/>
                <w:kern w:val="0"/>
                <w:szCs w:val="21"/>
              </w:rPr>
              <w:t xml:space="preserve">应有专门的安全管理人员和制度，且人员配备合理，制度健全，各道工序安全技术措施针对性强，符合实际且满足有关安全技术标准要求。现场防火、应急救援、社会治安安全措施得力。满分10分。 </w:t>
            </w:r>
          </w:p>
          <w:p w14:paraId="1F17ACDC">
            <w:pPr>
              <w:widowControl/>
              <w:spacing w:line="400" w:lineRule="exact"/>
              <w:rPr>
                <w:rFonts w:ascii="宋体" w:hAnsi="宋体" w:cs="宋体"/>
                <w:color w:val="auto"/>
                <w:kern w:val="0"/>
                <w:szCs w:val="21"/>
              </w:rPr>
            </w:pPr>
            <w:r>
              <w:rPr>
                <w:rFonts w:hint="eastAsia" w:ascii="宋体" w:hAnsi="宋体" w:cs="宋体"/>
                <w:color w:val="auto"/>
                <w:kern w:val="0"/>
                <w:szCs w:val="21"/>
              </w:rPr>
              <w:t xml:space="preserve">四档（10分）：有专门的安全管理人员和制度，且人员配备合理，制度健全， 各道工序安全技术措施针对性强，确保工程质量的技术组织措施符合实际且满足有关安全技术标准要求。 </w:t>
            </w:r>
          </w:p>
          <w:p w14:paraId="18309B66">
            <w:pPr>
              <w:widowControl/>
              <w:spacing w:line="400" w:lineRule="exact"/>
              <w:rPr>
                <w:rFonts w:ascii="宋体" w:hAnsi="宋体" w:cs="宋体"/>
                <w:color w:val="auto"/>
                <w:kern w:val="0"/>
                <w:szCs w:val="21"/>
              </w:rPr>
            </w:pPr>
            <w:r>
              <w:rPr>
                <w:rFonts w:hint="eastAsia" w:ascii="宋体" w:hAnsi="宋体" w:cs="宋体"/>
                <w:color w:val="auto"/>
                <w:kern w:val="0"/>
                <w:szCs w:val="21"/>
              </w:rPr>
              <w:t>三档（7分）：有专门的安全管理人员和制度，且人员配备合理，制度健全，各道工序安全技术措施针对性较强，确保工程质量的技术组织措施符合实际且基本满足有关安全技术标准要求。</w:t>
            </w:r>
          </w:p>
          <w:p w14:paraId="61ADD18B">
            <w:pPr>
              <w:widowControl/>
              <w:spacing w:line="400" w:lineRule="exact"/>
              <w:rPr>
                <w:rFonts w:ascii="宋体" w:hAnsi="宋体" w:cs="宋体"/>
                <w:color w:val="auto"/>
                <w:kern w:val="0"/>
                <w:szCs w:val="21"/>
              </w:rPr>
            </w:pPr>
            <w:r>
              <w:rPr>
                <w:rFonts w:hint="eastAsia" w:ascii="宋体" w:hAnsi="宋体" w:cs="宋体"/>
                <w:color w:val="auto"/>
                <w:kern w:val="0"/>
                <w:szCs w:val="21"/>
              </w:rPr>
              <w:t>二档（3分）：有专门的安全管理人员和制度，且人员配备合理，制度健全，各道工序安全技术措施针对性不足，确保工程质量的技术组织措施符合实际且基本满足有关安全技术标准要求。</w:t>
            </w:r>
          </w:p>
          <w:p w14:paraId="01494F92">
            <w:pPr>
              <w:pStyle w:val="244"/>
              <w:spacing w:line="400" w:lineRule="exact"/>
              <w:rPr>
                <w:rFonts w:ascii="宋体" w:hAnsi="宋体" w:eastAsia="宋体" w:cs="宋体"/>
                <w:color w:val="auto"/>
                <w:sz w:val="21"/>
                <w:szCs w:val="21"/>
              </w:rPr>
            </w:pPr>
            <w:r>
              <w:rPr>
                <w:rFonts w:hint="eastAsia" w:ascii="宋体" w:hAnsi="宋体" w:eastAsia="宋体" w:cs="宋体"/>
                <w:color w:val="auto"/>
                <w:sz w:val="21"/>
                <w:szCs w:val="21"/>
              </w:rPr>
              <w:t>一档（1分）：有专门的安全管理人员和制度，人员配备不合理，制度不健全，各道工序安全技术措施针无对性，不满足有关安全技术标准要求。</w:t>
            </w:r>
          </w:p>
        </w:tc>
        <w:tc>
          <w:tcPr>
            <w:tcW w:w="892" w:type="dxa"/>
            <w:shd w:val="clear" w:color="auto" w:fill="auto"/>
            <w:vAlign w:val="center"/>
          </w:tcPr>
          <w:p w14:paraId="1B77A95A">
            <w:pPr>
              <w:spacing w:line="400" w:lineRule="exact"/>
              <w:jc w:val="center"/>
              <w:rPr>
                <w:rFonts w:ascii="宋体" w:hAnsi="宋体" w:cs="宋体"/>
                <w:color w:val="auto"/>
                <w:szCs w:val="21"/>
              </w:rPr>
            </w:pPr>
            <w:r>
              <w:rPr>
                <w:rFonts w:hint="eastAsia" w:ascii="宋体" w:hAnsi="宋体" w:cs="宋体"/>
                <w:color w:val="auto"/>
                <w:kern w:val="0"/>
                <w:szCs w:val="21"/>
              </w:rPr>
              <w:t>10分</w:t>
            </w:r>
          </w:p>
        </w:tc>
      </w:tr>
      <w:tr w14:paraId="492A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42" w:type="dxa"/>
            <w:vMerge w:val="continue"/>
            <w:shd w:val="clear" w:color="auto" w:fill="auto"/>
            <w:vAlign w:val="center"/>
          </w:tcPr>
          <w:p w14:paraId="79DAFDE4">
            <w:pPr>
              <w:adjustRightInd w:val="0"/>
              <w:spacing w:line="400" w:lineRule="exact"/>
              <w:ind w:left="-105" w:leftChars="-50" w:right="-105" w:rightChars="-50"/>
              <w:jc w:val="center"/>
              <w:textAlignment w:val="baseline"/>
              <w:rPr>
                <w:rFonts w:ascii="宋体" w:hAnsi="宋体" w:cs="宋体"/>
                <w:bCs/>
                <w:color w:val="auto"/>
                <w:kern w:val="0"/>
                <w:szCs w:val="21"/>
              </w:rPr>
            </w:pPr>
          </w:p>
        </w:tc>
        <w:tc>
          <w:tcPr>
            <w:tcW w:w="1120" w:type="dxa"/>
            <w:gridSpan w:val="2"/>
            <w:vMerge w:val="continue"/>
            <w:shd w:val="clear" w:color="auto" w:fill="auto"/>
            <w:vAlign w:val="center"/>
          </w:tcPr>
          <w:p w14:paraId="4258C209">
            <w:pPr>
              <w:adjustRightInd w:val="0"/>
              <w:spacing w:line="400" w:lineRule="exact"/>
              <w:jc w:val="center"/>
              <w:textAlignment w:val="baseline"/>
              <w:rPr>
                <w:rFonts w:ascii="宋体" w:hAnsi="宋体" w:cs="宋体"/>
                <w:bCs/>
                <w:color w:val="auto"/>
                <w:kern w:val="0"/>
                <w:szCs w:val="21"/>
              </w:rPr>
            </w:pPr>
          </w:p>
        </w:tc>
        <w:tc>
          <w:tcPr>
            <w:tcW w:w="987" w:type="dxa"/>
            <w:shd w:val="clear" w:color="auto" w:fill="auto"/>
            <w:vAlign w:val="center"/>
          </w:tcPr>
          <w:p w14:paraId="1340FD7E">
            <w:pPr>
              <w:pStyle w:val="244"/>
              <w:spacing w:line="400" w:lineRule="exact"/>
              <w:jc w:val="center"/>
              <w:rPr>
                <w:rFonts w:ascii="宋体" w:hAnsi="宋体" w:eastAsia="宋体" w:cs="宋体"/>
                <w:color w:val="auto"/>
                <w:sz w:val="21"/>
                <w:szCs w:val="21"/>
              </w:rPr>
            </w:pPr>
            <w:r>
              <w:rPr>
                <w:rFonts w:hint="eastAsia" w:ascii="宋体" w:hAnsi="宋体" w:eastAsia="宋体" w:cs="宋体"/>
                <w:color w:val="auto"/>
                <w:sz w:val="21"/>
                <w:szCs w:val="21"/>
              </w:rPr>
              <w:t>7、确保工期的技术组织措施</w:t>
            </w:r>
          </w:p>
        </w:tc>
        <w:tc>
          <w:tcPr>
            <w:tcW w:w="5777" w:type="dxa"/>
            <w:shd w:val="clear" w:color="auto" w:fill="auto"/>
            <w:vAlign w:val="center"/>
          </w:tcPr>
          <w:p w14:paraId="5C5EDBB1">
            <w:pPr>
              <w:widowControl/>
              <w:spacing w:line="400" w:lineRule="exact"/>
              <w:rPr>
                <w:rFonts w:ascii="宋体" w:hAnsi="宋体" w:cs="宋体"/>
                <w:color w:val="auto"/>
                <w:kern w:val="0"/>
                <w:szCs w:val="21"/>
              </w:rPr>
            </w:pPr>
            <w:r>
              <w:rPr>
                <w:rFonts w:hint="eastAsia" w:ascii="宋体" w:hAnsi="宋体" w:cs="宋体"/>
                <w:color w:val="auto"/>
                <w:kern w:val="0"/>
                <w:szCs w:val="21"/>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满分10分。</w:t>
            </w:r>
          </w:p>
          <w:p w14:paraId="46EA0DE0">
            <w:pPr>
              <w:widowControl/>
              <w:spacing w:line="400" w:lineRule="exact"/>
              <w:rPr>
                <w:rFonts w:ascii="宋体" w:hAnsi="宋体" w:cs="宋体"/>
                <w:color w:val="auto"/>
                <w:kern w:val="0"/>
                <w:szCs w:val="21"/>
              </w:rPr>
            </w:pPr>
            <w:r>
              <w:rPr>
                <w:rFonts w:hint="eastAsia" w:ascii="宋体" w:hAnsi="宋体" w:cs="宋体"/>
                <w:color w:val="auto"/>
                <w:kern w:val="0"/>
                <w:szCs w:val="21"/>
              </w:rPr>
              <w:t xml:space="preserve">四档（10分）：有控制工期的施工进度计划。有施工总进度表或施工网络图，各项计划图表编制完善，安排科学合理，符合本项目施工实际要求。 </w:t>
            </w:r>
          </w:p>
          <w:p w14:paraId="670151F6">
            <w:pPr>
              <w:widowControl/>
              <w:spacing w:line="400" w:lineRule="exact"/>
              <w:rPr>
                <w:rFonts w:ascii="宋体" w:hAnsi="宋体" w:cs="宋体"/>
                <w:color w:val="auto"/>
                <w:kern w:val="0"/>
                <w:szCs w:val="21"/>
              </w:rPr>
            </w:pPr>
            <w:r>
              <w:rPr>
                <w:rFonts w:hint="eastAsia" w:ascii="宋体" w:hAnsi="宋体" w:cs="宋体"/>
                <w:color w:val="auto"/>
                <w:kern w:val="0"/>
                <w:szCs w:val="21"/>
              </w:rPr>
              <w:t xml:space="preserve">三档（7分）：有控制工期的施工进度计划。有施工总进度表或施工网络图，各项计划图表编制完善，安排基本科学合理，基本符合本项目施工实际要求。 </w:t>
            </w:r>
          </w:p>
          <w:p w14:paraId="71BE5045">
            <w:pPr>
              <w:widowControl/>
              <w:spacing w:line="400" w:lineRule="exact"/>
              <w:rPr>
                <w:rFonts w:ascii="宋体" w:hAnsi="宋体" w:cs="宋体"/>
                <w:color w:val="auto"/>
                <w:kern w:val="0"/>
                <w:szCs w:val="21"/>
              </w:rPr>
            </w:pPr>
            <w:r>
              <w:rPr>
                <w:rFonts w:hint="eastAsia" w:ascii="宋体" w:hAnsi="宋体" w:cs="宋体"/>
                <w:color w:val="auto"/>
                <w:kern w:val="0"/>
                <w:szCs w:val="21"/>
              </w:rPr>
              <w:t xml:space="preserve">二档（3 分）：有控制工期的施工进度计划。有施工总进度表或施工网络图，各项计划图表编制基本合理，安排基本合理，基本符合本项目施工实际要求。 </w:t>
            </w:r>
          </w:p>
          <w:p w14:paraId="7F4EAA9A">
            <w:pPr>
              <w:pStyle w:val="244"/>
              <w:spacing w:line="400" w:lineRule="exact"/>
              <w:rPr>
                <w:rFonts w:ascii="宋体" w:hAnsi="宋体" w:eastAsia="宋体" w:cs="宋体"/>
                <w:color w:val="auto"/>
                <w:sz w:val="21"/>
                <w:szCs w:val="21"/>
              </w:rPr>
            </w:pPr>
            <w:r>
              <w:rPr>
                <w:rFonts w:hint="eastAsia" w:ascii="宋体" w:hAnsi="宋体" w:eastAsia="宋体" w:cs="宋体"/>
                <w:color w:val="auto"/>
                <w:sz w:val="21"/>
                <w:szCs w:val="21"/>
              </w:rPr>
              <w:t>一档（1 分）：没有控制工期的施工进度计划。没有施工总进度表或施工网络图，各项计划图表编制不完善，安排不够科学合理，不符合本项目施工实际要求。</w:t>
            </w:r>
          </w:p>
        </w:tc>
        <w:tc>
          <w:tcPr>
            <w:tcW w:w="892" w:type="dxa"/>
            <w:shd w:val="clear" w:color="auto" w:fill="auto"/>
            <w:vAlign w:val="center"/>
          </w:tcPr>
          <w:p w14:paraId="2ACFE910">
            <w:pPr>
              <w:spacing w:line="400" w:lineRule="exact"/>
              <w:jc w:val="center"/>
              <w:rPr>
                <w:rFonts w:ascii="宋体" w:hAnsi="宋体" w:cs="宋体"/>
                <w:color w:val="auto"/>
                <w:szCs w:val="21"/>
              </w:rPr>
            </w:pPr>
            <w:r>
              <w:rPr>
                <w:rFonts w:hint="eastAsia" w:ascii="宋体" w:hAnsi="宋体" w:cs="宋体"/>
                <w:color w:val="auto"/>
                <w:kern w:val="0"/>
                <w:szCs w:val="21"/>
              </w:rPr>
              <w:t>10分</w:t>
            </w:r>
          </w:p>
        </w:tc>
      </w:tr>
      <w:tr w14:paraId="530FD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42" w:type="dxa"/>
            <w:shd w:val="clear" w:color="auto" w:fill="auto"/>
            <w:vAlign w:val="center"/>
          </w:tcPr>
          <w:p w14:paraId="031CE93E">
            <w:pPr>
              <w:adjustRightInd w:val="0"/>
              <w:spacing w:line="400" w:lineRule="exact"/>
              <w:ind w:left="-105" w:leftChars="-50" w:right="-105" w:rightChars="-50"/>
              <w:jc w:val="center"/>
              <w:textAlignment w:val="baseline"/>
              <w:rPr>
                <w:rFonts w:ascii="宋体" w:hAnsi="宋体" w:cs="宋体"/>
                <w:bCs/>
                <w:color w:val="auto"/>
                <w:kern w:val="0"/>
                <w:szCs w:val="21"/>
              </w:rPr>
            </w:pPr>
          </w:p>
        </w:tc>
        <w:tc>
          <w:tcPr>
            <w:tcW w:w="1120" w:type="dxa"/>
            <w:gridSpan w:val="2"/>
            <w:shd w:val="clear" w:color="auto" w:fill="auto"/>
            <w:vAlign w:val="center"/>
          </w:tcPr>
          <w:p w14:paraId="6DC474C1">
            <w:pPr>
              <w:adjustRightInd w:val="0"/>
              <w:spacing w:line="400" w:lineRule="exact"/>
              <w:jc w:val="center"/>
              <w:textAlignment w:val="baseline"/>
              <w:rPr>
                <w:rFonts w:ascii="宋体" w:hAnsi="宋体" w:cs="宋体"/>
                <w:bCs/>
                <w:color w:val="auto"/>
                <w:kern w:val="0"/>
                <w:szCs w:val="21"/>
              </w:rPr>
            </w:pPr>
          </w:p>
        </w:tc>
        <w:tc>
          <w:tcPr>
            <w:tcW w:w="987" w:type="dxa"/>
            <w:shd w:val="clear" w:color="auto" w:fill="auto"/>
            <w:vAlign w:val="center"/>
          </w:tcPr>
          <w:p w14:paraId="43BFA76B">
            <w:pPr>
              <w:pStyle w:val="244"/>
              <w:spacing w:line="400" w:lineRule="exact"/>
              <w:jc w:val="center"/>
              <w:rPr>
                <w:rFonts w:ascii="宋体" w:hAnsi="宋体" w:eastAsia="宋体" w:cs="宋体"/>
                <w:color w:val="auto"/>
                <w:sz w:val="21"/>
                <w:szCs w:val="21"/>
              </w:rPr>
            </w:pPr>
            <w:r>
              <w:rPr>
                <w:rFonts w:hint="eastAsia" w:ascii="宋体" w:hAnsi="宋体" w:eastAsia="宋体" w:cs="宋体"/>
                <w:color w:val="auto"/>
                <w:sz w:val="21"/>
                <w:szCs w:val="21"/>
              </w:rPr>
              <w:t>8、工程施工的重点和难点及保证措施</w:t>
            </w:r>
          </w:p>
        </w:tc>
        <w:tc>
          <w:tcPr>
            <w:tcW w:w="5777" w:type="dxa"/>
            <w:shd w:val="clear" w:color="auto" w:fill="auto"/>
            <w:vAlign w:val="center"/>
          </w:tcPr>
          <w:p w14:paraId="1E484D93">
            <w:pPr>
              <w:widowControl/>
              <w:spacing w:line="400" w:lineRule="exact"/>
              <w:rPr>
                <w:rFonts w:ascii="宋体" w:hAnsi="宋体" w:cs="宋体"/>
                <w:color w:val="auto"/>
                <w:kern w:val="0"/>
                <w:szCs w:val="21"/>
              </w:rPr>
            </w:pPr>
            <w:r>
              <w:rPr>
                <w:rFonts w:hint="eastAsia" w:ascii="宋体" w:hAnsi="宋体" w:cs="宋体"/>
                <w:color w:val="auto"/>
                <w:kern w:val="0"/>
                <w:szCs w:val="21"/>
              </w:rPr>
              <w:t xml:space="preserve">针对本工程的特点，阐述本工程的重点和难点，解决重点和难点问题的方法是否合理。满分 5分。 </w:t>
            </w:r>
          </w:p>
          <w:p w14:paraId="7E01870C">
            <w:pPr>
              <w:widowControl/>
              <w:spacing w:line="400" w:lineRule="exact"/>
              <w:rPr>
                <w:rFonts w:ascii="宋体" w:hAnsi="宋体" w:cs="宋体"/>
                <w:color w:val="auto"/>
                <w:kern w:val="0"/>
                <w:szCs w:val="21"/>
              </w:rPr>
            </w:pPr>
            <w:r>
              <w:rPr>
                <w:rFonts w:hint="eastAsia" w:ascii="宋体" w:hAnsi="宋体" w:cs="宋体"/>
                <w:color w:val="auto"/>
                <w:kern w:val="0"/>
                <w:szCs w:val="21"/>
              </w:rPr>
              <w:t xml:space="preserve">四档（5分）：针对本工程的特点，阐述本工程的重点和难点，解决重点和难点问题的方法科学合理，可行性强。 </w:t>
            </w:r>
          </w:p>
          <w:p w14:paraId="29FB14EF">
            <w:pPr>
              <w:widowControl/>
              <w:spacing w:line="400" w:lineRule="exact"/>
              <w:rPr>
                <w:rFonts w:ascii="宋体" w:hAnsi="宋体" w:cs="宋体"/>
                <w:color w:val="auto"/>
                <w:kern w:val="0"/>
                <w:szCs w:val="21"/>
              </w:rPr>
            </w:pPr>
            <w:r>
              <w:rPr>
                <w:rFonts w:hint="eastAsia" w:ascii="宋体" w:hAnsi="宋体" w:cs="宋体"/>
                <w:color w:val="auto"/>
                <w:kern w:val="0"/>
                <w:szCs w:val="21"/>
              </w:rPr>
              <w:t xml:space="preserve">三档（4分）：针对本工程的特点，阐述本工程的重点和难点，解决重点和难点问题的方法较为合理。 </w:t>
            </w:r>
          </w:p>
          <w:p w14:paraId="7CACD47D">
            <w:pPr>
              <w:widowControl/>
              <w:spacing w:line="400" w:lineRule="exact"/>
              <w:rPr>
                <w:rFonts w:ascii="宋体" w:hAnsi="宋体" w:cs="宋体"/>
                <w:color w:val="auto"/>
                <w:kern w:val="0"/>
                <w:szCs w:val="21"/>
              </w:rPr>
            </w:pPr>
            <w:r>
              <w:rPr>
                <w:rFonts w:hint="eastAsia" w:ascii="宋体" w:hAnsi="宋体" w:cs="宋体"/>
                <w:color w:val="auto"/>
                <w:kern w:val="0"/>
                <w:szCs w:val="21"/>
              </w:rPr>
              <w:t xml:space="preserve">二档（2 分）：针对本工程的特点，阐述本工程的重点和难点，解决重点和难点问题的方法基本合理。 </w:t>
            </w:r>
          </w:p>
          <w:p w14:paraId="59A85B69">
            <w:pPr>
              <w:pStyle w:val="244"/>
              <w:spacing w:line="400" w:lineRule="exact"/>
              <w:rPr>
                <w:rFonts w:ascii="宋体" w:hAnsi="宋体" w:eastAsia="宋体" w:cs="宋体"/>
                <w:color w:val="auto"/>
                <w:sz w:val="21"/>
                <w:szCs w:val="21"/>
              </w:rPr>
            </w:pPr>
            <w:r>
              <w:rPr>
                <w:rFonts w:hint="eastAsia" w:ascii="宋体" w:hAnsi="宋体" w:eastAsia="宋体" w:cs="宋体"/>
                <w:color w:val="auto"/>
                <w:sz w:val="21"/>
                <w:szCs w:val="21"/>
              </w:rPr>
              <w:t>一档（1 分）：针对本工程的特点，阐述本工程的重点和难点，解决重点和难点问题的方法不合理。</w:t>
            </w:r>
          </w:p>
        </w:tc>
        <w:tc>
          <w:tcPr>
            <w:tcW w:w="892" w:type="dxa"/>
            <w:shd w:val="clear" w:color="auto" w:fill="auto"/>
            <w:vAlign w:val="center"/>
          </w:tcPr>
          <w:p w14:paraId="10CEA6CB">
            <w:pPr>
              <w:spacing w:line="400" w:lineRule="exact"/>
              <w:jc w:val="center"/>
              <w:rPr>
                <w:rFonts w:ascii="宋体" w:hAnsi="宋体" w:cs="宋体"/>
                <w:color w:val="auto"/>
                <w:kern w:val="0"/>
                <w:szCs w:val="21"/>
              </w:rPr>
            </w:pPr>
            <w:r>
              <w:rPr>
                <w:rFonts w:hint="eastAsia" w:ascii="宋体" w:hAnsi="宋体" w:cs="宋体"/>
                <w:color w:val="auto"/>
                <w:kern w:val="0"/>
                <w:szCs w:val="21"/>
              </w:rPr>
              <w:t>5分</w:t>
            </w:r>
          </w:p>
        </w:tc>
      </w:tr>
      <w:tr w14:paraId="048AB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42" w:type="dxa"/>
            <w:shd w:val="clear" w:color="auto" w:fill="auto"/>
            <w:vAlign w:val="center"/>
          </w:tcPr>
          <w:p w14:paraId="623797A9">
            <w:pPr>
              <w:adjustRightInd w:val="0"/>
              <w:spacing w:line="400" w:lineRule="exact"/>
              <w:ind w:left="-105" w:leftChars="-50" w:right="-105" w:rightChars="-50"/>
              <w:jc w:val="center"/>
              <w:textAlignment w:val="baseline"/>
              <w:rPr>
                <w:rFonts w:ascii="宋体" w:hAnsi="宋体" w:cs="宋体"/>
                <w:bCs/>
                <w:color w:val="auto"/>
                <w:kern w:val="0"/>
                <w:szCs w:val="21"/>
              </w:rPr>
            </w:pPr>
          </w:p>
        </w:tc>
        <w:tc>
          <w:tcPr>
            <w:tcW w:w="1120" w:type="dxa"/>
            <w:gridSpan w:val="2"/>
            <w:shd w:val="clear" w:color="auto" w:fill="auto"/>
            <w:vAlign w:val="center"/>
          </w:tcPr>
          <w:p w14:paraId="53A76AE6">
            <w:pPr>
              <w:adjustRightInd w:val="0"/>
              <w:spacing w:line="400" w:lineRule="exact"/>
              <w:jc w:val="center"/>
              <w:textAlignment w:val="baseline"/>
              <w:rPr>
                <w:rFonts w:ascii="宋体" w:hAnsi="宋体" w:cs="宋体"/>
                <w:bCs/>
                <w:color w:val="auto"/>
                <w:kern w:val="0"/>
                <w:szCs w:val="21"/>
              </w:rPr>
            </w:pPr>
          </w:p>
        </w:tc>
        <w:tc>
          <w:tcPr>
            <w:tcW w:w="987" w:type="dxa"/>
            <w:shd w:val="clear" w:color="auto" w:fill="auto"/>
            <w:vAlign w:val="center"/>
          </w:tcPr>
          <w:p w14:paraId="2CD2657E">
            <w:pPr>
              <w:pStyle w:val="244"/>
              <w:spacing w:line="400" w:lineRule="exact"/>
              <w:jc w:val="center"/>
              <w:rPr>
                <w:rFonts w:ascii="宋体" w:hAnsi="宋体" w:eastAsia="宋体" w:cs="宋体"/>
                <w:color w:val="auto"/>
                <w:sz w:val="21"/>
                <w:szCs w:val="21"/>
              </w:rPr>
            </w:pPr>
            <w:r>
              <w:rPr>
                <w:rFonts w:hint="eastAsia" w:ascii="宋体" w:hAnsi="宋体" w:eastAsia="宋体" w:cs="宋体"/>
                <w:color w:val="auto"/>
                <w:sz w:val="21"/>
                <w:szCs w:val="21"/>
              </w:rPr>
              <w:t>9、确保文明施工的技术组织措施</w:t>
            </w:r>
          </w:p>
        </w:tc>
        <w:tc>
          <w:tcPr>
            <w:tcW w:w="5777" w:type="dxa"/>
            <w:shd w:val="clear" w:color="auto" w:fill="auto"/>
            <w:vAlign w:val="center"/>
          </w:tcPr>
          <w:p w14:paraId="079657C9">
            <w:pPr>
              <w:widowControl/>
              <w:spacing w:line="400" w:lineRule="exact"/>
              <w:rPr>
                <w:rFonts w:ascii="宋体" w:hAnsi="宋体" w:cs="宋体"/>
                <w:color w:val="auto"/>
                <w:kern w:val="0"/>
                <w:szCs w:val="21"/>
              </w:rPr>
            </w:pPr>
            <w:r>
              <w:rPr>
                <w:rFonts w:hint="eastAsia" w:ascii="宋体" w:hAnsi="宋体" w:cs="宋体"/>
                <w:color w:val="auto"/>
                <w:kern w:val="0"/>
                <w:szCs w:val="21"/>
              </w:rPr>
              <w:t xml:space="preserve">针对本工程项目特点，应有现场文明 施工、环境保护措施，且措施内容应 达到《建筑施工安全生产检查标准》 （JGJ59-2011）合格标准并符合《广 西壮族自治区建筑工程文明施工导则》要求。各项措施周全、具体、有效。有具体实现现场文明施工目标的承诺。满分 5分。 </w:t>
            </w:r>
          </w:p>
          <w:p w14:paraId="7B54CEE3">
            <w:pPr>
              <w:widowControl/>
              <w:spacing w:line="400" w:lineRule="exact"/>
              <w:rPr>
                <w:rFonts w:ascii="宋体" w:hAnsi="宋体" w:cs="宋体"/>
                <w:color w:val="auto"/>
                <w:kern w:val="0"/>
                <w:szCs w:val="21"/>
              </w:rPr>
            </w:pPr>
            <w:r>
              <w:rPr>
                <w:rFonts w:hint="eastAsia" w:ascii="宋体" w:hAnsi="宋体" w:cs="宋体"/>
                <w:color w:val="auto"/>
                <w:kern w:val="0"/>
                <w:szCs w:val="21"/>
              </w:rPr>
              <w:t xml:space="preserve">四档（5分）：各项措施科学周全、具体、有效。有具体实现现场文明施工目标的承诺。 </w:t>
            </w:r>
          </w:p>
          <w:p w14:paraId="20CF1278">
            <w:pPr>
              <w:widowControl/>
              <w:spacing w:line="400" w:lineRule="exact"/>
              <w:rPr>
                <w:rFonts w:ascii="宋体" w:hAnsi="宋体" w:cs="宋体"/>
                <w:color w:val="auto"/>
                <w:kern w:val="0"/>
                <w:szCs w:val="21"/>
              </w:rPr>
            </w:pPr>
            <w:r>
              <w:rPr>
                <w:rFonts w:hint="eastAsia" w:ascii="宋体" w:hAnsi="宋体" w:cs="宋体"/>
                <w:color w:val="auto"/>
                <w:kern w:val="0"/>
                <w:szCs w:val="21"/>
              </w:rPr>
              <w:t>三档（4分）：各项措施较合理。有具体实现现场文明施工目标的承诺。</w:t>
            </w:r>
          </w:p>
          <w:p w14:paraId="7EECAA1A">
            <w:pPr>
              <w:widowControl/>
              <w:spacing w:line="400" w:lineRule="exact"/>
              <w:rPr>
                <w:rFonts w:ascii="宋体" w:hAnsi="宋体" w:cs="宋体"/>
                <w:color w:val="auto"/>
                <w:kern w:val="0"/>
                <w:szCs w:val="21"/>
              </w:rPr>
            </w:pPr>
            <w:r>
              <w:rPr>
                <w:rFonts w:hint="eastAsia" w:ascii="宋体" w:hAnsi="宋体" w:cs="宋体"/>
                <w:color w:val="auto"/>
                <w:kern w:val="0"/>
                <w:szCs w:val="21"/>
              </w:rPr>
              <w:t>二档（2 分）：各项措施粗略。有具体实现现场文明施工目标的承诺。</w:t>
            </w:r>
          </w:p>
          <w:p w14:paraId="7DD2BA82">
            <w:pPr>
              <w:pStyle w:val="244"/>
              <w:spacing w:line="400" w:lineRule="exact"/>
              <w:rPr>
                <w:rFonts w:ascii="宋体" w:hAnsi="宋体" w:eastAsia="宋体" w:cs="宋体"/>
                <w:color w:val="auto"/>
                <w:sz w:val="21"/>
                <w:szCs w:val="21"/>
              </w:rPr>
            </w:pPr>
            <w:r>
              <w:rPr>
                <w:rFonts w:hint="eastAsia" w:ascii="宋体" w:hAnsi="宋体" w:eastAsia="宋体" w:cs="宋体"/>
                <w:color w:val="auto"/>
                <w:sz w:val="21"/>
                <w:szCs w:val="21"/>
              </w:rPr>
              <w:t>一档（1 分）：各项措施不合理。无具体实现现场文明施工目标的承诺。</w:t>
            </w:r>
          </w:p>
        </w:tc>
        <w:tc>
          <w:tcPr>
            <w:tcW w:w="892" w:type="dxa"/>
            <w:shd w:val="clear" w:color="auto" w:fill="auto"/>
            <w:vAlign w:val="center"/>
          </w:tcPr>
          <w:p w14:paraId="7687DEBE">
            <w:pPr>
              <w:spacing w:line="400" w:lineRule="exact"/>
              <w:jc w:val="center"/>
              <w:rPr>
                <w:rFonts w:ascii="宋体" w:hAnsi="宋体" w:cs="宋体"/>
                <w:color w:val="auto"/>
                <w:kern w:val="0"/>
                <w:szCs w:val="21"/>
              </w:rPr>
            </w:pPr>
            <w:r>
              <w:rPr>
                <w:rFonts w:hint="eastAsia" w:ascii="宋体" w:hAnsi="宋体" w:cs="宋体"/>
                <w:color w:val="auto"/>
                <w:kern w:val="0"/>
                <w:szCs w:val="21"/>
              </w:rPr>
              <w:t>5分</w:t>
            </w:r>
          </w:p>
        </w:tc>
      </w:tr>
      <w:tr w14:paraId="5370E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42" w:type="dxa"/>
            <w:shd w:val="clear" w:color="auto" w:fill="auto"/>
            <w:vAlign w:val="center"/>
          </w:tcPr>
          <w:p w14:paraId="471116DC">
            <w:pPr>
              <w:widowControl/>
              <w:spacing w:line="400" w:lineRule="exact"/>
              <w:jc w:val="center"/>
              <w:rPr>
                <w:rFonts w:ascii="宋体" w:hAnsi="宋体" w:cs="宋体"/>
                <w:b/>
                <w:bCs/>
                <w:color w:val="auto"/>
                <w:kern w:val="0"/>
                <w:szCs w:val="21"/>
              </w:rPr>
            </w:pPr>
            <w:r>
              <w:rPr>
                <w:rFonts w:hint="eastAsia" w:ascii="宋体" w:hAnsi="宋体" w:cs="宋体"/>
                <w:b/>
                <w:bCs/>
                <w:color w:val="auto"/>
                <w:kern w:val="0"/>
                <w:szCs w:val="21"/>
              </w:rPr>
              <w:t>3</w:t>
            </w:r>
          </w:p>
        </w:tc>
        <w:tc>
          <w:tcPr>
            <w:tcW w:w="2107" w:type="dxa"/>
            <w:gridSpan w:val="3"/>
            <w:shd w:val="clear" w:color="auto" w:fill="auto"/>
            <w:vAlign w:val="center"/>
          </w:tcPr>
          <w:p w14:paraId="4DC9FEEB">
            <w:pPr>
              <w:widowControl/>
              <w:spacing w:line="400" w:lineRule="exact"/>
              <w:jc w:val="center"/>
              <w:rPr>
                <w:rFonts w:ascii="宋体" w:hAnsi="宋体" w:cs="宋体"/>
                <w:b/>
                <w:bCs/>
                <w:color w:val="auto"/>
                <w:szCs w:val="21"/>
              </w:rPr>
            </w:pPr>
            <w:r>
              <w:rPr>
                <w:rFonts w:hint="eastAsia" w:ascii="宋体" w:hAnsi="宋体" w:cs="宋体"/>
                <w:b/>
                <w:bCs/>
                <w:color w:val="auto"/>
                <w:szCs w:val="21"/>
              </w:rPr>
              <w:t>商务分</w:t>
            </w:r>
          </w:p>
        </w:tc>
        <w:tc>
          <w:tcPr>
            <w:tcW w:w="5777" w:type="dxa"/>
            <w:shd w:val="clear" w:color="auto" w:fill="auto"/>
            <w:vAlign w:val="center"/>
          </w:tcPr>
          <w:p w14:paraId="28AC8465">
            <w:pPr>
              <w:widowControl/>
              <w:spacing w:line="400" w:lineRule="exact"/>
              <w:jc w:val="center"/>
              <w:rPr>
                <w:rFonts w:ascii="宋体" w:hAnsi="宋体" w:cs="宋体"/>
                <w:b/>
                <w:bCs/>
                <w:color w:val="auto"/>
                <w:kern w:val="0"/>
                <w:szCs w:val="21"/>
              </w:rPr>
            </w:pPr>
            <w:r>
              <w:rPr>
                <w:rFonts w:hint="eastAsia" w:ascii="宋体" w:hAnsi="宋体" w:cs="宋体"/>
                <w:b/>
                <w:bCs/>
                <w:color w:val="auto"/>
                <w:kern w:val="0"/>
                <w:szCs w:val="21"/>
              </w:rPr>
              <w:t>评审标准</w:t>
            </w:r>
          </w:p>
        </w:tc>
        <w:tc>
          <w:tcPr>
            <w:tcW w:w="892" w:type="dxa"/>
            <w:shd w:val="clear" w:color="auto" w:fill="auto"/>
            <w:vAlign w:val="center"/>
          </w:tcPr>
          <w:p w14:paraId="7ED8A390">
            <w:pPr>
              <w:widowControl/>
              <w:spacing w:line="400" w:lineRule="exact"/>
              <w:jc w:val="center"/>
              <w:rPr>
                <w:rFonts w:ascii="宋体" w:hAnsi="宋体" w:cs="宋体"/>
                <w:b/>
                <w:bCs/>
                <w:color w:val="auto"/>
                <w:kern w:val="0"/>
                <w:szCs w:val="21"/>
              </w:rPr>
            </w:pPr>
            <w:r>
              <w:rPr>
                <w:rFonts w:hint="eastAsia" w:ascii="宋体" w:hAnsi="宋体" w:cs="宋体"/>
                <w:b/>
                <w:bCs/>
                <w:color w:val="auto"/>
                <w:kern w:val="0"/>
                <w:szCs w:val="21"/>
              </w:rPr>
              <w:t>20分</w:t>
            </w:r>
          </w:p>
        </w:tc>
      </w:tr>
      <w:tr w14:paraId="2338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42" w:type="dxa"/>
            <w:vMerge w:val="restart"/>
            <w:shd w:val="clear" w:color="auto" w:fill="auto"/>
            <w:vAlign w:val="center"/>
          </w:tcPr>
          <w:p w14:paraId="75F82945">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3.1</w:t>
            </w:r>
          </w:p>
        </w:tc>
        <w:tc>
          <w:tcPr>
            <w:tcW w:w="1053" w:type="dxa"/>
            <w:vMerge w:val="restart"/>
            <w:shd w:val="clear" w:color="auto" w:fill="auto"/>
            <w:vAlign w:val="center"/>
          </w:tcPr>
          <w:p w14:paraId="775C522D">
            <w:pPr>
              <w:pStyle w:val="244"/>
              <w:spacing w:line="4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业绩和资信分</w:t>
            </w:r>
            <w:r>
              <w:rPr>
                <w:rFonts w:hint="eastAsia" w:ascii="宋体" w:hAnsi="宋体" w:eastAsia="宋体" w:cs="宋体"/>
                <w:color w:val="auto"/>
                <w:sz w:val="21"/>
                <w:szCs w:val="21"/>
                <w:lang w:eastAsia="zh-CN"/>
              </w:rPr>
              <w:t>（满分</w:t>
            </w:r>
            <w:r>
              <w:rPr>
                <w:rFonts w:hint="eastAsia" w:ascii="宋体" w:hAnsi="宋体" w:eastAsia="宋体" w:cs="宋体"/>
                <w:color w:val="auto"/>
                <w:sz w:val="21"/>
                <w:szCs w:val="21"/>
                <w:lang w:val="en-US" w:eastAsia="zh-CN"/>
              </w:rPr>
              <w:t>20分）</w:t>
            </w:r>
          </w:p>
        </w:tc>
        <w:tc>
          <w:tcPr>
            <w:tcW w:w="1054" w:type="dxa"/>
            <w:gridSpan w:val="2"/>
            <w:shd w:val="clear" w:color="auto" w:fill="auto"/>
            <w:vAlign w:val="center"/>
          </w:tcPr>
          <w:p w14:paraId="5F93918C">
            <w:pPr>
              <w:pStyle w:val="244"/>
              <w:spacing w:line="400" w:lineRule="exact"/>
              <w:jc w:val="center"/>
              <w:rPr>
                <w:rFonts w:ascii="宋体" w:hAnsi="宋体" w:eastAsia="宋体" w:cs="宋体"/>
                <w:color w:val="auto"/>
                <w:sz w:val="21"/>
                <w:szCs w:val="21"/>
              </w:rPr>
            </w:pPr>
            <w:r>
              <w:rPr>
                <w:rFonts w:hint="eastAsia" w:ascii="宋体" w:hAnsi="宋体" w:eastAsia="宋体" w:cs="宋体"/>
                <w:color w:val="auto"/>
                <w:sz w:val="21"/>
                <w:szCs w:val="21"/>
              </w:rPr>
              <w:t>业绩</w:t>
            </w:r>
          </w:p>
        </w:tc>
        <w:tc>
          <w:tcPr>
            <w:tcW w:w="5777" w:type="dxa"/>
            <w:shd w:val="clear" w:color="auto" w:fill="auto"/>
            <w:vAlign w:val="center"/>
          </w:tcPr>
          <w:p w14:paraId="7C1E2DA9">
            <w:pPr>
              <w:pStyle w:val="17"/>
              <w:spacing w:line="400" w:lineRule="exact"/>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供应商近五年(所完成项目的竣（交）工日期在2021年05月1日之后)完成过同类业绩[二级以上（含二级）公路工程的新建、改扩建或大中修工程</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lang w:eastAsia="zh-CN"/>
              </w:rPr>
              <w:t>公路安全设施精细化提升工程项目（须含交安设施）]业绩的，每</w:t>
            </w:r>
            <w:r>
              <w:rPr>
                <w:rFonts w:hint="eastAsia" w:ascii="宋体" w:hAnsi="宋体" w:cs="宋体"/>
                <w:color w:val="auto"/>
                <w:sz w:val="21"/>
                <w:szCs w:val="21"/>
                <w:lang w:eastAsia="zh-CN"/>
              </w:rPr>
              <w:t>提供</w:t>
            </w:r>
            <w:r>
              <w:rPr>
                <w:rFonts w:hint="eastAsia" w:ascii="宋体" w:hAnsi="宋体" w:eastAsia="宋体" w:cs="宋体"/>
                <w:color w:val="auto"/>
                <w:sz w:val="21"/>
                <w:szCs w:val="21"/>
                <w:lang w:eastAsia="zh-CN"/>
              </w:rPr>
              <w:t>1个业绩</w:t>
            </w:r>
            <w:r>
              <w:rPr>
                <w:rFonts w:hint="eastAsia" w:ascii="宋体" w:hAnsi="宋体" w:cs="宋体"/>
                <w:color w:val="auto"/>
                <w:sz w:val="21"/>
                <w:szCs w:val="21"/>
                <w:lang w:eastAsia="zh-CN"/>
              </w:rPr>
              <w:t>得</w:t>
            </w:r>
            <w:r>
              <w:rPr>
                <w:rFonts w:hint="eastAsia" w:ascii="宋体" w:hAnsi="宋体" w:eastAsia="宋体" w:cs="宋体"/>
                <w:color w:val="auto"/>
                <w:sz w:val="21"/>
                <w:szCs w:val="21"/>
                <w:lang w:eastAsia="zh-CN"/>
              </w:rPr>
              <w:t>5分，满分 15分。</w:t>
            </w:r>
          </w:p>
          <w:p w14:paraId="05D3031F">
            <w:pPr>
              <w:pStyle w:val="17"/>
              <w:spacing w:line="400" w:lineRule="exact"/>
              <w:rPr>
                <w:rFonts w:ascii="宋体" w:hAnsi="宋体" w:eastAsia="宋体" w:cs="宋体"/>
                <w:color w:val="auto"/>
                <w:sz w:val="21"/>
                <w:szCs w:val="21"/>
                <w:lang w:eastAsia="zh-CN"/>
              </w:rPr>
            </w:pPr>
            <w:r>
              <w:rPr>
                <w:rFonts w:hint="eastAsia" w:ascii="宋体" w:hAnsi="宋体" w:eastAsia="宋体" w:cs="宋体"/>
                <w:color w:val="auto"/>
                <w:kern w:val="2"/>
                <w:sz w:val="21"/>
                <w:szCs w:val="21"/>
                <w:lang w:eastAsia="zh-CN" w:bidi="ar-SA"/>
              </w:rPr>
              <w:t>（注：成功完成是指工程按《公路工程竣（交）工验收办法》交工验收或竣工验收通过）。上述公路业绩中，只能是已完成项目的，指工程经按《公路工程竣（交）工验收办法》交工验收或竣工验收通过），业绩证明以合同协议书（或成交通知书）、竣（交）工验收证书复印件电子签章为准（所完成的项目的合同交工验收时间在2021年5月1日以后）。</w:t>
            </w:r>
          </w:p>
        </w:tc>
        <w:tc>
          <w:tcPr>
            <w:tcW w:w="892" w:type="dxa"/>
            <w:shd w:val="clear" w:color="auto" w:fill="auto"/>
            <w:vAlign w:val="center"/>
          </w:tcPr>
          <w:p w14:paraId="4F9FDF86">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15分</w:t>
            </w:r>
          </w:p>
        </w:tc>
      </w:tr>
      <w:tr w14:paraId="3815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42" w:type="dxa"/>
            <w:vMerge w:val="continue"/>
            <w:shd w:val="clear" w:color="auto" w:fill="auto"/>
            <w:vAlign w:val="center"/>
          </w:tcPr>
          <w:p w14:paraId="72DF1E69">
            <w:pPr>
              <w:widowControl/>
              <w:spacing w:line="400" w:lineRule="exact"/>
              <w:jc w:val="center"/>
              <w:rPr>
                <w:rFonts w:ascii="宋体" w:hAnsi="宋体" w:cs="宋体"/>
                <w:color w:val="auto"/>
                <w:kern w:val="0"/>
                <w:szCs w:val="21"/>
              </w:rPr>
            </w:pPr>
          </w:p>
        </w:tc>
        <w:tc>
          <w:tcPr>
            <w:tcW w:w="1053" w:type="dxa"/>
            <w:vMerge w:val="continue"/>
            <w:shd w:val="clear" w:color="auto" w:fill="auto"/>
            <w:vAlign w:val="center"/>
          </w:tcPr>
          <w:p w14:paraId="1C9AEE51">
            <w:pPr>
              <w:pStyle w:val="244"/>
              <w:spacing w:line="400" w:lineRule="exact"/>
              <w:jc w:val="center"/>
              <w:rPr>
                <w:rFonts w:ascii="宋体" w:hAnsi="宋体" w:eastAsia="宋体" w:cs="宋体"/>
                <w:color w:val="auto"/>
                <w:sz w:val="21"/>
                <w:szCs w:val="21"/>
              </w:rPr>
            </w:pPr>
          </w:p>
        </w:tc>
        <w:tc>
          <w:tcPr>
            <w:tcW w:w="1054" w:type="dxa"/>
            <w:gridSpan w:val="2"/>
            <w:shd w:val="clear" w:color="auto" w:fill="auto"/>
            <w:vAlign w:val="center"/>
          </w:tcPr>
          <w:p w14:paraId="35FA7052">
            <w:pPr>
              <w:spacing w:line="400" w:lineRule="exact"/>
              <w:jc w:val="center"/>
              <w:rPr>
                <w:rFonts w:ascii="宋体" w:hAnsi="宋体" w:cs="宋体"/>
                <w:color w:val="auto"/>
                <w:szCs w:val="21"/>
              </w:rPr>
            </w:pPr>
            <w:r>
              <w:rPr>
                <w:rFonts w:hint="eastAsia" w:ascii="宋体" w:hAnsi="宋体" w:cs="宋体"/>
                <w:color w:val="auto"/>
                <w:szCs w:val="21"/>
              </w:rPr>
              <w:t>信誉</w:t>
            </w:r>
          </w:p>
        </w:tc>
        <w:tc>
          <w:tcPr>
            <w:tcW w:w="5777" w:type="dxa"/>
            <w:shd w:val="clear" w:color="auto" w:fill="auto"/>
            <w:vAlign w:val="center"/>
          </w:tcPr>
          <w:p w14:paraId="10E664A2">
            <w:pPr>
              <w:spacing w:line="400" w:lineRule="exact"/>
              <w:jc w:val="left"/>
              <w:rPr>
                <w:rFonts w:ascii="宋体" w:hAnsi="宋体" w:cs="宋体"/>
                <w:color w:val="auto"/>
                <w:szCs w:val="21"/>
              </w:rPr>
            </w:pPr>
            <w:r>
              <w:rPr>
                <w:rFonts w:hint="eastAsia" w:ascii="宋体" w:hAnsi="宋体" w:cs="宋体"/>
                <w:color w:val="auto"/>
                <w:szCs w:val="21"/>
              </w:rPr>
              <w:t>无不良信用记录的得5分，在全国公路建设市场信用信息管理系统的不良行为记录中自2021年5月1日起（以对外公布时间为准）存在一项不良行为记录的扣1分（以评标期间核查为准），扣完5分为止。</w:t>
            </w:r>
          </w:p>
        </w:tc>
        <w:tc>
          <w:tcPr>
            <w:tcW w:w="892" w:type="dxa"/>
            <w:shd w:val="clear" w:color="auto" w:fill="auto"/>
            <w:vAlign w:val="center"/>
          </w:tcPr>
          <w:p w14:paraId="5D809051">
            <w:pPr>
              <w:widowControl/>
              <w:spacing w:line="400" w:lineRule="exact"/>
              <w:jc w:val="center"/>
              <w:rPr>
                <w:rFonts w:hint="eastAsia" w:ascii="宋体" w:hAnsi="宋体" w:eastAsia="宋体" w:cs="宋体"/>
                <w:color w:val="auto"/>
                <w:kern w:val="0"/>
                <w:szCs w:val="21"/>
                <w:lang w:eastAsia="zh-CN"/>
              </w:rPr>
            </w:pPr>
            <w:r>
              <w:rPr>
                <w:rFonts w:hint="eastAsia" w:ascii="宋体" w:hAnsi="宋体" w:cs="宋体"/>
                <w:color w:val="auto"/>
                <w:kern w:val="0"/>
                <w:szCs w:val="21"/>
              </w:rPr>
              <w:t>5</w:t>
            </w:r>
            <w:r>
              <w:rPr>
                <w:rFonts w:hint="eastAsia" w:ascii="宋体" w:hAnsi="宋体" w:cs="宋体"/>
                <w:color w:val="auto"/>
                <w:kern w:val="0"/>
                <w:szCs w:val="21"/>
                <w:lang w:eastAsia="zh-CN"/>
              </w:rPr>
              <w:t>分</w:t>
            </w:r>
          </w:p>
        </w:tc>
      </w:tr>
      <w:tr w14:paraId="4E32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26" w:type="dxa"/>
            <w:gridSpan w:val="5"/>
            <w:shd w:val="clear" w:color="auto" w:fill="auto"/>
          </w:tcPr>
          <w:p w14:paraId="35C28587">
            <w:pPr>
              <w:pStyle w:val="28"/>
              <w:spacing w:line="400" w:lineRule="exact"/>
              <w:rPr>
                <w:rFonts w:hAnsi="宋体" w:cs="宋体"/>
                <w:bCs/>
                <w:color w:val="auto"/>
                <w:kern w:val="2"/>
                <w:sz w:val="21"/>
              </w:rPr>
            </w:pPr>
            <w:r>
              <w:rPr>
                <w:rFonts w:hint="eastAsia" w:hAnsi="宋体" w:cs="宋体"/>
                <w:b/>
                <w:bCs w:val="0"/>
                <w:color w:val="auto"/>
                <w:kern w:val="2"/>
                <w:sz w:val="21"/>
              </w:rPr>
              <w:t>总得分＝1＋2＋3</w:t>
            </w:r>
          </w:p>
        </w:tc>
        <w:tc>
          <w:tcPr>
            <w:tcW w:w="892" w:type="dxa"/>
            <w:shd w:val="clear" w:color="auto" w:fill="auto"/>
            <w:vAlign w:val="center"/>
          </w:tcPr>
          <w:p w14:paraId="754B9549">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100分</w:t>
            </w:r>
          </w:p>
        </w:tc>
      </w:tr>
      <w:tr w14:paraId="64C9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518" w:type="dxa"/>
            <w:gridSpan w:val="6"/>
            <w:shd w:val="clear" w:color="auto" w:fill="auto"/>
          </w:tcPr>
          <w:p w14:paraId="47BA4E1A">
            <w:pPr>
              <w:widowControl/>
              <w:spacing w:line="400" w:lineRule="exact"/>
              <w:jc w:val="left"/>
              <w:rPr>
                <w:rFonts w:ascii="宋体" w:hAnsi="宋体" w:cs="宋体"/>
                <w:color w:val="auto"/>
                <w:kern w:val="0"/>
                <w:szCs w:val="21"/>
              </w:rPr>
            </w:pPr>
            <w:r>
              <w:rPr>
                <w:rFonts w:hint="eastAsia" w:ascii="宋体" w:hAnsi="宋体" w:cs="宋体"/>
                <w:color w:val="auto"/>
                <w:szCs w:val="21"/>
              </w:rPr>
              <w:t>本项目为施工项目，不涉及政策功能的节能，环保分加分。</w:t>
            </w:r>
          </w:p>
        </w:tc>
      </w:tr>
    </w:tbl>
    <w:p w14:paraId="73D0BA92">
      <w:pPr>
        <w:pStyle w:val="2"/>
        <w:spacing w:line="440" w:lineRule="exact"/>
        <w:jc w:val="center"/>
        <w:rPr>
          <w:rFonts w:ascii="宋体" w:hAnsi="宋体" w:cs="宋体"/>
          <w:color w:val="auto"/>
        </w:rPr>
      </w:pPr>
      <w:r>
        <w:rPr>
          <w:rFonts w:hint="eastAsia" w:ascii="宋体" w:hAnsi="宋体" w:cs="宋体"/>
          <w:color w:val="auto"/>
        </w:rPr>
        <w:br w:type="page"/>
      </w:r>
      <w:bookmarkStart w:id="76" w:name="_Toc17142"/>
      <w:r>
        <w:rPr>
          <w:rFonts w:hint="eastAsia" w:ascii="宋体" w:hAnsi="宋体" w:cs="宋体"/>
          <w:color w:val="auto"/>
          <w:sz w:val="32"/>
          <w:szCs w:val="32"/>
        </w:rPr>
        <w:t>第五章工程量清单及图纸（另附）</w:t>
      </w:r>
      <w:bookmarkEnd w:id="76"/>
    </w:p>
    <w:p w14:paraId="7D18C5FD">
      <w:pPr>
        <w:spacing w:line="440" w:lineRule="exact"/>
        <w:rPr>
          <w:rFonts w:ascii="宋体" w:hAnsi="宋体" w:cs="宋体"/>
          <w:color w:val="auto"/>
          <w:sz w:val="40"/>
          <w:szCs w:val="40"/>
        </w:rPr>
      </w:pPr>
      <w:r>
        <w:rPr>
          <w:rFonts w:hint="eastAsia" w:ascii="宋体" w:hAnsi="宋体" w:cs="宋体"/>
          <w:color w:val="auto"/>
          <w:sz w:val="40"/>
          <w:szCs w:val="40"/>
        </w:rPr>
        <w:br w:type="page"/>
      </w:r>
    </w:p>
    <w:p w14:paraId="2F4E7227">
      <w:pPr>
        <w:pStyle w:val="2"/>
        <w:spacing w:line="440" w:lineRule="exact"/>
        <w:jc w:val="center"/>
        <w:rPr>
          <w:rFonts w:ascii="宋体" w:hAnsi="宋体" w:cs="宋体"/>
          <w:bCs/>
          <w:color w:val="auto"/>
          <w:sz w:val="32"/>
          <w:szCs w:val="32"/>
        </w:rPr>
      </w:pPr>
      <w:bookmarkStart w:id="77" w:name="_Toc30516"/>
      <w:r>
        <w:rPr>
          <w:rFonts w:hint="eastAsia" w:ascii="宋体" w:hAnsi="宋体" w:cs="宋体"/>
          <w:color w:val="auto"/>
          <w:sz w:val="32"/>
          <w:szCs w:val="32"/>
        </w:rPr>
        <w:t>第六章响应文件格式</w:t>
      </w:r>
      <w:bookmarkEnd w:id="77"/>
    </w:p>
    <w:p w14:paraId="4BDA5043">
      <w:pPr>
        <w:spacing w:line="440" w:lineRule="exact"/>
        <w:outlineLvl w:val="1"/>
        <w:rPr>
          <w:rFonts w:ascii="宋体" w:hAnsi="宋体" w:cs="宋体"/>
          <w:b/>
          <w:color w:val="auto"/>
          <w:sz w:val="32"/>
          <w:szCs w:val="32"/>
        </w:rPr>
      </w:pPr>
      <w:bookmarkStart w:id="78" w:name="_Toc44229899"/>
      <w:bookmarkStart w:id="79" w:name="_Toc15980"/>
      <w:bookmarkStart w:id="80" w:name="_Toc35611438"/>
      <w:bookmarkStart w:id="81" w:name="_Toc31723070"/>
      <w:bookmarkStart w:id="82" w:name="_Toc35611516"/>
      <w:bookmarkStart w:id="83" w:name="_Toc71366186"/>
      <w:bookmarkStart w:id="84" w:name="_Toc31728084"/>
      <w:r>
        <w:rPr>
          <w:rFonts w:hint="eastAsia" w:ascii="宋体" w:hAnsi="宋体" w:cs="宋体"/>
          <w:b/>
          <w:color w:val="auto"/>
          <w:sz w:val="32"/>
          <w:szCs w:val="32"/>
        </w:rPr>
        <w:t>一、资格证明文件格式</w:t>
      </w:r>
      <w:bookmarkEnd w:id="78"/>
      <w:bookmarkEnd w:id="79"/>
      <w:bookmarkEnd w:id="80"/>
      <w:bookmarkEnd w:id="81"/>
      <w:bookmarkEnd w:id="82"/>
      <w:bookmarkEnd w:id="83"/>
      <w:bookmarkEnd w:id="84"/>
    </w:p>
    <w:p w14:paraId="02D1F1FF">
      <w:pPr>
        <w:snapToGrid w:val="0"/>
        <w:spacing w:beforeLines="50" w:after="50" w:line="440" w:lineRule="exact"/>
        <w:jc w:val="left"/>
        <w:rPr>
          <w:rFonts w:ascii="宋体" w:hAnsi="宋体" w:cs="宋体"/>
          <w:b/>
          <w:color w:val="auto"/>
          <w:sz w:val="24"/>
        </w:rPr>
      </w:pPr>
      <w:r>
        <w:rPr>
          <w:rFonts w:hint="eastAsia" w:ascii="宋体" w:hAnsi="宋体" w:cs="宋体"/>
          <w:b/>
          <w:color w:val="auto"/>
          <w:sz w:val="32"/>
          <w:szCs w:val="32"/>
        </w:rPr>
        <w:t>1.资格证明文件封面格式：</w:t>
      </w:r>
    </w:p>
    <w:p w14:paraId="74523B07">
      <w:pPr>
        <w:snapToGrid w:val="0"/>
        <w:spacing w:beforeLines="50" w:after="50" w:line="440" w:lineRule="exact"/>
        <w:jc w:val="center"/>
        <w:rPr>
          <w:rFonts w:ascii="宋体" w:hAnsi="宋体" w:cs="宋体"/>
          <w:color w:val="auto"/>
          <w:sz w:val="44"/>
          <w:szCs w:val="44"/>
        </w:rPr>
      </w:pPr>
    </w:p>
    <w:p w14:paraId="369C1896">
      <w:pPr>
        <w:snapToGrid w:val="0"/>
        <w:spacing w:beforeLines="50" w:after="50" w:line="440" w:lineRule="exact"/>
        <w:jc w:val="center"/>
        <w:rPr>
          <w:rFonts w:ascii="宋体" w:hAnsi="宋体" w:cs="宋体"/>
          <w:color w:val="auto"/>
          <w:sz w:val="44"/>
          <w:szCs w:val="44"/>
        </w:rPr>
      </w:pPr>
      <w:r>
        <w:rPr>
          <w:rFonts w:hint="eastAsia" w:ascii="宋体" w:hAnsi="宋体" w:cs="宋体"/>
          <w:color w:val="auto"/>
          <w:sz w:val="44"/>
          <w:szCs w:val="44"/>
        </w:rPr>
        <w:t>电 子 响 应 文 件</w:t>
      </w:r>
    </w:p>
    <w:p w14:paraId="5A91727C">
      <w:pPr>
        <w:snapToGrid w:val="0"/>
        <w:spacing w:beforeLines="50" w:after="50" w:line="440" w:lineRule="exact"/>
        <w:rPr>
          <w:rFonts w:ascii="宋体" w:hAnsi="宋体" w:cs="宋体"/>
          <w:color w:val="auto"/>
          <w:sz w:val="24"/>
          <w:szCs w:val="20"/>
        </w:rPr>
      </w:pPr>
    </w:p>
    <w:p w14:paraId="56588C0D">
      <w:pPr>
        <w:snapToGrid w:val="0"/>
        <w:spacing w:beforeLines="50" w:after="50" w:line="440" w:lineRule="exact"/>
        <w:jc w:val="center"/>
        <w:rPr>
          <w:rFonts w:ascii="宋体" w:hAnsi="宋体" w:cs="宋体"/>
          <w:bCs/>
          <w:color w:val="auto"/>
          <w:sz w:val="44"/>
          <w:szCs w:val="44"/>
        </w:rPr>
      </w:pPr>
      <w:r>
        <w:rPr>
          <w:rFonts w:hint="eastAsia" w:ascii="宋体" w:hAnsi="宋体" w:cs="宋体"/>
          <w:bCs/>
          <w:color w:val="auto"/>
          <w:sz w:val="44"/>
          <w:szCs w:val="44"/>
        </w:rPr>
        <w:t>资  格  证  明  文  件</w:t>
      </w:r>
    </w:p>
    <w:p w14:paraId="0044C38E">
      <w:pPr>
        <w:snapToGrid w:val="0"/>
        <w:spacing w:beforeLines="50" w:after="50" w:line="440" w:lineRule="exact"/>
        <w:rPr>
          <w:rFonts w:ascii="宋体" w:hAnsi="宋体" w:cs="宋体"/>
          <w:bCs/>
          <w:color w:val="auto"/>
          <w:sz w:val="24"/>
          <w:szCs w:val="20"/>
        </w:rPr>
      </w:pPr>
    </w:p>
    <w:p w14:paraId="61BFB940">
      <w:pPr>
        <w:snapToGrid w:val="0"/>
        <w:spacing w:beforeLines="50" w:after="50" w:line="440" w:lineRule="exact"/>
        <w:rPr>
          <w:rFonts w:ascii="宋体" w:hAnsi="宋体" w:cs="宋体"/>
          <w:bCs/>
          <w:color w:val="auto"/>
          <w:sz w:val="24"/>
          <w:szCs w:val="20"/>
        </w:rPr>
      </w:pPr>
    </w:p>
    <w:p w14:paraId="3BA4A2C2">
      <w:pPr>
        <w:snapToGrid w:val="0"/>
        <w:spacing w:beforeLines="50" w:after="50" w:line="440" w:lineRule="exact"/>
        <w:ind w:firstLine="640" w:firstLineChars="200"/>
        <w:rPr>
          <w:rFonts w:ascii="宋体" w:hAnsi="宋体" w:cs="宋体"/>
          <w:bCs/>
          <w:color w:val="auto"/>
          <w:sz w:val="32"/>
          <w:szCs w:val="32"/>
        </w:rPr>
      </w:pPr>
      <w:r>
        <w:rPr>
          <w:rFonts w:hint="eastAsia" w:ascii="宋体" w:hAnsi="宋体" w:cs="宋体"/>
          <w:bCs/>
          <w:color w:val="auto"/>
          <w:sz w:val="32"/>
          <w:szCs w:val="32"/>
        </w:rPr>
        <w:t>项目名称：</w:t>
      </w:r>
    </w:p>
    <w:p w14:paraId="2554D05C">
      <w:pPr>
        <w:snapToGrid w:val="0"/>
        <w:spacing w:beforeLines="50" w:after="50" w:line="440" w:lineRule="exact"/>
        <w:ind w:firstLine="720" w:firstLineChars="225"/>
        <w:rPr>
          <w:rFonts w:ascii="宋体" w:hAnsi="宋体" w:cs="宋体"/>
          <w:bCs/>
          <w:color w:val="auto"/>
          <w:sz w:val="32"/>
          <w:szCs w:val="32"/>
        </w:rPr>
      </w:pPr>
    </w:p>
    <w:p w14:paraId="509F91FD">
      <w:pPr>
        <w:snapToGrid w:val="0"/>
        <w:spacing w:beforeLines="50" w:after="50" w:line="440" w:lineRule="exact"/>
        <w:ind w:firstLine="720" w:firstLineChars="225"/>
        <w:rPr>
          <w:rFonts w:ascii="宋体" w:hAnsi="宋体" w:cs="宋体"/>
          <w:bCs/>
          <w:color w:val="auto"/>
          <w:sz w:val="32"/>
          <w:szCs w:val="32"/>
        </w:rPr>
      </w:pPr>
      <w:r>
        <w:rPr>
          <w:rFonts w:hint="eastAsia" w:ascii="宋体" w:hAnsi="宋体" w:cs="宋体"/>
          <w:bCs/>
          <w:color w:val="auto"/>
          <w:sz w:val="32"/>
          <w:szCs w:val="32"/>
        </w:rPr>
        <w:t>项目编号：</w:t>
      </w:r>
    </w:p>
    <w:p w14:paraId="51464C87">
      <w:pPr>
        <w:snapToGrid w:val="0"/>
        <w:spacing w:beforeLines="50" w:after="50" w:line="440" w:lineRule="exact"/>
        <w:ind w:firstLine="720" w:firstLineChars="225"/>
        <w:rPr>
          <w:rFonts w:ascii="宋体" w:hAnsi="宋体" w:cs="宋体"/>
          <w:bCs/>
          <w:color w:val="auto"/>
          <w:sz w:val="32"/>
          <w:szCs w:val="32"/>
        </w:rPr>
      </w:pPr>
    </w:p>
    <w:p w14:paraId="4AF0C61D">
      <w:pPr>
        <w:snapToGrid w:val="0"/>
        <w:spacing w:beforeLines="50" w:after="50" w:line="440" w:lineRule="exact"/>
        <w:ind w:firstLine="720" w:firstLineChars="225"/>
        <w:rPr>
          <w:rFonts w:ascii="宋体" w:hAnsi="宋体" w:cs="宋体"/>
          <w:bCs/>
          <w:color w:val="auto"/>
          <w:sz w:val="32"/>
          <w:szCs w:val="32"/>
        </w:rPr>
      </w:pPr>
      <w:r>
        <w:rPr>
          <w:rFonts w:hint="eastAsia" w:ascii="宋体" w:hAnsi="宋体" w:cs="宋体"/>
          <w:bCs/>
          <w:color w:val="auto"/>
          <w:sz w:val="32"/>
          <w:szCs w:val="32"/>
        </w:rPr>
        <w:t>所竞分标（如有则填写，无分标时填写“无”或者留空）：</w:t>
      </w:r>
    </w:p>
    <w:p w14:paraId="70653A2C">
      <w:pPr>
        <w:snapToGrid w:val="0"/>
        <w:spacing w:beforeLines="50" w:after="50" w:line="440" w:lineRule="exact"/>
        <w:ind w:firstLine="720" w:firstLineChars="225"/>
        <w:rPr>
          <w:rFonts w:ascii="宋体" w:hAnsi="宋体" w:cs="宋体"/>
          <w:bCs/>
          <w:color w:val="auto"/>
          <w:sz w:val="32"/>
          <w:szCs w:val="32"/>
        </w:rPr>
      </w:pPr>
    </w:p>
    <w:p w14:paraId="3A143C18">
      <w:pPr>
        <w:pStyle w:val="7"/>
        <w:snapToGrid w:val="0"/>
        <w:spacing w:before="50" w:after="50" w:line="440" w:lineRule="exact"/>
        <w:ind w:firstLine="720" w:firstLineChars="225"/>
        <w:rPr>
          <w:rFonts w:ascii="宋体" w:hAnsi="宋体" w:cs="宋体"/>
          <w:bCs/>
          <w:color w:val="auto"/>
          <w:sz w:val="32"/>
          <w:szCs w:val="32"/>
        </w:rPr>
      </w:pPr>
      <w:r>
        <w:rPr>
          <w:rFonts w:hint="eastAsia" w:ascii="宋体" w:hAnsi="宋体" w:cs="宋体"/>
          <w:bCs/>
          <w:color w:val="auto"/>
          <w:sz w:val="32"/>
          <w:szCs w:val="32"/>
        </w:rPr>
        <w:t>供应商名称：</w:t>
      </w:r>
    </w:p>
    <w:p w14:paraId="67BEA968">
      <w:pPr>
        <w:pStyle w:val="7"/>
        <w:snapToGrid w:val="0"/>
        <w:spacing w:before="50" w:after="50" w:line="440" w:lineRule="exact"/>
        <w:ind w:firstLine="0"/>
        <w:rPr>
          <w:rFonts w:ascii="宋体" w:hAnsi="宋体" w:cs="宋体"/>
          <w:bCs/>
          <w:color w:val="auto"/>
          <w:sz w:val="32"/>
          <w:szCs w:val="32"/>
        </w:rPr>
      </w:pPr>
    </w:p>
    <w:p w14:paraId="34A325F5">
      <w:pPr>
        <w:pStyle w:val="7"/>
        <w:snapToGrid w:val="0"/>
        <w:spacing w:before="50" w:after="50" w:line="440" w:lineRule="exact"/>
        <w:ind w:firstLine="1280" w:firstLineChars="400"/>
        <w:rPr>
          <w:rFonts w:ascii="宋体" w:hAnsi="宋体" w:cs="宋体"/>
          <w:bCs/>
          <w:color w:val="auto"/>
          <w:sz w:val="32"/>
          <w:szCs w:val="32"/>
        </w:rPr>
      </w:pPr>
    </w:p>
    <w:p w14:paraId="734064AC">
      <w:pPr>
        <w:snapToGrid w:val="0"/>
        <w:spacing w:beforeLines="50" w:after="50" w:line="440" w:lineRule="exact"/>
        <w:jc w:val="center"/>
        <w:rPr>
          <w:rFonts w:ascii="宋体" w:hAnsi="宋体" w:cs="宋体"/>
          <w:color w:val="auto"/>
          <w:sz w:val="32"/>
          <w:szCs w:val="32"/>
        </w:rPr>
      </w:pPr>
      <w:r>
        <w:rPr>
          <w:rFonts w:hint="eastAsia" w:ascii="宋体" w:hAnsi="宋体" w:cs="宋体"/>
          <w:color w:val="auto"/>
          <w:sz w:val="32"/>
          <w:szCs w:val="32"/>
        </w:rPr>
        <w:t>年    月    日</w:t>
      </w:r>
    </w:p>
    <w:p w14:paraId="0AD87C4E">
      <w:pPr>
        <w:snapToGrid w:val="0"/>
        <w:spacing w:beforeLines="50" w:after="50" w:line="440" w:lineRule="exact"/>
        <w:ind w:left="142"/>
        <w:jc w:val="left"/>
        <w:rPr>
          <w:rFonts w:ascii="宋体" w:hAnsi="宋体" w:cs="宋体"/>
          <w:b/>
          <w:bCs/>
          <w:color w:val="auto"/>
          <w:sz w:val="32"/>
          <w:szCs w:val="32"/>
        </w:rPr>
      </w:pPr>
      <w:r>
        <w:rPr>
          <w:rFonts w:hint="eastAsia" w:ascii="宋体" w:hAnsi="宋体" w:cs="宋体"/>
          <w:color w:val="auto"/>
          <w:sz w:val="24"/>
        </w:rPr>
        <w:br w:type="page"/>
      </w:r>
      <w:r>
        <w:rPr>
          <w:rFonts w:hint="eastAsia" w:ascii="宋体" w:hAnsi="宋体" w:cs="宋体"/>
          <w:b/>
          <w:bCs/>
          <w:color w:val="auto"/>
          <w:sz w:val="32"/>
          <w:szCs w:val="32"/>
        </w:rPr>
        <w:t>2.资格证明文件目录</w:t>
      </w:r>
    </w:p>
    <w:p w14:paraId="2BB1D35B">
      <w:pPr>
        <w:snapToGrid w:val="0"/>
        <w:spacing w:beforeLines="50" w:after="50" w:line="440" w:lineRule="exact"/>
        <w:rPr>
          <w:rFonts w:ascii="宋体" w:hAnsi="宋体" w:cs="宋体"/>
          <w:color w:val="auto"/>
          <w:sz w:val="32"/>
          <w:szCs w:val="32"/>
        </w:rPr>
      </w:pPr>
      <w:r>
        <w:rPr>
          <w:rFonts w:hint="eastAsia" w:ascii="宋体" w:hAnsi="宋体" w:cs="宋体"/>
          <w:color w:val="auto"/>
          <w:sz w:val="32"/>
          <w:szCs w:val="32"/>
        </w:rPr>
        <w:t>根据磋商文件规定及供应商提供的材料自行编写目录（部分格式后附）。</w:t>
      </w:r>
    </w:p>
    <w:p w14:paraId="6797B17F">
      <w:pPr>
        <w:snapToGrid w:val="0"/>
        <w:spacing w:beforeLines="50" w:after="50" w:line="440" w:lineRule="exact"/>
        <w:rPr>
          <w:rFonts w:ascii="宋体" w:hAnsi="宋体" w:cs="宋体"/>
          <w:color w:val="auto"/>
          <w:sz w:val="24"/>
          <w:szCs w:val="20"/>
        </w:rPr>
      </w:pPr>
    </w:p>
    <w:p w14:paraId="0D8457F2">
      <w:pPr>
        <w:spacing w:line="440" w:lineRule="exact"/>
        <w:rPr>
          <w:rFonts w:ascii="宋体" w:hAnsi="宋体" w:cs="宋体"/>
          <w:color w:val="auto"/>
          <w:szCs w:val="21"/>
        </w:rPr>
      </w:pPr>
    </w:p>
    <w:p w14:paraId="7613DC62">
      <w:pPr>
        <w:spacing w:line="440" w:lineRule="exact"/>
        <w:rPr>
          <w:rFonts w:ascii="宋体" w:hAnsi="宋体" w:cs="宋体"/>
          <w:color w:val="auto"/>
          <w:szCs w:val="21"/>
        </w:rPr>
      </w:pPr>
    </w:p>
    <w:p w14:paraId="77EA75A0">
      <w:pPr>
        <w:spacing w:line="440" w:lineRule="exact"/>
        <w:rPr>
          <w:rFonts w:ascii="宋体" w:hAnsi="宋体" w:cs="宋体"/>
          <w:color w:val="auto"/>
          <w:szCs w:val="21"/>
        </w:rPr>
      </w:pPr>
    </w:p>
    <w:p w14:paraId="13EB7EDE">
      <w:pPr>
        <w:spacing w:line="440" w:lineRule="exact"/>
        <w:rPr>
          <w:rFonts w:ascii="宋体" w:hAnsi="宋体" w:cs="宋体"/>
          <w:color w:val="auto"/>
          <w:szCs w:val="21"/>
        </w:rPr>
      </w:pPr>
    </w:p>
    <w:p w14:paraId="46BADF89">
      <w:pPr>
        <w:spacing w:line="440" w:lineRule="exact"/>
        <w:rPr>
          <w:rFonts w:ascii="宋体" w:hAnsi="宋体" w:cs="宋体"/>
          <w:color w:val="auto"/>
          <w:szCs w:val="21"/>
        </w:rPr>
      </w:pPr>
    </w:p>
    <w:p w14:paraId="2658A874">
      <w:pPr>
        <w:spacing w:line="440" w:lineRule="exact"/>
        <w:rPr>
          <w:rFonts w:ascii="宋体" w:hAnsi="宋体" w:cs="宋体"/>
          <w:color w:val="auto"/>
          <w:szCs w:val="21"/>
        </w:rPr>
      </w:pPr>
    </w:p>
    <w:p w14:paraId="1F479940">
      <w:pPr>
        <w:spacing w:line="440" w:lineRule="exact"/>
        <w:rPr>
          <w:rFonts w:ascii="宋体" w:hAnsi="宋体" w:cs="宋体"/>
          <w:color w:val="auto"/>
          <w:szCs w:val="21"/>
        </w:rPr>
      </w:pPr>
    </w:p>
    <w:p w14:paraId="7F366D10">
      <w:pPr>
        <w:spacing w:line="440" w:lineRule="exact"/>
        <w:rPr>
          <w:rFonts w:ascii="宋体" w:hAnsi="宋体" w:cs="宋体"/>
          <w:color w:val="auto"/>
          <w:szCs w:val="21"/>
        </w:rPr>
      </w:pPr>
    </w:p>
    <w:p w14:paraId="7C7E123B">
      <w:pPr>
        <w:spacing w:line="440" w:lineRule="exact"/>
        <w:rPr>
          <w:rFonts w:ascii="宋体" w:hAnsi="宋体" w:cs="宋体"/>
          <w:color w:val="auto"/>
          <w:szCs w:val="21"/>
        </w:rPr>
      </w:pPr>
    </w:p>
    <w:p w14:paraId="01379675">
      <w:pPr>
        <w:spacing w:line="440" w:lineRule="exact"/>
        <w:rPr>
          <w:rFonts w:ascii="宋体" w:hAnsi="宋体" w:cs="宋体"/>
          <w:color w:val="auto"/>
          <w:szCs w:val="21"/>
        </w:rPr>
      </w:pPr>
    </w:p>
    <w:p w14:paraId="386E5CC4">
      <w:pPr>
        <w:spacing w:line="440" w:lineRule="exact"/>
        <w:rPr>
          <w:rFonts w:ascii="宋体" w:hAnsi="宋体" w:cs="宋体"/>
          <w:color w:val="auto"/>
          <w:szCs w:val="21"/>
        </w:rPr>
      </w:pPr>
    </w:p>
    <w:p w14:paraId="76894905">
      <w:pPr>
        <w:spacing w:line="440" w:lineRule="exact"/>
        <w:rPr>
          <w:rFonts w:ascii="宋体" w:hAnsi="宋体" w:cs="宋体"/>
          <w:color w:val="auto"/>
          <w:szCs w:val="21"/>
        </w:rPr>
      </w:pPr>
    </w:p>
    <w:p w14:paraId="60257606">
      <w:pPr>
        <w:spacing w:line="440" w:lineRule="exact"/>
        <w:rPr>
          <w:rFonts w:ascii="宋体" w:hAnsi="宋体" w:cs="宋体"/>
          <w:color w:val="auto"/>
          <w:szCs w:val="21"/>
        </w:rPr>
      </w:pPr>
    </w:p>
    <w:p w14:paraId="662FB3A8">
      <w:pPr>
        <w:spacing w:line="440" w:lineRule="exact"/>
        <w:rPr>
          <w:rFonts w:ascii="宋体" w:hAnsi="宋体" w:cs="宋体"/>
          <w:color w:val="auto"/>
          <w:szCs w:val="21"/>
        </w:rPr>
      </w:pPr>
    </w:p>
    <w:p w14:paraId="30DA282E">
      <w:pPr>
        <w:spacing w:line="440" w:lineRule="exact"/>
        <w:rPr>
          <w:rFonts w:ascii="宋体" w:hAnsi="宋体" w:cs="宋体"/>
          <w:color w:val="auto"/>
          <w:szCs w:val="21"/>
        </w:rPr>
      </w:pPr>
    </w:p>
    <w:p w14:paraId="0BDCB569">
      <w:pPr>
        <w:spacing w:line="440" w:lineRule="exact"/>
        <w:jc w:val="left"/>
        <w:rPr>
          <w:rFonts w:ascii="宋体" w:hAnsi="宋体" w:cs="宋体"/>
          <w:color w:val="auto"/>
          <w:szCs w:val="21"/>
        </w:rPr>
      </w:pPr>
      <w:r>
        <w:rPr>
          <w:rFonts w:hint="eastAsia" w:ascii="宋体" w:hAnsi="宋体" w:cs="宋体"/>
          <w:color w:val="auto"/>
          <w:szCs w:val="21"/>
        </w:rPr>
        <w:br w:type="page"/>
      </w:r>
    </w:p>
    <w:p w14:paraId="16083D8F">
      <w:pPr>
        <w:wordWrap w:val="0"/>
        <w:spacing w:beforeLines="50" w:after="50" w:line="440" w:lineRule="exact"/>
        <w:ind w:right="482" w:firstLine="210" w:firstLineChars="100"/>
        <w:contextualSpacing/>
        <w:jc w:val="center"/>
        <w:rPr>
          <w:rFonts w:ascii="宋体" w:hAnsi="宋体" w:cs="宋体"/>
          <w:color w:val="auto"/>
          <w:szCs w:val="21"/>
        </w:rPr>
      </w:pPr>
    </w:p>
    <w:p w14:paraId="60185DC6">
      <w:pPr>
        <w:spacing w:line="440" w:lineRule="exact"/>
        <w:contextualSpacing/>
        <w:jc w:val="center"/>
        <w:rPr>
          <w:rFonts w:ascii="宋体" w:hAnsi="宋体" w:cs="宋体"/>
          <w:b/>
          <w:color w:val="auto"/>
          <w:sz w:val="32"/>
          <w:szCs w:val="32"/>
        </w:rPr>
      </w:pPr>
      <w:bookmarkStart w:id="85" w:name="bookmark2308"/>
      <w:bookmarkStart w:id="86" w:name="_Toc18632"/>
      <w:bookmarkStart w:id="87" w:name="_Toc16311"/>
      <w:bookmarkStart w:id="88" w:name="_Toc256000540"/>
      <w:bookmarkStart w:id="89" w:name="bookmark2306"/>
      <w:bookmarkStart w:id="90" w:name="_Toc2367"/>
      <w:bookmarkStart w:id="91" w:name="bookmark2307"/>
      <w:r>
        <w:rPr>
          <w:rFonts w:hint="eastAsia" w:ascii="宋体" w:hAnsi="宋体" w:cs="宋体"/>
          <w:b/>
          <w:color w:val="auto"/>
          <w:sz w:val="32"/>
          <w:szCs w:val="32"/>
        </w:rPr>
        <w:t>供应商基本情况表</w:t>
      </w:r>
      <w:bookmarkEnd w:id="85"/>
      <w:bookmarkEnd w:id="86"/>
      <w:bookmarkEnd w:id="87"/>
      <w:bookmarkEnd w:id="88"/>
      <w:bookmarkEnd w:id="89"/>
      <w:bookmarkEnd w:id="90"/>
      <w:bookmarkEnd w:id="91"/>
    </w:p>
    <w:tbl>
      <w:tblPr>
        <w:tblStyle w:val="47"/>
        <w:tblW w:w="0" w:type="auto"/>
        <w:jc w:val="center"/>
        <w:tblLayout w:type="fixed"/>
        <w:tblCellMar>
          <w:top w:w="0" w:type="dxa"/>
          <w:left w:w="10" w:type="dxa"/>
          <w:bottom w:w="0" w:type="dxa"/>
          <w:right w:w="10" w:type="dxa"/>
        </w:tblCellMar>
      </w:tblPr>
      <w:tblGrid>
        <w:gridCol w:w="2208"/>
        <w:gridCol w:w="748"/>
        <w:gridCol w:w="757"/>
        <w:gridCol w:w="749"/>
        <w:gridCol w:w="345"/>
        <w:gridCol w:w="1223"/>
        <w:gridCol w:w="871"/>
        <w:gridCol w:w="1618"/>
      </w:tblGrid>
      <w:tr w14:paraId="52DFAEAE">
        <w:tblPrEx>
          <w:tblCellMar>
            <w:top w:w="0" w:type="dxa"/>
            <w:left w:w="10" w:type="dxa"/>
            <w:bottom w:w="0" w:type="dxa"/>
            <w:right w:w="10" w:type="dxa"/>
          </w:tblCellMar>
        </w:tblPrEx>
        <w:trPr>
          <w:trHeight w:val="643" w:hRule="exact"/>
          <w:jc w:val="center"/>
        </w:trPr>
        <w:tc>
          <w:tcPr>
            <w:tcW w:w="2208" w:type="dxa"/>
            <w:tcBorders>
              <w:top w:val="single" w:color="auto" w:sz="4" w:space="0"/>
              <w:left w:val="single" w:color="auto" w:sz="4" w:space="0"/>
            </w:tcBorders>
            <w:shd w:val="clear" w:color="auto" w:fill="auto"/>
            <w:noWrap/>
            <w:vAlign w:val="center"/>
          </w:tcPr>
          <w:p w14:paraId="78F6F293">
            <w:pPr>
              <w:pStyle w:val="260"/>
              <w:spacing w:line="440" w:lineRule="exact"/>
              <w:ind w:firstLine="0"/>
              <w:jc w:val="center"/>
              <w:rPr>
                <w:color w:val="auto"/>
                <w:sz w:val="24"/>
                <w:szCs w:val="24"/>
              </w:rPr>
            </w:pPr>
            <w:r>
              <w:rPr>
                <w:rFonts w:hint="eastAsia"/>
                <w:color w:val="auto"/>
                <w:sz w:val="24"/>
                <w:szCs w:val="24"/>
                <w:lang w:val="en-US"/>
              </w:rPr>
              <w:t>供应商</w:t>
            </w:r>
            <w:r>
              <w:rPr>
                <w:rFonts w:hint="eastAsia"/>
                <w:color w:val="auto"/>
                <w:sz w:val="24"/>
                <w:szCs w:val="24"/>
              </w:rPr>
              <w:t>名称</w:t>
            </w:r>
          </w:p>
        </w:tc>
        <w:tc>
          <w:tcPr>
            <w:tcW w:w="6311" w:type="dxa"/>
            <w:gridSpan w:val="7"/>
            <w:tcBorders>
              <w:top w:val="single" w:color="auto" w:sz="4" w:space="0"/>
              <w:left w:val="single" w:color="auto" w:sz="4" w:space="0"/>
              <w:right w:val="single" w:color="auto" w:sz="4" w:space="0"/>
            </w:tcBorders>
            <w:shd w:val="clear" w:color="auto" w:fill="auto"/>
            <w:noWrap/>
          </w:tcPr>
          <w:p w14:paraId="59D364D1">
            <w:pPr>
              <w:pStyle w:val="259"/>
              <w:spacing w:line="440" w:lineRule="exact"/>
              <w:rPr>
                <w:rFonts w:ascii="宋体" w:hAnsi="宋体" w:eastAsia="宋体" w:cs="宋体"/>
                <w:color w:val="auto"/>
              </w:rPr>
            </w:pPr>
          </w:p>
        </w:tc>
      </w:tr>
      <w:tr w14:paraId="3835DA2A">
        <w:tblPrEx>
          <w:tblCellMar>
            <w:top w:w="0" w:type="dxa"/>
            <w:left w:w="10" w:type="dxa"/>
            <w:bottom w:w="0" w:type="dxa"/>
            <w:right w:w="10" w:type="dxa"/>
          </w:tblCellMar>
        </w:tblPrEx>
        <w:trPr>
          <w:trHeight w:val="637" w:hRule="exact"/>
          <w:jc w:val="center"/>
        </w:trPr>
        <w:tc>
          <w:tcPr>
            <w:tcW w:w="2208" w:type="dxa"/>
            <w:tcBorders>
              <w:top w:val="single" w:color="auto" w:sz="4" w:space="0"/>
              <w:left w:val="single" w:color="auto" w:sz="4" w:space="0"/>
            </w:tcBorders>
            <w:shd w:val="clear" w:color="auto" w:fill="auto"/>
            <w:noWrap/>
            <w:vAlign w:val="center"/>
          </w:tcPr>
          <w:p w14:paraId="6CC1D0B0">
            <w:pPr>
              <w:pStyle w:val="260"/>
              <w:spacing w:line="440" w:lineRule="exact"/>
              <w:ind w:firstLine="0"/>
              <w:jc w:val="center"/>
              <w:rPr>
                <w:color w:val="auto"/>
                <w:sz w:val="24"/>
                <w:szCs w:val="24"/>
              </w:rPr>
            </w:pPr>
            <w:r>
              <w:rPr>
                <w:rFonts w:hint="eastAsia"/>
                <w:color w:val="auto"/>
                <w:sz w:val="24"/>
                <w:szCs w:val="24"/>
              </w:rPr>
              <w:t>注册地址</w:t>
            </w:r>
          </w:p>
        </w:tc>
        <w:tc>
          <w:tcPr>
            <w:tcW w:w="2599" w:type="dxa"/>
            <w:gridSpan w:val="4"/>
            <w:tcBorders>
              <w:top w:val="single" w:color="auto" w:sz="4" w:space="0"/>
              <w:left w:val="single" w:color="auto" w:sz="4" w:space="0"/>
            </w:tcBorders>
            <w:shd w:val="clear" w:color="auto" w:fill="auto"/>
            <w:noWrap/>
          </w:tcPr>
          <w:p w14:paraId="02DF6722">
            <w:pPr>
              <w:pStyle w:val="259"/>
              <w:spacing w:line="440" w:lineRule="exact"/>
              <w:rPr>
                <w:rFonts w:ascii="宋体" w:hAnsi="宋体" w:eastAsia="宋体" w:cs="宋体"/>
                <w:color w:val="auto"/>
              </w:rPr>
            </w:pPr>
          </w:p>
        </w:tc>
        <w:tc>
          <w:tcPr>
            <w:tcW w:w="1223" w:type="dxa"/>
            <w:tcBorders>
              <w:top w:val="single" w:color="auto" w:sz="4" w:space="0"/>
              <w:left w:val="single" w:color="auto" w:sz="4" w:space="0"/>
            </w:tcBorders>
            <w:shd w:val="clear" w:color="auto" w:fill="auto"/>
            <w:noWrap/>
            <w:vAlign w:val="center"/>
          </w:tcPr>
          <w:p w14:paraId="03FD7A1B">
            <w:pPr>
              <w:pStyle w:val="260"/>
              <w:spacing w:line="440" w:lineRule="exact"/>
              <w:ind w:firstLine="0"/>
              <w:jc w:val="center"/>
              <w:rPr>
                <w:color w:val="auto"/>
                <w:sz w:val="24"/>
                <w:szCs w:val="24"/>
              </w:rPr>
            </w:pPr>
            <w:r>
              <w:rPr>
                <w:rFonts w:hint="eastAsia"/>
                <w:color w:val="auto"/>
                <w:sz w:val="24"/>
                <w:szCs w:val="24"/>
              </w:rPr>
              <w:t>邮政编码</w:t>
            </w:r>
          </w:p>
        </w:tc>
        <w:tc>
          <w:tcPr>
            <w:tcW w:w="2489" w:type="dxa"/>
            <w:gridSpan w:val="2"/>
            <w:tcBorders>
              <w:top w:val="single" w:color="auto" w:sz="4" w:space="0"/>
              <w:left w:val="single" w:color="auto" w:sz="4" w:space="0"/>
              <w:right w:val="single" w:color="auto" w:sz="4" w:space="0"/>
            </w:tcBorders>
            <w:shd w:val="clear" w:color="auto" w:fill="auto"/>
            <w:noWrap/>
          </w:tcPr>
          <w:p w14:paraId="0DA8617A">
            <w:pPr>
              <w:pStyle w:val="259"/>
              <w:spacing w:line="440" w:lineRule="exact"/>
              <w:rPr>
                <w:rFonts w:ascii="宋体" w:hAnsi="宋体" w:eastAsia="宋体" w:cs="宋体"/>
                <w:color w:val="auto"/>
              </w:rPr>
            </w:pPr>
          </w:p>
        </w:tc>
      </w:tr>
      <w:tr w14:paraId="24BC621E">
        <w:tblPrEx>
          <w:tblCellMar>
            <w:top w:w="0" w:type="dxa"/>
            <w:left w:w="10" w:type="dxa"/>
            <w:bottom w:w="0" w:type="dxa"/>
            <w:right w:w="10" w:type="dxa"/>
          </w:tblCellMar>
        </w:tblPrEx>
        <w:trPr>
          <w:trHeight w:val="630" w:hRule="exact"/>
          <w:jc w:val="center"/>
        </w:trPr>
        <w:tc>
          <w:tcPr>
            <w:tcW w:w="2208" w:type="dxa"/>
            <w:vMerge w:val="restart"/>
            <w:tcBorders>
              <w:top w:val="single" w:color="auto" w:sz="4" w:space="0"/>
              <w:left w:val="single" w:color="auto" w:sz="4" w:space="0"/>
            </w:tcBorders>
            <w:shd w:val="clear" w:color="auto" w:fill="auto"/>
            <w:noWrap/>
            <w:vAlign w:val="center"/>
          </w:tcPr>
          <w:p w14:paraId="2205CEDA">
            <w:pPr>
              <w:pStyle w:val="260"/>
              <w:spacing w:line="440" w:lineRule="exact"/>
              <w:ind w:firstLine="0"/>
              <w:jc w:val="center"/>
              <w:rPr>
                <w:color w:val="auto"/>
                <w:sz w:val="24"/>
                <w:szCs w:val="24"/>
              </w:rPr>
            </w:pPr>
            <w:r>
              <w:rPr>
                <w:rFonts w:hint="eastAsia"/>
                <w:color w:val="auto"/>
                <w:sz w:val="24"/>
                <w:szCs w:val="24"/>
              </w:rPr>
              <w:t>联系方式</w:t>
            </w:r>
          </w:p>
        </w:tc>
        <w:tc>
          <w:tcPr>
            <w:tcW w:w="748" w:type="dxa"/>
            <w:tcBorders>
              <w:top w:val="single" w:color="auto" w:sz="4" w:space="0"/>
              <w:left w:val="single" w:color="auto" w:sz="4" w:space="0"/>
            </w:tcBorders>
            <w:shd w:val="clear" w:color="auto" w:fill="auto"/>
            <w:noWrap/>
            <w:vAlign w:val="center"/>
          </w:tcPr>
          <w:p w14:paraId="13E5A79E">
            <w:pPr>
              <w:pStyle w:val="260"/>
              <w:spacing w:line="440" w:lineRule="exact"/>
              <w:ind w:firstLine="0"/>
              <w:jc w:val="center"/>
              <w:rPr>
                <w:color w:val="auto"/>
                <w:sz w:val="24"/>
                <w:szCs w:val="24"/>
              </w:rPr>
            </w:pPr>
            <w:r>
              <w:rPr>
                <w:rFonts w:hint="eastAsia"/>
                <w:color w:val="auto"/>
                <w:sz w:val="24"/>
                <w:szCs w:val="24"/>
              </w:rPr>
              <w:t>联系人</w:t>
            </w:r>
          </w:p>
        </w:tc>
        <w:tc>
          <w:tcPr>
            <w:tcW w:w="1851" w:type="dxa"/>
            <w:gridSpan w:val="3"/>
            <w:tcBorders>
              <w:top w:val="single" w:color="auto" w:sz="4" w:space="0"/>
              <w:left w:val="single" w:color="auto" w:sz="4" w:space="0"/>
            </w:tcBorders>
            <w:shd w:val="clear" w:color="auto" w:fill="auto"/>
            <w:noWrap/>
          </w:tcPr>
          <w:p w14:paraId="34B2C6D0">
            <w:pPr>
              <w:pStyle w:val="259"/>
              <w:spacing w:line="440" w:lineRule="exact"/>
              <w:rPr>
                <w:rFonts w:ascii="宋体" w:hAnsi="宋体" w:eastAsia="宋体" w:cs="宋体"/>
                <w:color w:val="auto"/>
              </w:rPr>
            </w:pPr>
          </w:p>
        </w:tc>
        <w:tc>
          <w:tcPr>
            <w:tcW w:w="1223" w:type="dxa"/>
            <w:tcBorders>
              <w:top w:val="single" w:color="auto" w:sz="4" w:space="0"/>
              <w:left w:val="single" w:color="auto" w:sz="4" w:space="0"/>
            </w:tcBorders>
            <w:shd w:val="clear" w:color="auto" w:fill="auto"/>
            <w:noWrap/>
            <w:vAlign w:val="center"/>
          </w:tcPr>
          <w:p w14:paraId="52D5D017">
            <w:pPr>
              <w:pStyle w:val="260"/>
              <w:spacing w:line="440" w:lineRule="exact"/>
              <w:ind w:firstLine="0"/>
              <w:jc w:val="center"/>
              <w:rPr>
                <w:color w:val="auto"/>
                <w:sz w:val="24"/>
                <w:szCs w:val="24"/>
              </w:rPr>
            </w:pPr>
            <w:r>
              <w:rPr>
                <w:rFonts w:hint="eastAsia"/>
                <w:color w:val="auto"/>
                <w:sz w:val="24"/>
                <w:szCs w:val="24"/>
              </w:rPr>
              <w:t>电话</w:t>
            </w:r>
          </w:p>
        </w:tc>
        <w:tc>
          <w:tcPr>
            <w:tcW w:w="2489" w:type="dxa"/>
            <w:gridSpan w:val="2"/>
            <w:tcBorders>
              <w:top w:val="single" w:color="auto" w:sz="4" w:space="0"/>
              <w:left w:val="single" w:color="auto" w:sz="4" w:space="0"/>
              <w:right w:val="single" w:color="auto" w:sz="4" w:space="0"/>
            </w:tcBorders>
            <w:shd w:val="clear" w:color="auto" w:fill="auto"/>
            <w:noWrap/>
          </w:tcPr>
          <w:p w14:paraId="2710702E">
            <w:pPr>
              <w:pStyle w:val="259"/>
              <w:spacing w:line="440" w:lineRule="exact"/>
              <w:rPr>
                <w:rFonts w:ascii="宋体" w:hAnsi="宋体" w:eastAsia="宋体" w:cs="宋体"/>
                <w:color w:val="auto"/>
              </w:rPr>
            </w:pPr>
          </w:p>
        </w:tc>
      </w:tr>
      <w:tr w14:paraId="1241C71B">
        <w:tblPrEx>
          <w:tblCellMar>
            <w:top w:w="0" w:type="dxa"/>
            <w:left w:w="10" w:type="dxa"/>
            <w:bottom w:w="0" w:type="dxa"/>
            <w:right w:w="10" w:type="dxa"/>
          </w:tblCellMar>
        </w:tblPrEx>
        <w:trPr>
          <w:trHeight w:val="630" w:hRule="exact"/>
          <w:jc w:val="center"/>
        </w:trPr>
        <w:tc>
          <w:tcPr>
            <w:tcW w:w="2208" w:type="dxa"/>
            <w:vMerge w:val="continue"/>
            <w:tcBorders>
              <w:left w:val="single" w:color="auto" w:sz="4" w:space="0"/>
            </w:tcBorders>
            <w:shd w:val="clear" w:color="auto" w:fill="auto"/>
            <w:noWrap/>
            <w:vAlign w:val="center"/>
          </w:tcPr>
          <w:p w14:paraId="59DF7C80">
            <w:pPr>
              <w:pStyle w:val="259"/>
              <w:spacing w:line="440" w:lineRule="exact"/>
              <w:rPr>
                <w:rFonts w:ascii="宋体" w:hAnsi="宋体" w:eastAsia="宋体" w:cs="宋体"/>
                <w:color w:val="auto"/>
              </w:rPr>
            </w:pPr>
          </w:p>
        </w:tc>
        <w:tc>
          <w:tcPr>
            <w:tcW w:w="748" w:type="dxa"/>
            <w:tcBorders>
              <w:top w:val="single" w:color="auto" w:sz="4" w:space="0"/>
              <w:left w:val="single" w:color="auto" w:sz="4" w:space="0"/>
            </w:tcBorders>
            <w:shd w:val="clear" w:color="auto" w:fill="auto"/>
            <w:noWrap/>
            <w:vAlign w:val="center"/>
          </w:tcPr>
          <w:p w14:paraId="689399A1">
            <w:pPr>
              <w:pStyle w:val="260"/>
              <w:spacing w:line="440" w:lineRule="exact"/>
              <w:ind w:firstLine="0"/>
              <w:jc w:val="center"/>
              <w:rPr>
                <w:color w:val="auto"/>
                <w:sz w:val="24"/>
                <w:szCs w:val="24"/>
              </w:rPr>
            </w:pPr>
            <w:r>
              <w:rPr>
                <w:rFonts w:hint="eastAsia"/>
                <w:color w:val="auto"/>
                <w:sz w:val="24"/>
                <w:szCs w:val="24"/>
              </w:rPr>
              <w:t>传真</w:t>
            </w:r>
          </w:p>
        </w:tc>
        <w:tc>
          <w:tcPr>
            <w:tcW w:w="1851" w:type="dxa"/>
            <w:gridSpan w:val="3"/>
            <w:tcBorders>
              <w:top w:val="single" w:color="auto" w:sz="4" w:space="0"/>
              <w:left w:val="single" w:color="auto" w:sz="4" w:space="0"/>
            </w:tcBorders>
            <w:shd w:val="clear" w:color="auto" w:fill="auto"/>
            <w:noWrap/>
          </w:tcPr>
          <w:p w14:paraId="35773889">
            <w:pPr>
              <w:pStyle w:val="259"/>
              <w:spacing w:line="440" w:lineRule="exact"/>
              <w:rPr>
                <w:rFonts w:ascii="宋体" w:hAnsi="宋体" w:eastAsia="宋体" w:cs="宋体"/>
                <w:color w:val="auto"/>
              </w:rPr>
            </w:pPr>
          </w:p>
        </w:tc>
        <w:tc>
          <w:tcPr>
            <w:tcW w:w="1223" w:type="dxa"/>
            <w:tcBorders>
              <w:top w:val="single" w:color="auto" w:sz="4" w:space="0"/>
              <w:left w:val="single" w:color="auto" w:sz="4" w:space="0"/>
            </w:tcBorders>
            <w:shd w:val="clear" w:color="auto" w:fill="auto"/>
            <w:noWrap/>
            <w:vAlign w:val="center"/>
          </w:tcPr>
          <w:p w14:paraId="38C1C83B">
            <w:pPr>
              <w:pStyle w:val="260"/>
              <w:spacing w:line="440" w:lineRule="exact"/>
              <w:ind w:firstLine="0"/>
              <w:jc w:val="center"/>
              <w:rPr>
                <w:color w:val="auto"/>
                <w:sz w:val="24"/>
                <w:szCs w:val="24"/>
              </w:rPr>
            </w:pPr>
            <w:r>
              <w:rPr>
                <w:rFonts w:hint="eastAsia"/>
                <w:color w:val="auto"/>
                <w:sz w:val="24"/>
                <w:szCs w:val="24"/>
              </w:rPr>
              <w:t>网址</w:t>
            </w:r>
          </w:p>
        </w:tc>
        <w:tc>
          <w:tcPr>
            <w:tcW w:w="2489" w:type="dxa"/>
            <w:gridSpan w:val="2"/>
            <w:tcBorders>
              <w:top w:val="single" w:color="auto" w:sz="4" w:space="0"/>
              <w:left w:val="single" w:color="auto" w:sz="4" w:space="0"/>
              <w:right w:val="single" w:color="auto" w:sz="4" w:space="0"/>
            </w:tcBorders>
            <w:shd w:val="clear" w:color="auto" w:fill="auto"/>
            <w:noWrap/>
          </w:tcPr>
          <w:p w14:paraId="54D4093B">
            <w:pPr>
              <w:pStyle w:val="259"/>
              <w:spacing w:line="440" w:lineRule="exact"/>
              <w:rPr>
                <w:rFonts w:ascii="宋体" w:hAnsi="宋体" w:eastAsia="宋体" w:cs="宋体"/>
                <w:color w:val="auto"/>
              </w:rPr>
            </w:pPr>
          </w:p>
        </w:tc>
      </w:tr>
      <w:tr w14:paraId="6DA6528D">
        <w:tblPrEx>
          <w:tblCellMar>
            <w:top w:w="0" w:type="dxa"/>
            <w:left w:w="10" w:type="dxa"/>
            <w:bottom w:w="0" w:type="dxa"/>
            <w:right w:w="10" w:type="dxa"/>
          </w:tblCellMar>
        </w:tblPrEx>
        <w:trPr>
          <w:trHeight w:val="637" w:hRule="exact"/>
          <w:jc w:val="center"/>
        </w:trPr>
        <w:tc>
          <w:tcPr>
            <w:tcW w:w="2208" w:type="dxa"/>
            <w:tcBorders>
              <w:top w:val="single" w:color="auto" w:sz="4" w:space="0"/>
              <w:left w:val="single" w:color="auto" w:sz="4" w:space="0"/>
            </w:tcBorders>
            <w:shd w:val="clear" w:color="auto" w:fill="auto"/>
            <w:noWrap/>
            <w:vAlign w:val="center"/>
          </w:tcPr>
          <w:p w14:paraId="4E44CBF2">
            <w:pPr>
              <w:pStyle w:val="260"/>
              <w:spacing w:line="440" w:lineRule="exact"/>
              <w:ind w:firstLine="0"/>
              <w:jc w:val="center"/>
              <w:rPr>
                <w:color w:val="auto"/>
                <w:sz w:val="24"/>
                <w:szCs w:val="24"/>
              </w:rPr>
            </w:pPr>
            <w:r>
              <w:rPr>
                <w:rFonts w:hint="eastAsia"/>
                <w:color w:val="auto"/>
                <w:sz w:val="24"/>
                <w:szCs w:val="24"/>
              </w:rPr>
              <w:t>法定代表人</w:t>
            </w:r>
          </w:p>
        </w:tc>
        <w:tc>
          <w:tcPr>
            <w:tcW w:w="748" w:type="dxa"/>
            <w:tcBorders>
              <w:top w:val="single" w:color="auto" w:sz="4" w:space="0"/>
              <w:left w:val="single" w:color="auto" w:sz="4" w:space="0"/>
            </w:tcBorders>
            <w:shd w:val="clear" w:color="auto" w:fill="auto"/>
            <w:noWrap/>
            <w:vAlign w:val="center"/>
          </w:tcPr>
          <w:p w14:paraId="0AABAEC7">
            <w:pPr>
              <w:pStyle w:val="260"/>
              <w:spacing w:line="440" w:lineRule="exact"/>
              <w:ind w:firstLine="0"/>
              <w:jc w:val="center"/>
              <w:rPr>
                <w:color w:val="auto"/>
                <w:sz w:val="24"/>
                <w:szCs w:val="24"/>
              </w:rPr>
            </w:pPr>
            <w:r>
              <w:rPr>
                <w:rFonts w:hint="eastAsia"/>
                <w:color w:val="auto"/>
                <w:sz w:val="24"/>
                <w:szCs w:val="24"/>
              </w:rPr>
              <w:t>姓名</w:t>
            </w:r>
          </w:p>
        </w:tc>
        <w:tc>
          <w:tcPr>
            <w:tcW w:w="757" w:type="dxa"/>
            <w:tcBorders>
              <w:top w:val="single" w:color="auto" w:sz="4" w:space="0"/>
              <w:left w:val="single" w:color="auto" w:sz="4" w:space="0"/>
            </w:tcBorders>
            <w:shd w:val="clear" w:color="auto" w:fill="auto"/>
            <w:noWrap/>
          </w:tcPr>
          <w:p w14:paraId="29C8E8CA">
            <w:pPr>
              <w:pStyle w:val="259"/>
              <w:spacing w:line="440" w:lineRule="exact"/>
              <w:rPr>
                <w:rFonts w:ascii="宋体" w:hAnsi="宋体" w:eastAsia="宋体" w:cs="宋体"/>
                <w:color w:val="auto"/>
              </w:rPr>
            </w:pPr>
          </w:p>
        </w:tc>
        <w:tc>
          <w:tcPr>
            <w:tcW w:w="1094" w:type="dxa"/>
            <w:gridSpan w:val="2"/>
            <w:tcBorders>
              <w:top w:val="single" w:color="auto" w:sz="4" w:space="0"/>
              <w:left w:val="single" w:color="auto" w:sz="4" w:space="0"/>
            </w:tcBorders>
            <w:shd w:val="clear" w:color="auto" w:fill="auto"/>
            <w:noWrap/>
            <w:vAlign w:val="center"/>
          </w:tcPr>
          <w:p w14:paraId="75EB35C1">
            <w:pPr>
              <w:pStyle w:val="260"/>
              <w:spacing w:line="440" w:lineRule="exact"/>
              <w:ind w:firstLine="0"/>
              <w:jc w:val="center"/>
              <w:rPr>
                <w:color w:val="auto"/>
                <w:sz w:val="24"/>
                <w:szCs w:val="24"/>
              </w:rPr>
            </w:pPr>
            <w:r>
              <w:rPr>
                <w:rFonts w:hint="eastAsia"/>
                <w:color w:val="auto"/>
                <w:sz w:val="24"/>
                <w:szCs w:val="24"/>
              </w:rPr>
              <w:t>技术职称</w:t>
            </w:r>
          </w:p>
        </w:tc>
        <w:tc>
          <w:tcPr>
            <w:tcW w:w="1223" w:type="dxa"/>
            <w:tcBorders>
              <w:top w:val="single" w:color="auto" w:sz="4" w:space="0"/>
              <w:left w:val="single" w:color="auto" w:sz="4" w:space="0"/>
            </w:tcBorders>
            <w:shd w:val="clear" w:color="auto" w:fill="auto"/>
            <w:noWrap/>
          </w:tcPr>
          <w:p w14:paraId="7D702E4B">
            <w:pPr>
              <w:pStyle w:val="259"/>
              <w:spacing w:line="440" w:lineRule="exact"/>
              <w:rPr>
                <w:rFonts w:ascii="宋体" w:hAnsi="宋体" w:eastAsia="宋体" w:cs="宋体"/>
                <w:color w:val="auto"/>
              </w:rPr>
            </w:pPr>
          </w:p>
        </w:tc>
        <w:tc>
          <w:tcPr>
            <w:tcW w:w="871" w:type="dxa"/>
            <w:tcBorders>
              <w:top w:val="single" w:color="auto" w:sz="4" w:space="0"/>
              <w:left w:val="single" w:color="auto" w:sz="4" w:space="0"/>
            </w:tcBorders>
            <w:shd w:val="clear" w:color="auto" w:fill="auto"/>
            <w:noWrap/>
            <w:vAlign w:val="center"/>
          </w:tcPr>
          <w:p w14:paraId="351D7255">
            <w:pPr>
              <w:pStyle w:val="260"/>
              <w:spacing w:line="440" w:lineRule="exact"/>
              <w:ind w:firstLine="0"/>
              <w:jc w:val="center"/>
              <w:rPr>
                <w:color w:val="auto"/>
                <w:sz w:val="24"/>
                <w:szCs w:val="24"/>
              </w:rPr>
            </w:pPr>
            <w:r>
              <w:rPr>
                <w:rFonts w:hint="eastAsia"/>
                <w:color w:val="auto"/>
                <w:sz w:val="24"/>
                <w:szCs w:val="24"/>
              </w:rPr>
              <w:t>电话</w:t>
            </w:r>
          </w:p>
        </w:tc>
        <w:tc>
          <w:tcPr>
            <w:tcW w:w="1618" w:type="dxa"/>
            <w:tcBorders>
              <w:top w:val="single" w:color="auto" w:sz="4" w:space="0"/>
              <w:left w:val="single" w:color="auto" w:sz="4" w:space="0"/>
              <w:right w:val="single" w:color="auto" w:sz="4" w:space="0"/>
            </w:tcBorders>
            <w:shd w:val="clear" w:color="auto" w:fill="auto"/>
            <w:noWrap/>
          </w:tcPr>
          <w:p w14:paraId="6DDF0289">
            <w:pPr>
              <w:pStyle w:val="259"/>
              <w:spacing w:line="440" w:lineRule="exact"/>
              <w:rPr>
                <w:rFonts w:ascii="宋体" w:hAnsi="宋体" w:eastAsia="宋体" w:cs="宋体"/>
                <w:color w:val="auto"/>
              </w:rPr>
            </w:pPr>
          </w:p>
        </w:tc>
      </w:tr>
      <w:tr w14:paraId="30E7E8C7">
        <w:tblPrEx>
          <w:tblCellMar>
            <w:top w:w="0" w:type="dxa"/>
            <w:left w:w="10" w:type="dxa"/>
            <w:bottom w:w="0" w:type="dxa"/>
            <w:right w:w="10" w:type="dxa"/>
          </w:tblCellMar>
        </w:tblPrEx>
        <w:trPr>
          <w:trHeight w:val="637" w:hRule="exact"/>
          <w:jc w:val="center"/>
        </w:trPr>
        <w:tc>
          <w:tcPr>
            <w:tcW w:w="2208" w:type="dxa"/>
            <w:tcBorders>
              <w:top w:val="single" w:color="auto" w:sz="4" w:space="0"/>
              <w:left w:val="single" w:color="auto" w:sz="4" w:space="0"/>
            </w:tcBorders>
            <w:shd w:val="clear" w:color="auto" w:fill="auto"/>
            <w:noWrap/>
            <w:vAlign w:val="center"/>
          </w:tcPr>
          <w:p w14:paraId="22FEBD0B">
            <w:pPr>
              <w:pStyle w:val="260"/>
              <w:spacing w:line="440" w:lineRule="exact"/>
              <w:ind w:firstLine="0"/>
              <w:jc w:val="center"/>
              <w:rPr>
                <w:color w:val="auto"/>
                <w:sz w:val="24"/>
                <w:szCs w:val="24"/>
              </w:rPr>
            </w:pPr>
            <w:r>
              <w:rPr>
                <w:rFonts w:hint="eastAsia"/>
                <w:color w:val="auto"/>
                <w:sz w:val="24"/>
                <w:szCs w:val="24"/>
              </w:rPr>
              <w:t>技术负责人</w:t>
            </w:r>
          </w:p>
        </w:tc>
        <w:tc>
          <w:tcPr>
            <w:tcW w:w="748" w:type="dxa"/>
            <w:tcBorders>
              <w:top w:val="single" w:color="auto" w:sz="4" w:space="0"/>
              <w:left w:val="single" w:color="auto" w:sz="4" w:space="0"/>
            </w:tcBorders>
            <w:shd w:val="clear" w:color="auto" w:fill="auto"/>
            <w:noWrap/>
            <w:vAlign w:val="center"/>
          </w:tcPr>
          <w:p w14:paraId="2A4950D4">
            <w:pPr>
              <w:pStyle w:val="260"/>
              <w:spacing w:line="440" w:lineRule="exact"/>
              <w:ind w:firstLine="0"/>
              <w:jc w:val="center"/>
              <w:rPr>
                <w:color w:val="auto"/>
                <w:sz w:val="24"/>
                <w:szCs w:val="24"/>
              </w:rPr>
            </w:pPr>
            <w:r>
              <w:rPr>
                <w:rFonts w:hint="eastAsia"/>
                <w:color w:val="auto"/>
                <w:sz w:val="24"/>
                <w:szCs w:val="24"/>
              </w:rPr>
              <w:t>姓名</w:t>
            </w:r>
          </w:p>
        </w:tc>
        <w:tc>
          <w:tcPr>
            <w:tcW w:w="757" w:type="dxa"/>
            <w:tcBorders>
              <w:top w:val="single" w:color="auto" w:sz="4" w:space="0"/>
              <w:left w:val="single" w:color="auto" w:sz="4" w:space="0"/>
            </w:tcBorders>
            <w:shd w:val="clear" w:color="auto" w:fill="auto"/>
            <w:noWrap/>
          </w:tcPr>
          <w:p w14:paraId="2B60E5DE">
            <w:pPr>
              <w:pStyle w:val="259"/>
              <w:spacing w:line="440" w:lineRule="exact"/>
              <w:rPr>
                <w:rFonts w:ascii="宋体" w:hAnsi="宋体" w:eastAsia="宋体" w:cs="宋体"/>
                <w:color w:val="auto"/>
              </w:rPr>
            </w:pPr>
          </w:p>
        </w:tc>
        <w:tc>
          <w:tcPr>
            <w:tcW w:w="1094" w:type="dxa"/>
            <w:gridSpan w:val="2"/>
            <w:tcBorders>
              <w:top w:val="single" w:color="auto" w:sz="4" w:space="0"/>
              <w:left w:val="single" w:color="auto" w:sz="4" w:space="0"/>
            </w:tcBorders>
            <w:shd w:val="clear" w:color="auto" w:fill="auto"/>
            <w:noWrap/>
            <w:vAlign w:val="center"/>
          </w:tcPr>
          <w:p w14:paraId="4A235171">
            <w:pPr>
              <w:pStyle w:val="260"/>
              <w:spacing w:line="440" w:lineRule="exact"/>
              <w:ind w:firstLine="0"/>
              <w:jc w:val="center"/>
              <w:rPr>
                <w:color w:val="auto"/>
                <w:sz w:val="24"/>
                <w:szCs w:val="24"/>
              </w:rPr>
            </w:pPr>
            <w:r>
              <w:rPr>
                <w:rFonts w:hint="eastAsia"/>
                <w:color w:val="auto"/>
                <w:sz w:val="24"/>
                <w:szCs w:val="24"/>
              </w:rPr>
              <w:t>技术职称</w:t>
            </w:r>
          </w:p>
        </w:tc>
        <w:tc>
          <w:tcPr>
            <w:tcW w:w="1223" w:type="dxa"/>
            <w:tcBorders>
              <w:top w:val="single" w:color="auto" w:sz="4" w:space="0"/>
              <w:left w:val="single" w:color="auto" w:sz="4" w:space="0"/>
            </w:tcBorders>
            <w:shd w:val="clear" w:color="auto" w:fill="auto"/>
            <w:noWrap/>
          </w:tcPr>
          <w:p w14:paraId="370D3780">
            <w:pPr>
              <w:pStyle w:val="259"/>
              <w:spacing w:line="440" w:lineRule="exact"/>
              <w:rPr>
                <w:rFonts w:ascii="宋体" w:hAnsi="宋体" w:eastAsia="宋体" w:cs="宋体"/>
                <w:color w:val="auto"/>
              </w:rPr>
            </w:pPr>
          </w:p>
        </w:tc>
        <w:tc>
          <w:tcPr>
            <w:tcW w:w="871" w:type="dxa"/>
            <w:tcBorders>
              <w:top w:val="single" w:color="auto" w:sz="4" w:space="0"/>
              <w:left w:val="single" w:color="auto" w:sz="4" w:space="0"/>
            </w:tcBorders>
            <w:shd w:val="clear" w:color="auto" w:fill="auto"/>
            <w:noWrap/>
            <w:vAlign w:val="center"/>
          </w:tcPr>
          <w:p w14:paraId="1F0F42DE">
            <w:pPr>
              <w:pStyle w:val="260"/>
              <w:spacing w:line="440" w:lineRule="exact"/>
              <w:ind w:firstLine="0"/>
              <w:jc w:val="center"/>
              <w:rPr>
                <w:color w:val="auto"/>
                <w:sz w:val="24"/>
                <w:szCs w:val="24"/>
              </w:rPr>
            </w:pPr>
            <w:r>
              <w:rPr>
                <w:rFonts w:hint="eastAsia"/>
                <w:color w:val="auto"/>
                <w:sz w:val="24"/>
                <w:szCs w:val="24"/>
              </w:rPr>
              <w:t>电话</w:t>
            </w:r>
          </w:p>
        </w:tc>
        <w:tc>
          <w:tcPr>
            <w:tcW w:w="1618" w:type="dxa"/>
            <w:tcBorders>
              <w:top w:val="single" w:color="auto" w:sz="4" w:space="0"/>
              <w:left w:val="single" w:color="auto" w:sz="4" w:space="0"/>
              <w:right w:val="single" w:color="auto" w:sz="4" w:space="0"/>
            </w:tcBorders>
            <w:shd w:val="clear" w:color="auto" w:fill="auto"/>
            <w:noWrap/>
          </w:tcPr>
          <w:p w14:paraId="754EEEE3">
            <w:pPr>
              <w:pStyle w:val="259"/>
              <w:spacing w:line="440" w:lineRule="exact"/>
              <w:rPr>
                <w:rFonts w:ascii="宋体" w:hAnsi="宋体" w:eastAsia="宋体" w:cs="宋体"/>
                <w:color w:val="auto"/>
              </w:rPr>
            </w:pPr>
          </w:p>
        </w:tc>
      </w:tr>
      <w:tr w14:paraId="28B5C540">
        <w:tblPrEx>
          <w:tblCellMar>
            <w:top w:w="0" w:type="dxa"/>
            <w:left w:w="10" w:type="dxa"/>
            <w:bottom w:w="0" w:type="dxa"/>
            <w:right w:w="10" w:type="dxa"/>
          </w:tblCellMar>
        </w:tblPrEx>
        <w:trPr>
          <w:trHeight w:val="630" w:hRule="exact"/>
          <w:jc w:val="center"/>
        </w:trPr>
        <w:tc>
          <w:tcPr>
            <w:tcW w:w="2208" w:type="dxa"/>
            <w:tcBorders>
              <w:top w:val="single" w:color="auto" w:sz="4" w:space="0"/>
              <w:left w:val="single" w:color="auto" w:sz="4" w:space="0"/>
            </w:tcBorders>
            <w:shd w:val="clear" w:color="auto" w:fill="auto"/>
            <w:noWrap/>
            <w:vAlign w:val="center"/>
          </w:tcPr>
          <w:p w14:paraId="3A2CA30A">
            <w:pPr>
              <w:pStyle w:val="260"/>
              <w:spacing w:line="440" w:lineRule="exact"/>
              <w:ind w:firstLine="0"/>
              <w:jc w:val="center"/>
              <w:rPr>
                <w:color w:val="auto"/>
                <w:sz w:val="24"/>
                <w:szCs w:val="24"/>
              </w:rPr>
            </w:pPr>
            <w:r>
              <w:rPr>
                <w:rFonts w:hint="eastAsia"/>
                <w:color w:val="auto"/>
                <w:sz w:val="24"/>
                <w:szCs w:val="24"/>
              </w:rPr>
              <w:t>成立时间</w:t>
            </w:r>
          </w:p>
        </w:tc>
        <w:tc>
          <w:tcPr>
            <w:tcW w:w="1505" w:type="dxa"/>
            <w:gridSpan w:val="2"/>
            <w:tcBorders>
              <w:top w:val="single" w:color="auto" w:sz="4" w:space="0"/>
              <w:left w:val="single" w:color="auto" w:sz="4" w:space="0"/>
            </w:tcBorders>
            <w:shd w:val="clear" w:color="auto" w:fill="auto"/>
            <w:noWrap/>
          </w:tcPr>
          <w:p w14:paraId="1B95E25D">
            <w:pPr>
              <w:pStyle w:val="259"/>
              <w:spacing w:line="440" w:lineRule="exact"/>
              <w:rPr>
                <w:rFonts w:ascii="宋体" w:hAnsi="宋体" w:eastAsia="宋体" w:cs="宋体"/>
                <w:color w:val="auto"/>
              </w:rPr>
            </w:pPr>
          </w:p>
        </w:tc>
        <w:tc>
          <w:tcPr>
            <w:tcW w:w="4806" w:type="dxa"/>
            <w:gridSpan w:val="5"/>
            <w:tcBorders>
              <w:top w:val="single" w:color="auto" w:sz="4" w:space="0"/>
              <w:left w:val="single" w:color="auto" w:sz="4" w:space="0"/>
              <w:right w:val="single" w:color="auto" w:sz="4" w:space="0"/>
            </w:tcBorders>
            <w:shd w:val="clear" w:color="auto" w:fill="auto"/>
            <w:noWrap/>
            <w:vAlign w:val="center"/>
          </w:tcPr>
          <w:p w14:paraId="24DE51BE">
            <w:pPr>
              <w:pStyle w:val="260"/>
              <w:spacing w:line="440" w:lineRule="exact"/>
              <w:ind w:firstLine="0"/>
              <w:rPr>
                <w:color w:val="auto"/>
                <w:sz w:val="24"/>
                <w:szCs w:val="24"/>
              </w:rPr>
            </w:pPr>
            <w:r>
              <w:rPr>
                <w:rFonts w:hint="eastAsia"/>
                <w:color w:val="auto"/>
                <w:sz w:val="24"/>
                <w:szCs w:val="24"/>
              </w:rPr>
              <w:t>员工总人数：</w:t>
            </w:r>
          </w:p>
        </w:tc>
      </w:tr>
      <w:tr w14:paraId="1A2A2393">
        <w:tblPrEx>
          <w:tblCellMar>
            <w:top w:w="0" w:type="dxa"/>
            <w:left w:w="10" w:type="dxa"/>
            <w:bottom w:w="0" w:type="dxa"/>
            <w:right w:w="10" w:type="dxa"/>
          </w:tblCellMar>
        </w:tblPrEx>
        <w:trPr>
          <w:trHeight w:val="630" w:hRule="exact"/>
          <w:jc w:val="center"/>
        </w:trPr>
        <w:tc>
          <w:tcPr>
            <w:tcW w:w="2208" w:type="dxa"/>
            <w:tcBorders>
              <w:top w:val="single" w:color="auto" w:sz="4" w:space="0"/>
              <w:left w:val="single" w:color="auto" w:sz="4" w:space="0"/>
            </w:tcBorders>
            <w:shd w:val="clear" w:color="auto" w:fill="auto"/>
            <w:noWrap/>
            <w:vAlign w:val="center"/>
          </w:tcPr>
          <w:p w14:paraId="144ADEF9">
            <w:pPr>
              <w:pStyle w:val="260"/>
              <w:spacing w:line="440" w:lineRule="exact"/>
              <w:ind w:firstLine="0"/>
              <w:jc w:val="center"/>
              <w:rPr>
                <w:color w:val="auto"/>
                <w:sz w:val="24"/>
                <w:szCs w:val="24"/>
              </w:rPr>
            </w:pPr>
            <w:r>
              <w:rPr>
                <w:rFonts w:hint="eastAsia"/>
                <w:color w:val="auto"/>
                <w:sz w:val="24"/>
                <w:szCs w:val="24"/>
              </w:rPr>
              <w:t>企业资质等级</w:t>
            </w:r>
          </w:p>
        </w:tc>
        <w:tc>
          <w:tcPr>
            <w:tcW w:w="1505" w:type="dxa"/>
            <w:gridSpan w:val="2"/>
            <w:tcBorders>
              <w:top w:val="single" w:color="auto" w:sz="4" w:space="0"/>
              <w:left w:val="single" w:color="auto" w:sz="4" w:space="0"/>
            </w:tcBorders>
            <w:shd w:val="clear" w:color="auto" w:fill="auto"/>
            <w:noWrap/>
          </w:tcPr>
          <w:p w14:paraId="45563176">
            <w:pPr>
              <w:pStyle w:val="259"/>
              <w:spacing w:line="440" w:lineRule="exact"/>
              <w:rPr>
                <w:rFonts w:ascii="宋体" w:hAnsi="宋体" w:eastAsia="宋体" w:cs="宋体"/>
                <w:color w:val="auto"/>
              </w:rPr>
            </w:pPr>
          </w:p>
        </w:tc>
        <w:tc>
          <w:tcPr>
            <w:tcW w:w="749" w:type="dxa"/>
            <w:vMerge w:val="restart"/>
            <w:tcBorders>
              <w:top w:val="single" w:color="auto" w:sz="4" w:space="0"/>
              <w:left w:val="single" w:color="auto" w:sz="4" w:space="0"/>
            </w:tcBorders>
            <w:shd w:val="clear" w:color="auto" w:fill="auto"/>
            <w:noWrap/>
            <w:vAlign w:val="center"/>
          </w:tcPr>
          <w:p w14:paraId="3968FE00">
            <w:pPr>
              <w:pStyle w:val="260"/>
              <w:spacing w:line="440" w:lineRule="exact"/>
              <w:ind w:firstLine="0"/>
              <w:jc w:val="center"/>
              <w:rPr>
                <w:color w:val="auto"/>
                <w:sz w:val="24"/>
                <w:szCs w:val="24"/>
              </w:rPr>
            </w:pPr>
            <w:r>
              <w:rPr>
                <w:rFonts w:hint="eastAsia"/>
                <w:color w:val="auto"/>
                <w:sz w:val="24"/>
                <w:szCs w:val="24"/>
              </w:rPr>
              <w:t>其中</w:t>
            </w:r>
          </w:p>
        </w:tc>
        <w:tc>
          <w:tcPr>
            <w:tcW w:w="2439" w:type="dxa"/>
            <w:gridSpan w:val="3"/>
            <w:tcBorders>
              <w:top w:val="single" w:color="auto" w:sz="4" w:space="0"/>
              <w:left w:val="single" w:color="auto" w:sz="4" w:space="0"/>
            </w:tcBorders>
            <w:shd w:val="clear" w:color="auto" w:fill="auto"/>
            <w:noWrap/>
            <w:vAlign w:val="center"/>
          </w:tcPr>
          <w:p w14:paraId="429A7F49">
            <w:pPr>
              <w:pStyle w:val="260"/>
              <w:spacing w:line="440" w:lineRule="exact"/>
              <w:ind w:firstLine="0"/>
              <w:jc w:val="center"/>
              <w:rPr>
                <w:color w:val="auto"/>
                <w:sz w:val="24"/>
                <w:szCs w:val="24"/>
              </w:rPr>
            </w:pPr>
            <w:r>
              <w:rPr>
                <w:rFonts w:hint="eastAsia"/>
                <w:color w:val="auto"/>
                <w:sz w:val="24"/>
                <w:szCs w:val="24"/>
              </w:rPr>
              <w:t>项目经理（注册建造师）</w:t>
            </w:r>
          </w:p>
        </w:tc>
        <w:tc>
          <w:tcPr>
            <w:tcW w:w="1618" w:type="dxa"/>
            <w:tcBorders>
              <w:top w:val="single" w:color="auto" w:sz="4" w:space="0"/>
              <w:left w:val="single" w:color="auto" w:sz="4" w:space="0"/>
              <w:right w:val="single" w:color="auto" w:sz="4" w:space="0"/>
            </w:tcBorders>
            <w:shd w:val="clear" w:color="auto" w:fill="auto"/>
            <w:noWrap/>
          </w:tcPr>
          <w:p w14:paraId="3483D0A6">
            <w:pPr>
              <w:pStyle w:val="259"/>
              <w:spacing w:line="440" w:lineRule="exact"/>
              <w:rPr>
                <w:rFonts w:ascii="宋体" w:hAnsi="宋体" w:eastAsia="宋体" w:cs="宋体"/>
                <w:color w:val="auto"/>
                <w:lang w:eastAsia="zh-CN"/>
              </w:rPr>
            </w:pPr>
          </w:p>
        </w:tc>
      </w:tr>
      <w:tr w14:paraId="4766A112">
        <w:tblPrEx>
          <w:tblCellMar>
            <w:top w:w="0" w:type="dxa"/>
            <w:left w:w="10" w:type="dxa"/>
            <w:bottom w:w="0" w:type="dxa"/>
            <w:right w:w="10" w:type="dxa"/>
          </w:tblCellMar>
        </w:tblPrEx>
        <w:trPr>
          <w:trHeight w:val="637" w:hRule="exact"/>
          <w:jc w:val="center"/>
        </w:trPr>
        <w:tc>
          <w:tcPr>
            <w:tcW w:w="2208" w:type="dxa"/>
            <w:tcBorders>
              <w:top w:val="single" w:color="auto" w:sz="4" w:space="0"/>
              <w:left w:val="single" w:color="auto" w:sz="4" w:space="0"/>
            </w:tcBorders>
            <w:shd w:val="clear" w:color="auto" w:fill="auto"/>
            <w:noWrap/>
            <w:vAlign w:val="center"/>
          </w:tcPr>
          <w:p w14:paraId="1B8904A8">
            <w:pPr>
              <w:pStyle w:val="260"/>
              <w:spacing w:line="440" w:lineRule="exact"/>
              <w:ind w:firstLine="0"/>
              <w:jc w:val="center"/>
              <w:rPr>
                <w:color w:val="auto"/>
                <w:sz w:val="24"/>
                <w:szCs w:val="24"/>
              </w:rPr>
            </w:pPr>
            <w:r>
              <w:rPr>
                <w:rFonts w:hint="eastAsia"/>
                <w:color w:val="auto"/>
                <w:sz w:val="24"/>
                <w:szCs w:val="24"/>
              </w:rPr>
              <w:t>营业执照号</w:t>
            </w:r>
          </w:p>
        </w:tc>
        <w:tc>
          <w:tcPr>
            <w:tcW w:w="1505" w:type="dxa"/>
            <w:gridSpan w:val="2"/>
            <w:tcBorders>
              <w:top w:val="single" w:color="auto" w:sz="4" w:space="0"/>
              <w:left w:val="single" w:color="auto" w:sz="4" w:space="0"/>
            </w:tcBorders>
            <w:shd w:val="clear" w:color="auto" w:fill="auto"/>
            <w:noWrap/>
          </w:tcPr>
          <w:p w14:paraId="07C7AA42">
            <w:pPr>
              <w:pStyle w:val="259"/>
              <w:spacing w:line="440" w:lineRule="exact"/>
              <w:rPr>
                <w:rFonts w:ascii="宋体" w:hAnsi="宋体" w:eastAsia="宋体" w:cs="宋体"/>
                <w:color w:val="auto"/>
              </w:rPr>
            </w:pPr>
          </w:p>
        </w:tc>
        <w:tc>
          <w:tcPr>
            <w:tcW w:w="749" w:type="dxa"/>
            <w:vMerge w:val="continue"/>
            <w:tcBorders>
              <w:left w:val="single" w:color="auto" w:sz="4" w:space="0"/>
            </w:tcBorders>
            <w:shd w:val="clear" w:color="auto" w:fill="auto"/>
            <w:noWrap/>
            <w:vAlign w:val="center"/>
          </w:tcPr>
          <w:p w14:paraId="2C4BC15C">
            <w:pPr>
              <w:pStyle w:val="259"/>
              <w:spacing w:line="440" w:lineRule="exact"/>
              <w:rPr>
                <w:rFonts w:ascii="宋体" w:hAnsi="宋体" w:eastAsia="宋体" w:cs="宋体"/>
                <w:color w:val="auto"/>
              </w:rPr>
            </w:pPr>
          </w:p>
        </w:tc>
        <w:tc>
          <w:tcPr>
            <w:tcW w:w="2439" w:type="dxa"/>
            <w:gridSpan w:val="3"/>
            <w:tcBorders>
              <w:top w:val="single" w:color="auto" w:sz="4" w:space="0"/>
              <w:left w:val="single" w:color="auto" w:sz="4" w:space="0"/>
            </w:tcBorders>
            <w:shd w:val="clear" w:color="auto" w:fill="auto"/>
            <w:noWrap/>
            <w:vAlign w:val="center"/>
          </w:tcPr>
          <w:p w14:paraId="17084474">
            <w:pPr>
              <w:pStyle w:val="260"/>
              <w:spacing w:line="440" w:lineRule="exact"/>
              <w:ind w:firstLine="0"/>
              <w:jc w:val="center"/>
              <w:rPr>
                <w:color w:val="auto"/>
                <w:sz w:val="24"/>
                <w:szCs w:val="24"/>
              </w:rPr>
            </w:pPr>
            <w:r>
              <w:rPr>
                <w:rFonts w:hint="eastAsia"/>
                <w:color w:val="auto"/>
                <w:sz w:val="24"/>
                <w:szCs w:val="24"/>
              </w:rPr>
              <w:t>高级职称人员</w:t>
            </w:r>
          </w:p>
        </w:tc>
        <w:tc>
          <w:tcPr>
            <w:tcW w:w="1618" w:type="dxa"/>
            <w:tcBorders>
              <w:top w:val="single" w:color="auto" w:sz="4" w:space="0"/>
              <w:left w:val="single" w:color="auto" w:sz="4" w:space="0"/>
              <w:right w:val="single" w:color="auto" w:sz="4" w:space="0"/>
            </w:tcBorders>
            <w:shd w:val="clear" w:color="auto" w:fill="auto"/>
            <w:noWrap/>
          </w:tcPr>
          <w:p w14:paraId="2E403F3E">
            <w:pPr>
              <w:pStyle w:val="259"/>
              <w:spacing w:line="440" w:lineRule="exact"/>
              <w:rPr>
                <w:rFonts w:ascii="宋体" w:hAnsi="宋体" w:eastAsia="宋体" w:cs="宋体"/>
                <w:color w:val="auto"/>
              </w:rPr>
            </w:pPr>
          </w:p>
        </w:tc>
      </w:tr>
      <w:tr w14:paraId="14485E74">
        <w:tblPrEx>
          <w:tblCellMar>
            <w:top w:w="0" w:type="dxa"/>
            <w:left w:w="10" w:type="dxa"/>
            <w:bottom w:w="0" w:type="dxa"/>
            <w:right w:w="10" w:type="dxa"/>
          </w:tblCellMar>
        </w:tblPrEx>
        <w:trPr>
          <w:trHeight w:val="637" w:hRule="exact"/>
          <w:jc w:val="center"/>
        </w:trPr>
        <w:tc>
          <w:tcPr>
            <w:tcW w:w="2208" w:type="dxa"/>
            <w:tcBorders>
              <w:top w:val="single" w:color="auto" w:sz="4" w:space="0"/>
              <w:left w:val="single" w:color="auto" w:sz="4" w:space="0"/>
            </w:tcBorders>
            <w:shd w:val="clear" w:color="auto" w:fill="auto"/>
            <w:noWrap/>
            <w:vAlign w:val="center"/>
          </w:tcPr>
          <w:p w14:paraId="38C3BAE1">
            <w:pPr>
              <w:pStyle w:val="260"/>
              <w:spacing w:line="440" w:lineRule="exact"/>
              <w:ind w:firstLine="0"/>
              <w:jc w:val="center"/>
              <w:rPr>
                <w:color w:val="auto"/>
                <w:sz w:val="24"/>
                <w:szCs w:val="24"/>
              </w:rPr>
            </w:pPr>
            <w:r>
              <w:rPr>
                <w:rFonts w:hint="eastAsia"/>
                <w:color w:val="auto"/>
                <w:sz w:val="24"/>
                <w:szCs w:val="24"/>
              </w:rPr>
              <w:t>注册资金</w:t>
            </w:r>
          </w:p>
        </w:tc>
        <w:tc>
          <w:tcPr>
            <w:tcW w:w="1505" w:type="dxa"/>
            <w:gridSpan w:val="2"/>
            <w:tcBorders>
              <w:top w:val="single" w:color="auto" w:sz="4" w:space="0"/>
              <w:left w:val="single" w:color="auto" w:sz="4" w:space="0"/>
            </w:tcBorders>
            <w:shd w:val="clear" w:color="auto" w:fill="auto"/>
            <w:noWrap/>
          </w:tcPr>
          <w:p w14:paraId="129E3727">
            <w:pPr>
              <w:pStyle w:val="259"/>
              <w:spacing w:line="440" w:lineRule="exact"/>
              <w:rPr>
                <w:rFonts w:ascii="宋体" w:hAnsi="宋体" w:eastAsia="宋体" w:cs="宋体"/>
                <w:color w:val="auto"/>
              </w:rPr>
            </w:pPr>
          </w:p>
        </w:tc>
        <w:tc>
          <w:tcPr>
            <w:tcW w:w="749" w:type="dxa"/>
            <w:vMerge w:val="continue"/>
            <w:tcBorders>
              <w:left w:val="single" w:color="auto" w:sz="4" w:space="0"/>
            </w:tcBorders>
            <w:shd w:val="clear" w:color="auto" w:fill="auto"/>
            <w:noWrap/>
            <w:vAlign w:val="center"/>
          </w:tcPr>
          <w:p w14:paraId="09B83FED">
            <w:pPr>
              <w:pStyle w:val="259"/>
              <w:spacing w:line="440" w:lineRule="exact"/>
              <w:rPr>
                <w:rFonts w:ascii="宋体" w:hAnsi="宋体" w:eastAsia="宋体" w:cs="宋体"/>
                <w:color w:val="auto"/>
              </w:rPr>
            </w:pPr>
          </w:p>
        </w:tc>
        <w:tc>
          <w:tcPr>
            <w:tcW w:w="2439" w:type="dxa"/>
            <w:gridSpan w:val="3"/>
            <w:tcBorders>
              <w:top w:val="single" w:color="auto" w:sz="4" w:space="0"/>
              <w:left w:val="single" w:color="auto" w:sz="4" w:space="0"/>
            </w:tcBorders>
            <w:shd w:val="clear" w:color="auto" w:fill="auto"/>
            <w:noWrap/>
            <w:vAlign w:val="center"/>
          </w:tcPr>
          <w:p w14:paraId="7FE55122">
            <w:pPr>
              <w:pStyle w:val="260"/>
              <w:spacing w:line="440" w:lineRule="exact"/>
              <w:ind w:firstLine="0"/>
              <w:jc w:val="center"/>
              <w:rPr>
                <w:color w:val="auto"/>
                <w:sz w:val="24"/>
                <w:szCs w:val="24"/>
              </w:rPr>
            </w:pPr>
            <w:r>
              <w:rPr>
                <w:rFonts w:hint="eastAsia"/>
                <w:color w:val="auto"/>
                <w:sz w:val="24"/>
                <w:szCs w:val="24"/>
              </w:rPr>
              <w:t>中级职称人员</w:t>
            </w:r>
          </w:p>
        </w:tc>
        <w:tc>
          <w:tcPr>
            <w:tcW w:w="1618" w:type="dxa"/>
            <w:tcBorders>
              <w:top w:val="single" w:color="auto" w:sz="4" w:space="0"/>
              <w:left w:val="single" w:color="auto" w:sz="4" w:space="0"/>
              <w:right w:val="single" w:color="auto" w:sz="4" w:space="0"/>
            </w:tcBorders>
            <w:shd w:val="clear" w:color="auto" w:fill="auto"/>
            <w:noWrap/>
          </w:tcPr>
          <w:p w14:paraId="57261488">
            <w:pPr>
              <w:pStyle w:val="259"/>
              <w:spacing w:line="440" w:lineRule="exact"/>
              <w:rPr>
                <w:rFonts w:ascii="宋体" w:hAnsi="宋体" w:eastAsia="宋体" w:cs="宋体"/>
                <w:color w:val="auto"/>
              </w:rPr>
            </w:pPr>
          </w:p>
        </w:tc>
      </w:tr>
      <w:tr w14:paraId="0F7ADFA3">
        <w:tblPrEx>
          <w:tblCellMar>
            <w:top w:w="0" w:type="dxa"/>
            <w:left w:w="10" w:type="dxa"/>
            <w:bottom w:w="0" w:type="dxa"/>
            <w:right w:w="10" w:type="dxa"/>
          </w:tblCellMar>
        </w:tblPrEx>
        <w:trPr>
          <w:trHeight w:val="630" w:hRule="exact"/>
          <w:jc w:val="center"/>
        </w:trPr>
        <w:tc>
          <w:tcPr>
            <w:tcW w:w="2208" w:type="dxa"/>
            <w:tcBorders>
              <w:top w:val="single" w:color="auto" w:sz="4" w:space="0"/>
              <w:left w:val="single" w:color="auto" w:sz="4" w:space="0"/>
            </w:tcBorders>
            <w:shd w:val="clear" w:color="auto" w:fill="auto"/>
            <w:noWrap/>
            <w:vAlign w:val="center"/>
          </w:tcPr>
          <w:p w14:paraId="20681057">
            <w:pPr>
              <w:pStyle w:val="260"/>
              <w:spacing w:line="440" w:lineRule="exact"/>
              <w:ind w:firstLine="0"/>
              <w:jc w:val="center"/>
              <w:rPr>
                <w:color w:val="auto"/>
                <w:sz w:val="24"/>
                <w:szCs w:val="24"/>
              </w:rPr>
            </w:pPr>
            <w:r>
              <w:rPr>
                <w:rFonts w:hint="eastAsia"/>
                <w:color w:val="auto"/>
                <w:sz w:val="24"/>
                <w:szCs w:val="24"/>
              </w:rPr>
              <w:t>开户银行</w:t>
            </w:r>
          </w:p>
        </w:tc>
        <w:tc>
          <w:tcPr>
            <w:tcW w:w="1505" w:type="dxa"/>
            <w:gridSpan w:val="2"/>
            <w:tcBorders>
              <w:top w:val="single" w:color="auto" w:sz="4" w:space="0"/>
              <w:left w:val="single" w:color="auto" w:sz="4" w:space="0"/>
            </w:tcBorders>
            <w:shd w:val="clear" w:color="auto" w:fill="auto"/>
            <w:noWrap/>
          </w:tcPr>
          <w:p w14:paraId="3217ECEB">
            <w:pPr>
              <w:pStyle w:val="259"/>
              <w:spacing w:line="440" w:lineRule="exact"/>
              <w:rPr>
                <w:rFonts w:ascii="宋体" w:hAnsi="宋体" w:eastAsia="宋体" w:cs="宋体"/>
                <w:color w:val="auto"/>
              </w:rPr>
            </w:pPr>
          </w:p>
        </w:tc>
        <w:tc>
          <w:tcPr>
            <w:tcW w:w="749" w:type="dxa"/>
            <w:vMerge w:val="continue"/>
            <w:tcBorders>
              <w:left w:val="single" w:color="auto" w:sz="4" w:space="0"/>
            </w:tcBorders>
            <w:shd w:val="clear" w:color="auto" w:fill="auto"/>
            <w:noWrap/>
            <w:vAlign w:val="center"/>
          </w:tcPr>
          <w:p w14:paraId="4F4EB753">
            <w:pPr>
              <w:pStyle w:val="259"/>
              <w:spacing w:line="440" w:lineRule="exact"/>
              <w:rPr>
                <w:rFonts w:ascii="宋体" w:hAnsi="宋体" w:eastAsia="宋体" w:cs="宋体"/>
                <w:color w:val="auto"/>
              </w:rPr>
            </w:pPr>
          </w:p>
        </w:tc>
        <w:tc>
          <w:tcPr>
            <w:tcW w:w="2439" w:type="dxa"/>
            <w:gridSpan w:val="3"/>
            <w:tcBorders>
              <w:top w:val="single" w:color="auto" w:sz="4" w:space="0"/>
              <w:left w:val="single" w:color="auto" w:sz="4" w:space="0"/>
            </w:tcBorders>
            <w:shd w:val="clear" w:color="auto" w:fill="auto"/>
            <w:noWrap/>
            <w:vAlign w:val="center"/>
          </w:tcPr>
          <w:p w14:paraId="3384BF8E">
            <w:pPr>
              <w:pStyle w:val="260"/>
              <w:spacing w:line="440" w:lineRule="exact"/>
              <w:ind w:firstLine="0"/>
              <w:jc w:val="center"/>
              <w:rPr>
                <w:color w:val="auto"/>
                <w:sz w:val="24"/>
                <w:szCs w:val="24"/>
              </w:rPr>
            </w:pPr>
            <w:r>
              <w:rPr>
                <w:rFonts w:hint="eastAsia"/>
                <w:color w:val="auto"/>
                <w:sz w:val="24"/>
                <w:szCs w:val="24"/>
              </w:rPr>
              <w:t>初级职称人员</w:t>
            </w:r>
          </w:p>
        </w:tc>
        <w:tc>
          <w:tcPr>
            <w:tcW w:w="1618" w:type="dxa"/>
            <w:tcBorders>
              <w:top w:val="single" w:color="auto" w:sz="4" w:space="0"/>
              <w:left w:val="single" w:color="auto" w:sz="4" w:space="0"/>
              <w:right w:val="single" w:color="auto" w:sz="4" w:space="0"/>
            </w:tcBorders>
            <w:shd w:val="clear" w:color="auto" w:fill="auto"/>
            <w:noWrap/>
          </w:tcPr>
          <w:p w14:paraId="7E96F08F">
            <w:pPr>
              <w:pStyle w:val="259"/>
              <w:spacing w:line="440" w:lineRule="exact"/>
              <w:rPr>
                <w:rFonts w:ascii="宋体" w:hAnsi="宋体" w:eastAsia="宋体" w:cs="宋体"/>
                <w:color w:val="auto"/>
              </w:rPr>
            </w:pPr>
          </w:p>
        </w:tc>
      </w:tr>
      <w:tr w14:paraId="4F4470DB">
        <w:tblPrEx>
          <w:tblCellMar>
            <w:top w:w="0" w:type="dxa"/>
            <w:left w:w="10" w:type="dxa"/>
            <w:bottom w:w="0" w:type="dxa"/>
            <w:right w:w="10" w:type="dxa"/>
          </w:tblCellMar>
        </w:tblPrEx>
        <w:trPr>
          <w:trHeight w:val="630" w:hRule="exact"/>
          <w:jc w:val="center"/>
        </w:trPr>
        <w:tc>
          <w:tcPr>
            <w:tcW w:w="2208" w:type="dxa"/>
            <w:tcBorders>
              <w:top w:val="single" w:color="auto" w:sz="4" w:space="0"/>
              <w:left w:val="single" w:color="auto" w:sz="4" w:space="0"/>
            </w:tcBorders>
            <w:shd w:val="clear" w:color="auto" w:fill="auto"/>
            <w:noWrap/>
            <w:vAlign w:val="center"/>
          </w:tcPr>
          <w:p w14:paraId="081D534A">
            <w:pPr>
              <w:pStyle w:val="260"/>
              <w:spacing w:line="440" w:lineRule="exact"/>
              <w:ind w:firstLine="0"/>
              <w:jc w:val="center"/>
              <w:rPr>
                <w:color w:val="auto"/>
                <w:sz w:val="24"/>
                <w:szCs w:val="24"/>
              </w:rPr>
            </w:pPr>
            <w:r>
              <w:rPr>
                <w:rFonts w:hint="eastAsia"/>
                <w:color w:val="auto"/>
                <w:sz w:val="24"/>
                <w:szCs w:val="24"/>
              </w:rPr>
              <w:t>账号</w:t>
            </w:r>
          </w:p>
        </w:tc>
        <w:tc>
          <w:tcPr>
            <w:tcW w:w="1505" w:type="dxa"/>
            <w:gridSpan w:val="2"/>
            <w:tcBorders>
              <w:top w:val="single" w:color="auto" w:sz="4" w:space="0"/>
              <w:left w:val="single" w:color="auto" w:sz="4" w:space="0"/>
            </w:tcBorders>
            <w:shd w:val="clear" w:color="auto" w:fill="auto"/>
            <w:noWrap/>
          </w:tcPr>
          <w:p w14:paraId="2771E200">
            <w:pPr>
              <w:pStyle w:val="259"/>
              <w:spacing w:line="440" w:lineRule="exact"/>
              <w:rPr>
                <w:rFonts w:ascii="宋体" w:hAnsi="宋体" w:eastAsia="宋体" w:cs="宋体"/>
                <w:color w:val="auto"/>
              </w:rPr>
            </w:pPr>
          </w:p>
        </w:tc>
        <w:tc>
          <w:tcPr>
            <w:tcW w:w="749" w:type="dxa"/>
            <w:vMerge w:val="continue"/>
            <w:tcBorders>
              <w:left w:val="single" w:color="auto" w:sz="4" w:space="0"/>
            </w:tcBorders>
            <w:shd w:val="clear" w:color="auto" w:fill="auto"/>
            <w:noWrap/>
            <w:vAlign w:val="center"/>
          </w:tcPr>
          <w:p w14:paraId="2D093F87">
            <w:pPr>
              <w:pStyle w:val="259"/>
              <w:spacing w:line="440" w:lineRule="exact"/>
              <w:rPr>
                <w:rFonts w:ascii="宋体" w:hAnsi="宋体" w:eastAsia="宋体" w:cs="宋体"/>
                <w:color w:val="auto"/>
              </w:rPr>
            </w:pPr>
          </w:p>
        </w:tc>
        <w:tc>
          <w:tcPr>
            <w:tcW w:w="2439" w:type="dxa"/>
            <w:gridSpan w:val="3"/>
            <w:tcBorders>
              <w:top w:val="single" w:color="auto" w:sz="4" w:space="0"/>
              <w:left w:val="single" w:color="auto" w:sz="4" w:space="0"/>
            </w:tcBorders>
            <w:shd w:val="clear" w:color="auto" w:fill="auto"/>
            <w:noWrap/>
            <w:vAlign w:val="center"/>
          </w:tcPr>
          <w:p w14:paraId="520D8DB3">
            <w:pPr>
              <w:pStyle w:val="260"/>
              <w:spacing w:line="440" w:lineRule="exact"/>
              <w:ind w:firstLine="0"/>
              <w:jc w:val="center"/>
              <w:rPr>
                <w:color w:val="auto"/>
                <w:sz w:val="24"/>
                <w:szCs w:val="24"/>
              </w:rPr>
            </w:pPr>
            <w:r>
              <w:rPr>
                <w:rFonts w:hint="eastAsia"/>
                <w:color w:val="auto"/>
                <w:sz w:val="24"/>
                <w:szCs w:val="24"/>
              </w:rPr>
              <w:t>技工</w:t>
            </w:r>
          </w:p>
        </w:tc>
        <w:tc>
          <w:tcPr>
            <w:tcW w:w="1618" w:type="dxa"/>
            <w:tcBorders>
              <w:top w:val="single" w:color="auto" w:sz="4" w:space="0"/>
              <w:left w:val="single" w:color="auto" w:sz="4" w:space="0"/>
              <w:right w:val="single" w:color="auto" w:sz="4" w:space="0"/>
            </w:tcBorders>
            <w:shd w:val="clear" w:color="auto" w:fill="auto"/>
            <w:noWrap/>
          </w:tcPr>
          <w:p w14:paraId="16EC747D">
            <w:pPr>
              <w:pStyle w:val="259"/>
              <w:spacing w:line="440" w:lineRule="exact"/>
              <w:rPr>
                <w:rFonts w:ascii="宋体" w:hAnsi="宋体" w:eastAsia="宋体" w:cs="宋体"/>
                <w:color w:val="auto"/>
              </w:rPr>
            </w:pPr>
          </w:p>
        </w:tc>
      </w:tr>
      <w:tr w14:paraId="53791827">
        <w:tblPrEx>
          <w:tblCellMar>
            <w:top w:w="0" w:type="dxa"/>
            <w:left w:w="10" w:type="dxa"/>
            <w:bottom w:w="0" w:type="dxa"/>
            <w:right w:w="10" w:type="dxa"/>
          </w:tblCellMar>
        </w:tblPrEx>
        <w:trPr>
          <w:trHeight w:val="2382" w:hRule="exact"/>
          <w:jc w:val="center"/>
        </w:trPr>
        <w:tc>
          <w:tcPr>
            <w:tcW w:w="2208" w:type="dxa"/>
            <w:tcBorders>
              <w:top w:val="single" w:color="auto" w:sz="4" w:space="0"/>
              <w:left w:val="single" w:color="auto" w:sz="4" w:space="0"/>
            </w:tcBorders>
            <w:shd w:val="clear" w:color="auto" w:fill="auto"/>
            <w:noWrap/>
            <w:vAlign w:val="center"/>
          </w:tcPr>
          <w:p w14:paraId="2ED1A41A">
            <w:pPr>
              <w:pStyle w:val="260"/>
              <w:spacing w:line="440" w:lineRule="exact"/>
              <w:ind w:firstLine="0"/>
              <w:jc w:val="center"/>
              <w:rPr>
                <w:color w:val="auto"/>
                <w:sz w:val="24"/>
                <w:szCs w:val="24"/>
              </w:rPr>
            </w:pPr>
            <w:r>
              <w:rPr>
                <w:rFonts w:hint="eastAsia"/>
                <w:color w:val="auto"/>
                <w:sz w:val="24"/>
                <w:szCs w:val="24"/>
              </w:rPr>
              <w:t>经营范围</w:t>
            </w:r>
          </w:p>
        </w:tc>
        <w:tc>
          <w:tcPr>
            <w:tcW w:w="6311" w:type="dxa"/>
            <w:gridSpan w:val="7"/>
            <w:tcBorders>
              <w:top w:val="single" w:color="auto" w:sz="4" w:space="0"/>
              <w:left w:val="single" w:color="auto" w:sz="4" w:space="0"/>
              <w:right w:val="single" w:color="auto" w:sz="4" w:space="0"/>
            </w:tcBorders>
            <w:shd w:val="clear" w:color="auto" w:fill="auto"/>
            <w:noWrap/>
          </w:tcPr>
          <w:p w14:paraId="118566A5">
            <w:pPr>
              <w:pStyle w:val="259"/>
              <w:spacing w:line="440" w:lineRule="exact"/>
              <w:rPr>
                <w:rFonts w:ascii="宋体" w:hAnsi="宋体" w:eastAsia="宋体" w:cs="宋体"/>
                <w:color w:val="auto"/>
              </w:rPr>
            </w:pPr>
          </w:p>
        </w:tc>
      </w:tr>
      <w:tr w14:paraId="3D74F602">
        <w:tblPrEx>
          <w:tblCellMar>
            <w:top w:w="0" w:type="dxa"/>
            <w:left w:w="10" w:type="dxa"/>
            <w:bottom w:w="0" w:type="dxa"/>
            <w:right w:w="10" w:type="dxa"/>
          </w:tblCellMar>
        </w:tblPrEx>
        <w:trPr>
          <w:trHeight w:val="676" w:hRule="exact"/>
          <w:jc w:val="center"/>
        </w:trPr>
        <w:tc>
          <w:tcPr>
            <w:tcW w:w="2208" w:type="dxa"/>
            <w:tcBorders>
              <w:top w:val="single" w:color="auto" w:sz="4" w:space="0"/>
              <w:left w:val="single" w:color="auto" w:sz="4" w:space="0"/>
              <w:bottom w:val="single" w:color="auto" w:sz="4" w:space="0"/>
            </w:tcBorders>
            <w:shd w:val="clear" w:color="auto" w:fill="auto"/>
            <w:noWrap/>
            <w:vAlign w:val="center"/>
          </w:tcPr>
          <w:p w14:paraId="298A2E53">
            <w:pPr>
              <w:pStyle w:val="260"/>
              <w:spacing w:line="440" w:lineRule="exact"/>
              <w:ind w:firstLine="0"/>
              <w:jc w:val="center"/>
              <w:rPr>
                <w:color w:val="auto"/>
                <w:sz w:val="24"/>
                <w:szCs w:val="24"/>
              </w:rPr>
            </w:pPr>
            <w:r>
              <w:rPr>
                <w:rFonts w:hint="eastAsia"/>
                <w:color w:val="auto"/>
                <w:sz w:val="24"/>
                <w:szCs w:val="24"/>
              </w:rPr>
              <w:t>备注</w:t>
            </w:r>
          </w:p>
        </w:tc>
        <w:tc>
          <w:tcPr>
            <w:tcW w:w="6311" w:type="dxa"/>
            <w:gridSpan w:val="7"/>
            <w:tcBorders>
              <w:top w:val="single" w:color="auto" w:sz="4" w:space="0"/>
              <w:left w:val="single" w:color="auto" w:sz="4" w:space="0"/>
              <w:bottom w:val="single" w:color="auto" w:sz="4" w:space="0"/>
              <w:right w:val="single" w:color="auto" w:sz="4" w:space="0"/>
            </w:tcBorders>
            <w:shd w:val="clear" w:color="auto" w:fill="auto"/>
            <w:noWrap/>
          </w:tcPr>
          <w:p w14:paraId="25FA4BE8">
            <w:pPr>
              <w:pStyle w:val="259"/>
              <w:spacing w:line="440" w:lineRule="exact"/>
              <w:rPr>
                <w:rFonts w:ascii="宋体" w:hAnsi="宋体" w:eastAsia="宋体" w:cs="宋体"/>
                <w:color w:val="auto"/>
              </w:rPr>
            </w:pPr>
          </w:p>
        </w:tc>
      </w:tr>
    </w:tbl>
    <w:p w14:paraId="2A4EA884">
      <w:pPr>
        <w:spacing w:line="440" w:lineRule="exact"/>
        <w:rPr>
          <w:rFonts w:ascii="宋体" w:hAnsi="宋体" w:cs="宋体"/>
          <w:color w:val="auto"/>
          <w:spacing w:val="-3"/>
          <w:szCs w:val="21"/>
        </w:rPr>
      </w:pPr>
      <w:r>
        <w:rPr>
          <w:rFonts w:hint="eastAsia" w:ascii="宋体" w:hAnsi="宋体" w:cs="宋体"/>
          <w:color w:val="auto"/>
          <w:spacing w:val="-3"/>
          <w:szCs w:val="21"/>
        </w:rPr>
        <w:t>注：附营业执照复印件、资质证书复印件等相关证明材料复印件并加盖单位公章。</w:t>
      </w:r>
      <w:r>
        <w:rPr>
          <w:rFonts w:hint="eastAsia" w:ascii="宋体" w:hAnsi="宋体" w:cs="宋体"/>
          <w:color w:val="auto"/>
          <w:spacing w:val="-3"/>
          <w:szCs w:val="21"/>
        </w:rPr>
        <w:br w:type="page"/>
      </w:r>
    </w:p>
    <w:p w14:paraId="6BC4C0B9">
      <w:pPr>
        <w:spacing w:line="440" w:lineRule="exact"/>
        <w:jc w:val="center"/>
        <w:rPr>
          <w:rFonts w:ascii="宋体" w:hAnsi="宋体" w:cs="宋体"/>
          <w:b/>
          <w:color w:val="auto"/>
          <w:sz w:val="24"/>
        </w:rPr>
      </w:pPr>
      <w:r>
        <w:rPr>
          <w:rFonts w:hint="eastAsia" w:ascii="宋体" w:hAnsi="宋体" w:cs="宋体"/>
          <w:b/>
          <w:color w:val="auto"/>
          <w:sz w:val="32"/>
          <w:szCs w:val="32"/>
        </w:rPr>
        <w:t>供应商直接控股、管理关系信息表</w:t>
      </w:r>
    </w:p>
    <w:p w14:paraId="1EDC84D0">
      <w:pPr>
        <w:spacing w:line="440" w:lineRule="exact"/>
        <w:contextualSpacing/>
        <w:jc w:val="center"/>
        <w:rPr>
          <w:rFonts w:ascii="宋体" w:hAnsi="宋体" w:cs="宋体"/>
          <w:b/>
          <w:color w:val="auto"/>
          <w:sz w:val="32"/>
          <w:szCs w:val="32"/>
        </w:rPr>
      </w:pPr>
    </w:p>
    <w:p w14:paraId="4E4BE909">
      <w:pPr>
        <w:spacing w:line="440" w:lineRule="exact"/>
        <w:contextualSpacing/>
        <w:jc w:val="center"/>
        <w:rPr>
          <w:rFonts w:ascii="宋体" w:hAnsi="宋体" w:cs="宋体"/>
          <w:b/>
          <w:color w:val="auto"/>
          <w:sz w:val="32"/>
          <w:szCs w:val="32"/>
        </w:rPr>
      </w:pPr>
      <w:r>
        <w:rPr>
          <w:rFonts w:hint="eastAsia" w:ascii="宋体" w:hAnsi="宋体" w:cs="宋体"/>
          <w:b/>
          <w:color w:val="auto"/>
          <w:sz w:val="32"/>
          <w:szCs w:val="32"/>
        </w:rPr>
        <w:t>供应商直接控股股东信息表</w:t>
      </w:r>
    </w:p>
    <w:p w14:paraId="2B45E49A">
      <w:pPr>
        <w:spacing w:line="440" w:lineRule="exact"/>
        <w:contextualSpacing/>
        <w:jc w:val="center"/>
        <w:rPr>
          <w:rFonts w:ascii="宋体" w:hAnsi="宋体" w:cs="宋体"/>
          <w:b/>
          <w:color w:val="auto"/>
          <w:sz w:val="32"/>
          <w:szCs w:val="32"/>
        </w:rPr>
      </w:pPr>
    </w:p>
    <w:tbl>
      <w:tblPr>
        <w:tblStyle w:val="47"/>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C28935F">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5EB98D">
            <w:pPr>
              <w:widowControl/>
              <w:spacing w:line="440" w:lineRule="exact"/>
              <w:contextualSpacing/>
              <w:jc w:val="center"/>
              <w:rPr>
                <w:rFonts w:ascii="宋体" w:hAnsi="宋体" w:cs="宋体"/>
                <w:b/>
                <w:bCs/>
                <w:color w:val="auto"/>
                <w:kern w:val="0"/>
                <w:sz w:val="24"/>
              </w:rPr>
            </w:pPr>
            <w:r>
              <w:rPr>
                <w:rFonts w:hint="eastAsia" w:ascii="宋体" w:hAnsi="宋体" w:cs="宋体"/>
                <w:b/>
                <w:bCs/>
                <w:color w:val="auto"/>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17B3AEF">
            <w:pPr>
              <w:widowControl/>
              <w:spacing w:line="440" w:lineRule="exact"/>
              <w:contextualSpacing/>
              <w:jc w:val="center"/>
              <w:rPr>
                <w:rFonts w:ascii="宋体" w:hAnsi="宋体" w:cs="宋体"/>
                <w:b/>
                <w:bCs/>
                <w:color w:val="auto"/>
                <w:kern w:val="0"/>
                <w:sz w:val="24"/>
              </w:rPr>
            </w:pPr>
            <w:r>
              <w:rPr>
                <w:rFonts w:hint="eastAsia" w:ascii="宋体" w:hAnsi="宋体" w:cs="宋体"/>
                <w:b/>
                <w:bCs/>
                <w:color w:val="auto"/>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0896FD">
            <w:pPr>
              <w:widowControl/>
              <w:spacing w:line="440" w:lineRule="exact"/>
              <w:contextualSpacing/>
              <w:jc w:val="center"/>
              <w:rPr>
                <w:rFonts w:ascii="宋体" w:hAnsi="宋体" w:cs="宋体"/>
                <w:b/>
                <w:bCs/>
                <w:color w:val="auto"/>
                <w:kern w:val="0"/>
                <w:sz w:val="24"/>
              </w:rPr>
            </w:pPr>
            <w:r>
              <w:rPr>
                <w:rFonts w:hint="eastAsia" w:ascii="宋体" w:hAnsi="宋体" w:cs="宋体"/>
                <w:b/>
                <w:bCs/>
                <w:color w:val="auto"/>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ABEAA36">
            <w:pPr>
              <w:widowControl/>
              <w:spacing w:line="440" w:lineRule="exact"/>
              <w:contextualSpacing/>
              <w:jc w:val="center"/>
              <w:rPr>
                <w:rFonts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171269">
            <w:pPr>
              <w:widowControl/>
              <w:spacing w:line="440" w:lineRule="exact"/>
              <w:contextualSpacing/>
              <w:jc w:val="center"/>
              <w:rPr>
                <w:rFonts w:ascii="宋体" w:hAnsi="宋体" w:cs="宋体"/>
                <w:b/>
                <w:bCs/>
                <w:color w:val="auto"/>
                <w:kern w:val="0"/>
                <w:sz w:val="24"/>
              </w:rPr>
            </w:pPr>
            <w:r>
              <w:rPr>
                <w:rFonts w:hint="eastAsia" w:ascii="宋体" w:hAnsi="宋体" w:cs="宋体"/>
                <w:b/>
                <w:bCs/>
                <w:color w:val="auto"/>
                <w:kern w:val="0"/>
                <w:sz w:val="24"/>
              </w:rPr>
              <w:t>备注</w:t>
            </w:r>
          </w:p>
        </w:tc>
      </w:tr>
      <w:tr w14:paraId="2BF6A950">
        <w:tblPrEx>
          <w:shd w:val="clear" w:color="auto" w:fill="FBFBFB"/>
          <w:tblCellMar>
            <w:top w:w="0" w:type="dxa"/>
            <w:left w:w="0" w:type="dxa"/>
            <w:bottom w:w="0" w:type="dxa"/>
            <w:right w:w="0" w:type="dxa"/>
          </w:tblCellMar>
        </w:tblPrEx>
        <w:trPr>
          <w:trHeight w:val="502"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846DEB3">
            <w:pPr>
              <w:widowControl/>
              <w:spacing w:line="440" w:lineRule="exact"/>
              <w:contextualSpacing/>
              <w:jc w:val="center"/>
              <w:rPr>
                <w:rFonts w:ascii="宋体" w:hAnsi="宋体" w:cs="宋体"/>
                <w:color w:val="auto"/>
                <w:kern w:val="0"/>
                <w:sz w:val="24"/>
              </w:rPr>
            </w:pPr>
            <w:r>
              <w:rPr>
                <w:rFonts w:hint="eastAsia" w:ascii="宋体" w:hAnsi="宋体" w:cs="宋体"/>
                <w:color w:val="auto"/>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ABA398">
            <w:pPr>
              <w:widowControl/>
              <w:spacing w:line="440" w:lineRule="exact"/>
              <w:contextualSpacing/>
              <w:jc w:val="center"/>
              <w:rPr>
                <w:rFonts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B4C128F">
            <w:pPr>
              <w:widowControl/>
              <w:spacing w:line="440" w:lineRule="exact"/>
              <w:contextualSpacing/>
              <w:jc w:val="center"/>
              <w:rPr>
                <w:rFonts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1F5F31">
            <w:pPr>
              <w:widowControl/>
              <w:spacing w:line="440" w:lineRule="exact"/>
              <w:contextualSpacing/>
              <w:jc w:val="center"/>
              <w:rPr>
                <w:rFonts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A63AA84">
            <w:pPr>
              <w:widowControl/>
              <w:spacing w:line="440" w:lineRule="exact"/>
              <w:contextualSpacing/>
              <w:jc w:val="center"/>
              <w:rPr>
                <w:rFonts w:ascii="宋体" w:hAnsi="宋体" w:cs="宋体"/>
                <w:color w:val="auto"/>
                <w:kern w:val="0"/>
                <w:sz w:val="24"/>
              </w:rPr>
            </w:pPr>
          </w:p>
        </w:tc>
      </w:tr>
      <w:tr w14:paraId="5540F83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157306">
            <w:pPr>
              <w:widowControl/>
              <w:spacing w:line="440" w:lineRule="exact"/>
              <w:contextualSpacing/>
              <w:jc w:val="center"/>
              <w:rPr>
                <w:rFonts w:ascii="宋体" w:hAnsi="宋体" w:cs="宋体"/>
                <w:color w:val="auto"/>
                <w:kern w:val="0"/>
                <w:sz w:val="24"/>
              </w:rPr>
            </w:pPr>
            <w:r>
              <w:rPr>
                <w:rFonts w:hint="eastAsia" w:ascii="宋体" w:hAnsi="宋体" w:cs="宋体"/>
                <w:color w:val="auto"/>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D2FDF8">
            <w:pPr>
              <w:widowControl/>
              <w:spacing w:line="440" w:lineRule="exact"/>
              <w:contextualSpacing/>
              <w:jc w:val="center"/>
              <w:rPr>
                <w:rFonts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07F0BB">
            <w:pPr>
              <w:widowControl/>
              <w:spacing w:line="440" w:lineRule="exact"/>
              <w:contextualSpacing/>
              <w:jc w:val="center"/>
              <w:rPr>
                <w:rFonts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43729C">
            <w:pPr>
              <w:widowControl/>
              <w:spacing w:line="440" w:lineRule="exact"/>
              <w:contextualSpacing/>
              <w:jc w:val="center"/>
              <w:rPr>
                <w:rFonts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97308F">
            <w:pPr>
              <w:widowControl/>
              <w:spacing w:line="440" w:lineRule="exact"/>
              <w:contextualSpacing/>
              <w:jc w:val="center"/>
              <w:rPr>
                <w:rFonts w:ascii="宋体" w:hAnsi="宋体" w:cs="宋体"/>
                <w:color w:val="auto"/>
                <w:kern w:val="0"/>
                <w:sz w:val="24"/>
              </w:rPr>
            </w:pPr>
          </w:p>
        </w:tc>
      </w:tr>
      <w:tr w14:paraId="155F2D5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3C02FC">
            <w:pPr>
              <w:widowControl/>
              <w:spacing w:line="440" w:lineRule="exact"/>
              <w:contextualSpacing/>
              <w:jc w:val="center"/>
              <w:rPr>
                <w:rFonts w:ascii="宋体" w:hAnsi="宋体" w:cs="宋体"/>
                <w:color w:val="auto"/>
                <w:kern w:val="0"/>
                <w:sz w:val="24"/>
              </w:rPr>
            </w:pPr>
            <w:r>
              <w:rPr>
                <w:rFonts w:hint="eastAsia" w:ascii="宋体" w:hAnsi="宋体" w:cs="宋体"/>
                <w:color w:val="auto"/>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F4B2DB">
            <w:pPr>
              <w:widowControl/>
              <w:spacing w:line="440" w:lineRule="exact"/>
              <w:contextualSpacing/>
              <w:jc w:val="center"/>
              <w:rPr>
                <w:rFonts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60F728">
            <w:pPr>
              <w:widowControl/>
              <w:spacing w:line="440" w:lineRule="exact"/>
              <w:contextualSpacing/>
              <w:jc w:val="center"/>
              <w:rPr>
                <w:rFonts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3D4F93">
            <w:pPr>
              <w:widowControl/>
              <w:spacing w:line="440" w:lineRule="exact"/>
              <w:contextualSpacing/>
              <w:jc w:val="center"/>
              <w:rPr>
                <w:rFonts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3539358">
            <w:pPr>
              <w:widowControl/>
              <w:spacing w:line="440" w:lineRule="exact"/>
              <w:contextualSpacing/>
              <w:jc w:val="center"/>
              <w:rPr>
                <w:rFonts w:ascii="宋体" w:hAnsi="宋体" w:cs="宋体"/>
                <w:color w:val="auto"/>
                <w:kern w:val="0"/>
                <w:sz w:val="24"/>
              </w:rPr>
            </w:pPr>
          </w:p>
        </w:tc>
      </w:tr>
      <w:tr w14:paraId="769E893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032635">
            <w:pPr>
              <w:widowControl/>
              <w:spacing w:line="440" w:lineRule="exact"/>
              <w:contextualSpacing/>
              <w:jc w:val="center"/>
              <w:rPr>
                <w:rFonts w:ascii="宋体" w:hAnsi="宋体" w:cs="宋体"/>
                <w:color w:val="auto"/>
                <w:kern w:val="0"/>
                <w:sz w:val="24"/>
              </w:rPr>
            </w:pPr>
            <w:r>
              <w:rPr>
                <w:rFonts w:hint="eastAsia" w:ascii="宋体" w:hAnsi="宋体" w:cs="宋体"/>
                <w:color w:val="auto"/>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50DD49">
            <w:pPr>
              <w:widowControl/>
              <w:spacing w:line="440" w:lineRule="exact"/>
              <w:contextualSpacing/>
              <w:jc w:val="center"/>
              <w:rPr>
                <w:rFonts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C8F572">
            <w:pPr>
              <w:widowControl/>
              <w:spacing w:line="440" w:lineRule="exact"/>
              <w:contextualSpacing/>
              <w:jc w:val="center"/>
              <w:rPr>
                <w:rFonts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3C450D">
            <w:pPr>
              <w:widowControl/>
              <w:spacing w:line="440" w:lineRule="exact"/>
              <w:contextualSpacing/>
              <w:jc w:val="center"/>
              <w:rPr>
                <w:rFonts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E4B08B">
            <w:pPr>
              <w:widowControl/>
              <w:spacing w:line="440" w:lineRule="exact"/>
              <w:contextualSpacing/>
              <w:jc w:val="center"/>
              <w:rPr>
                <w:rFonts w:ascii="宋体" w:hAnsi="宋体" w:cs="宋体"/>
                <w:color w:val="auto"/>
                <w:kern w:val="0"/>
                <w:sz w:val="24"/>
              </w:rPr>
            </w:pPr>
          </w:p>
        </w:tc>
      </w:tr>
    </w:tbl>
    <w:p w14:paraId="412DBAE8">
      <w:pPr>
        <w:spacing w:line="440" w:lineRule="exact"/>
        <w:contextualSpacing/>
        <w:jc w:val="left"/>
        <w:rPr>
          <w:rFonts w:ascii="宋体" w:hAnsi="宋体" w:cs="宋体"/>
          <w:color w:val="auto"/>
          <w:sz w:val="24"/>
        </w:rPr>
      </w:pPr>
      <w:r>
        <w:rPr>
          <w:rFonts w:hint="eastAsia" w:ascii="宋体" w:hAnsi="宋体" w:cs="宋体"/>
          <w:color w:val="auto"/>
          <w:sz w:val="24"/>
        </w:rPr>
        <w:t>注：</w:t>
      </w:r>
    </w:p>
    <w:p w14:paraId="3984B1ED">
      <w:pPr>
        <w:spacing w:line="440" w:lineRule="exact"/>
        <w:ind w:firstLine="480" w:firstLineChars="200"/>
        <w:contextualSpacing/>
        <w:jc w:val="left"/>
        <w:rPr>
          <w:rFonts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2EC2029">
      <w:pPr>
        <w:spacing w:line="440" w:lineRule="exact"/>
        <w:ind w:firstLine="480" w:firstLineChars="200"/>
        <w:contextualSpacing/>
        <w:jc w:val="left"/>
        <w:rPr>
          <w:rFonts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14:paraId="4A2480E8">
      <w:pPr>
        <w:spacing w:line="440" w:lineRule="exact"/>
        <w:ind w:firstLine="480" w:firstLineChars="200"/>
        <w:contextualSpacing/>
        <w:jc w:val="left"/>
        <w:rPr>
          <w:rFonts w:ascii="宋体" w:hAnsi="宋体" w:cs="宋体"/>
          <w:color w:val="auto"/>
          <w:szCs w:val="21"/>
        </w:rPr>
      </w:pPr>
      <w:r>
        <w:rPr>
          <w:rFonts w:hint="eastAsia" w:ascii="宋体" w:hAnsi="宋体" w:cs="宋体"/>
          <w:color w:val="auto"/>
          <w:sz w:val="24"/>
        </w:rPr>
        <w:t>3.供应商不存在直接控股股东的，则在“直接控股股东名称”填“无”。</w:t>
      </w:r>
    </w:p>
    <w:p w14:paraId="162DDDE8">
      <w:pPr>
        <w:spacing w:line="440" w:lineRule="exact"/>
        <w:ind w:right="480"/>
        <w:contextualSpacing/>
        <w:jc w:val="right"/>
        <w:rPr>
          <w:rFonts w:ascii="宋体" w:hAnsi="宋体" w:cs="宋体"/>
          <w:color w:val="auto"/>
          <w:sz w:val="24"/>
          <w:u w:val="single"/>
        </w:rPr>
      </w:pPr>
      <w:r>
        <w:rPr>
          <w:rFonts w:hint="eastAsia" w:ascii="宋体" w:hAnsi="宋体" w:cs="宋体"/>
          <w:color w:val="auto"/>
          <w:sz w:val="24"/>
        </w:rPr>
        <w:t>法定代表人或者委托代理人（签字或者电子签名）：</w:t>
      </w:r>
    </w:p>
    <w:p w14:paraId="4641E404">
      <w:pPr>
        <w:spacing w:line="440" w:lineRule="exact"/>
        <w:ind w:right="480" w:firstLine="3000" w:firstLineChars="1250"/>
        <w:contextualSpacing/>
        <w:jc w:val="right"/>
        <w:rPr>
          <w:rFonts w:ascii="宋体" w:hAnsi="宋体" w:cs="宋体"/>
          <w:color w:val="auto"/>
          <w:sz w:val="24"/>
          <w:u w:val="single"/>
        </w:rPr>
      </w:pPr>
      <w:r>
        <w:rPr>
          <w:rFonts w:hint="eastAsia" w:ascii="宋体" w:hAnsi="宋体" w:cs="宋体"/>
          <w:color w:val="auto"/>
          <w:sz w:val="24"/>
        </w:rPr>
        <w:t xml:space="preserve">供应商（电子签章）： </w:t>
      </w:r>
    </w:p>
    <w:p w14:paraId="31FBA5EB">
      <w:pPr>
        <w:spacing w:line="440" w:lineRule="exact"/>
        <w:ind w:firstLine="480" w:firstLineChars="200"/>
        <w:contextualSpacing/>
        <w:jc w:val="right"/>
        <w:rPr>
          <w:rFonts w:ascii="宋体" w:hAnsi="宋体" w:cs="宋体"/>
          <w:color w:val="auto"/>
          <w:sz w:val="28"/>
          <w:szCs w:val="28"/>
        </w:rPr>
      </w:pPr>
      <w:r>
        <w:rPr>
          <w:rFonts w:hint="eastAsia" w:ascii="宋体" w:hAnsi="宋体" w:cs="宋体"/>
          <w:color w:val="auto"/>
          <w:sz w:val="24"/>
        </w:rPr>
        <w:t>年    月    日</w:t>
      </w:r>
    </w:p>
    <w:p w14:paraId="54B7B069">
      <w:pPr>
        <w:snapToGrid w:val="0"/>
        <w:spacing w:line="440" w:lineRule="exact"/>
        <w:jc w:val="center"/>
        <w:rPr>
          <w:rFonts w:ascii="宋体" w:hAnsi="宋体" w:cs="宋体"/>
          <w:b/>
          <w:color w:val="auto"/>
          <w:sz w:val="28"/>
          <w:szCs w:val="28"/>
        </w:rPr>
      </w:pPr>
      <w:r>
        <w:rPr>
          <w:rFonts w:hint="eastAsia" w:ascii="宋体" w:hAnsi="宋体" w:cs="宋体"/>
          <w:b/>
          <w:color w:val="auto"/>
          <w:sz w:val="28"/>
          <w:szCs w:val="28"/>
        </w:rPr>
        <w:br w:type="page"/>
      </w:r>
    </w:p>
    <w:p w14:paraId="1A295596">
      <w:pPr>
        <w:spacing w:line="440" w:lineRule="exact"/>
        <w:jc w:val="center"/>
        <w:rPr>
          <w:rFonts w:ascii="宋体" w:hAnsi="宋体" w:cs="宋体"/>
          <w:b/>
          <w:color w:val="auto"/>
          <w:sz w:val="32"/>
          <w:szCs w:val="32"/>
        </w:rPr>
      </w:pPr>
      <w:r>
        <w:rPr>
          <w:rFonts w:hint="eastAsia" w:ascii="宋体" w:hAnsi="宋体" w:cs="宋体"/>
          <w:b/>
          <w:color w:val="auto"/>
          <w:sz w:val="32"/>
          <w:szCs w:val="32"/>
        </w:rPr>
        <w:t>供应商直接管理关系信息表</w:t>
      </w:r>
    </w:p>
    <w:p w14:paraId="5D89FDBD">
      <w:pPr>
        <w:snapToGrid w:val="0"/>
        <w:spacing w:line="440" w:lineRule="exact"/>
        <w:jc w:val="center"/>
        <w:rPr>
          <w:rFonts w:ascii="宋体" w:hAnsi="宋体" w:cs="宋体"/>
          <w:b/>
          <w:color w:val="auto"/>
          <w:sz w:val="24"/>
        </w:rPr>
      </w:pPr>
    </w:p>
    <w:tbl>
      <w:tblPr>
        <w:tblStyle w:val="47"/>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1200E5E">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3A9204">
            <w:pPr>
              <w:widowControl/>
              <w:spacing w:line="440" w:lineRule="exact"/>
              <w:contextualSpacing/>
              <w:jc w:val="center"/>
              <w:rPr>
                <w:rFonts w:ascii="宋体" w:hAnsi="宋体" w:cs="宋体"/>
                <w:b/>
                <w:bCs/>
                <w:color w:val="auto"/>
                <w:kern w:val="0"/>
                <w:sz w:val="24"/>
              </w:rPr>
            </w:pPr>
            <w:r>
              <w:rPr>
                <w:rFonts w:hint="eastAsia" w:ascii="宋体" w:hAnsi="宋体" w:cs="宋体"/>
                <w:b/>
                <w:bCs/>
                <w:color w:val="auto"/>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4D1D70">
            <w:pPr>
              <w:widowControl/>
              <w:spacing w:line="440" w:lineRule="exact"/>
              <w:contextualSpacing/>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2551B5">
            <w:pPr>
              <w:widowControl/>
              <w:spacing w:line="440" w:lineRule="exact"/>
              <w:contextualSpacing/>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5FBD42">
            <w:pPr>
              <w:widowControl/>
              <w:spacing w:line="440" w:lineRule="exact"/>
              <w:contextualSpacing/>
              <w:jc w:val="center"/>
              <w:rPr>
                <w:rFonts w:ascii="宋体" w:hAnsi="宋体" w:cs="宋体"/>
                <w:b/>
                <w:bCs/>
                <w:color w:val="auto"/>
                <w:kern w:val="0"/>
                <w:sz w:val="24"/>
              </w:rPr>
            </w:pPr>
            <w:r>
              <w:rPr>
                <w:rFonts w:hint="eastAsia" w:ascii="宋体" w:hAnsi="宋体" w:cs="宋体"/>
                <w:b/>
                <w:bCs/>
                <w:color w:val="auto"/>
                <w:kern w:val="0"/>
                <w:sz w:val="24"/>
              </w:rPr>
              <w:t>相互关系</w:t>
            </w:r>
          </w:p>
        </w:tc>
      </w:tr>
      <w:tr w14:paraId="3E5305B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FA1275">
            <w:pPr>
              <w:widowControl/>
              <w:spacing w:line="440" w:lineRule="exact"/>
              <w:contextualSpacing/>
              <w:jc w:val="center"/>
              <w:rPr>
                <w:rFonts w:ascii="宋体" w:hAnsi="宋体" w:cs="宋体"/>
                <w:color w:val="auto"/>
                <w:kern w:val="0"/>
                <w:sz w:val="24"/>
              </w:rPr>
            </w:pPr>
            <w:r>
              <w:rPr>
                <w:rFonts w:hint="eastAsia" w:ascii="宋体" w:hAnsi="宋体" w:cs="宋体"/>
                <w:color w:val="auto"/>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E43E7F">
            <w:pPr>
              <w:widowControl/>
              <w:spacing w:line="440" w:lineRule="exact"/>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93B838">
            <w:pPr>
              <w:widowControl/>
              <w:spacing w:line="440" w:lineRule="exact"/>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336D6B">
            <w:pPr>
              <w:widowControl/>
              <w:spacing w:line="440" w:lineRule="exact"/>
              <w:contextualSpacing/>
              <w:jc w:val="center"/>
              <w:rPr>
                <w:rFonts w:ascii="宋体" w:hAnsi="宋体" w:cs="宋体"/>
                <w:color w:val="auto"/>
                <w:kern w:val="0"/>
                <w:sz w:val="24"/>
              </w:rPr>
            </w:pPr>
          </w:p>
        </w:tc>
      </w:tr>
      <w:tr w14:paraId="0CF3206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941673">
            <w:pPr>
              <w:widowControl/>
              <w:spacing w:line="440" w:lineRule="exact"/>
              <w:contextualSpacing/>
              <w:jc w:val="center"/>
              <w:rPr>
                <w:rFonts w:ascii="宋体" w:hAnsi="宋体" w:cs="宋体"/>
                <w:color w:val="auto"/>
                <w:kern w:val="0"/>
                <w:sz w:val="24"/>
              </w:rPr>
            </w:pPr>
            <w:r>
              <w:rPr>
                <w:rFonts w:hint="eastAsia" w:ascii="宋体" w:hAnsi="宋体" w:cs="宋体"/>
                <w:color w:val="auto"/>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EF7253">
            <w:pPr>
              <w:widowControl/>
              <w:spacing w:line="440" w:lineRule="exact"/>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DC9CB4">
            <w:pPr>
              <w:widowControl/>
              <w:spacing w:line="440" w:lineRule="exact"/>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1CA7AB">
            <w:pPr>
              <w:widowControl/>
              <w:spacing w:line="440" w:lineRule="exact"/>
              <w:contextualSpacing/>
              <w:jc w:val="center"/>
              <w:rPr>
                <w:rFonts w:ascii="宋体" w:hAnsi="宋体" w:cs="宋体"/>
                <w:color w:val="auto"/>
                <w:kern w:val="0"/>
                <w:sz w:val="24"/>
              </w:rPr>
            </w:pPr>
          </w:p>
        </w:tc>
      </w:tr>
      <w:tr w14:paraId="215EA48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73D7BA">
            <w:pPr>
              <w:widowControl/>
              <w:spacing w:line="440" w:lineRule="exact"/>
              <w:contextualSpacing/>
              <w:jc w:val="center"/>
              <w:rPr>
                <w:rFonts w:ascii="宋体" w:hAnsi="宋体" w:cs="宋体"/>
                <w:color w:val="auto"/>
                <w:kern w:val="0"/>
                <w:sz w:val="24"/>
              </w:rPr>
            </w:pPr>
            <w:r>
              <w:rPr>
                <w:rFonts w:hint="eastAsia" w:ascii="宋体" w:hAnsi="宋体" w:cs="宋体"/>
                <w:color w:val="auto"/>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B2AB87">
            <w:pPr>
              <w:widowControl/>
              <w:spacing w:line="440" w:lineRule="exact"/>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A9C92C">
            <w:pPr>
              <w:widowControl/>
              <w:spacing w:line="440" w:lineRule="exact"/>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B3FB8D8">
            <w:pPr>
              <w:widowControl/>
              <w:spacing w:line="440" w:lineRule="exact"/>
              <w:contextualSpacing/>
              <w:jc w:val="center"/>
              <w:rPr>
                <w:rFonts w:ascii="宋体" w:hAnsi="宋体" w:cs="宋体"/>
                <w:color w:val="auto"/>
                <w:kern w:val="0"/>
                <w:sz w:val="24"/>
              </w:rPr>
            </w:pPr>
          </w:p>
        </w:tc>
      </w:tr>
      <w:tr w14:paraId="00CCE6E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BFB928">
            <w:pPr>
              <w:widowControl/>
              <w:spacing w:line="440" w:lineRule="exact"/>
              <w:contextualSpacing/>
              <w:jc w:val="center"/>
              <w:rPr>
                <w:rFonts w:ascii="宋体" w:hAnsi="宋体" w:cs="宋体"/>
                <w:color w:val="auto"/>
                <w:kern w:val="0"/>
                <w:sz w:val="24"/>
              </w:rPr>
            </w:pPr>
            <w:r>
              <w:rPr>
                <w:rFonts w:hint="eastAsia" w:ascii="宋体" w:hAnsi="宋体" w:cs="宋体"/>
                <w:color w:val="auto"/>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A412F5">
            <w:pPr>
              <w:widowControl/>
              <w:spacing w:line="440" w:lineRule="exact"/>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3696F9">
            <w:pPr>
              <w:widowControl/>
              <w:spacing w:line="440" w:lineRule="exact"/>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0538DD">
            <w:pPr>
              <w:widowControl/>
              <w:spacing w:line="440" w:lineRule="exact"/>
              <w:contextualSpacing/>
              <w:jc w:val="center"/>
              <w:rPr>
                <w:rFonts w:ascii="宋体" w:hAnsi="宋体" w:cs="宋体"/>
                <w:color w:val="auto"/>
                <w:kern w:val="0"/>
                <w:sz w:val="24"/>
              </w:rPr>
            </w:pPr>
          </w:p>
        </w:tc>
      </w:tr>
    </w:tbl>
    <w:p w14:paraId="04A30C7A">
      <w:pPr>
        <w:spacing w:line="440" w:lineRule="exact"/>
        <w:contextualSpacing/>
        <w:jc w:val="left"/>
        <w:rPr>
          <w:rFonts w:ascii="宋体" w:hAnsi="宋体" w:cs="宋体"/>
          <w:color w:val="auto"/>
          <w:sz w:val="24"/>
        </w:rPr>
      </w:pPr>
      <w:r>
        <w:rPr>
          <w:rFonts w:hint="eastAsia" w:ascii="宋体" w:hAnsi="宋体" w:cs="宋体"/>
          <w:color w:val="auto"/>
          <w:sz w:val="24"/>
        </w:rPr>
        <w:t>注：</w:t>
      </w:r>
    </w:p>
    <w:p w14:paraId="71FE4A6B">
      <w:pPr>
        <w:spacing w:line="440" w:lineRule="exact"/>
        <w:ind w:firstLine="480" w:firstLineChars="200"/>
        <w:contextualSpacing/>
        <w:jc w:val="left"/>
        <w:rPr>
          <w:rFonts w:ascii="宋体" w:hAnsi="宋体" w:cs="宋体"/>
          <w:color w:val="auto"/>
          <w:sz w:val="24"/>
        </w:rPr>
      </w:pPr>
      <w:r>
        <w:rPr>
          <w:rFonts w:hint="eastAsia" w:ascii="宋体" w:hAnsi="宋体" w:cs="宋体"/>
          <w:color w:val="auto"/>
          <w:sz w:val="24"/>
        </w:rPr>
        <w:t>1.管理关系：是指不具有出资持股关系的其他单位之间存在的管理与被管理关系，如一些上下级关系的事业单位和团体组织。</w:t>
      </w:r>
    </w:p>
    <w:p w14:paraId="68BFCAEF">
      <w:pPr>
        <w:spacing w:line="440" w:lineRule="exact"/>
        <w:ind w:firstLine="480" w:firstLineChars="200"/>
        <w:contextualSpacing/>
        <w:jc w:val="left"/>
        <w:rPr>
          <w:rFonts w:ascii="宋体" w:hAnsi="宋体" w:cs="宋体"/>
          <w:color w:val="auto"/>
          <w:sz w:val="24"/>
        </w:rPr>
      </w:pPr>
      <w:r>
        <w:rPr>
          <w:rFonts w:hint="eastAsia" w:ascii="宋体" w:hAnsi="宋体" w:cs="宋体"/>
          <w:color w:val="auto"/>
          <w:sz w:val="24"/>
        </w:rPr>
        <w:t>2.</w:t>
      </w:r>
      <w:r>
        <w:rPr>
          <w:rFonts w:hint="eastAsia" w:ascii="宋体" w:hAnsi="宋体" w:cs="宋体"/>
          <w:color w:val="auto"/>
          <w:spacing w:val="-6"/>
          <w:sz w:val="24"/>
        </w:rPr>
        <w:t>本表所指的管理关系仅限于直接管理关系，不包括间接的管理关系。</w:t>
      </w:r>
    </w:p>
    <w:p w14:paraId="12F07ED7">
      <w:pPr>
        <w:spacing w:line="440" w:lineRule="exact"/>
        <w:ind w:firstLine="480" w:firstLineChars="200"/>
        <w:contextualSpacing/>
        <w:jc w:val="left"/>
        <w:rPr>
          <w:rFonts w:ascii="宋体" w:hAnsi="宋体" w:cs="宋体"/>
          <w:color w:val="auto"/>
          <w:sz w:val="28"/>
          <w:szCs w:val="28"/>
        </w:rPr>
      </w:pPr>
      <w:r>
        <w:rPr>
          <w:rFonts w:hint="eastAsia" w:ascii="宋体" w:hAnsi="宋体" w:cs="宋体"/>
          <w:color w:val="auto"/>
          <w:sz w:val="24"/>
        </w:rPr>
        <w:t>3.供应商不存在直接管理关系的，则在“直接管理关系单位名称”填“无”。</w:t>
      </w:r>
    </w:p>
    <w:p w14:paraId="2909D871">
      <w:pPr>
        <w:spacing w:line="440" w:lineRule="exact"/>
        <w:contextualSpacing/>
        <w:jc w:val="left"/>
        <w:rPr>
          <w:rFonts w:ascii="宋体" w:hAnsi="宋体" w:cs="宋体"/>
          <w:color w:val="auto"/>
          <w:sz w:val="28"/>
          <w:szCs w:val="28"/>
        </w:rPr>
      </w:pPr>
    </w:p>
    <w:p w14:paraId="7FDA72D9">
      <w:pPr>
        <w:spacing w:line="440" w:lineRule="exact"/>
        <w:ind w:right="480"/>
        <w:contextualSpacing/>
        <w:jc w:val="right"/>
        <w:rPr>
          <w:rFonts w:ascii="宋体" w:hAnsi="宋体" w:cs="宋体"/>
          <w:color w:val="auto"/>
          <w:sz w:val="24"/>
          <w:u w:val="single"/>
        </w:rPr>
      </w:pPr>
      <w:r>
        <w:rPr>
          <w:rFonts w:hint="eastAsia" w:ascii="宋体" w:hAnsi="宋体" w:cs="宋体"/>
          <w:color w:val="auto"/>
          <w:sz w:val="24"/>
        </w:rPr>
        <w:t>法定代表人或者委托代理人（签字或者电子签名）：</w:t>
      </w:r>
    </w:p>
    <w:p w14:paraId="69BF0DB8">
      <w:pPr>
        <w:spacing w:line="440" w:lineRule="exact"/>
        <w:ind w:right="480" w:firstLine="3360" w:firstLineChars="1400"/>
        <w:contextualSpacing/>
        <w:jc w:val="right"/>
        <w:rPr>
          <w:rFonts w:ascii="宋体" w:hAnsi="宋体" w:cs="宋体"/>
          <w:color w:val="auto"/>
          <w:sz w:val="24"/>
        </w:rPr>
      </w:pPr>
      <w:r>
        <w:rPr>
          <w:rFonts w:hint="eastAsia" w:ascii="宋体" w:hAnsi="宋体" w:cs="宋体"/>
          <w:color w:val="auto"/>
          <w:sz w:val="24"/>
        </w:rPr>
        <w:t>供应商（电子签章）：</w:t>
      </w:r>
    </w:p>
    <w:p w14:paraId="21D99D67">
      <w:pPr>
        <w:spacing w:line="440" w:lineRule="exact"/>
        <w:ind w:firstLine="480" w:firstLineChars="200"/>
        <w:contextualSpacing/>
        <w:jc w:val="right"/>
        <w:rPr>
          <w:rFonts w:ascii="宋体" w:hAnsi="宋体" w:cs="宋体"/>
          <w:color w:val="auto"/>
          <w:sz w:val="28"/>
          <w:szCs w:val="28"/>
        </w:rPr>
      </w:pPr>
      <w:r>
        <w:rPr>
          <w:rFonts w:hint="eastAsia" w:ascii="宋体" w:hAnsi="宋体" w:cs="宋体"/>
          <w:color w:val="auto"/>
          <w:sz w:val="24"/>
        </w:rPr>
        <w:t xml:space="preserve">                                        年    月    日</w:t>
      </w:r>
    </w:p>
    <w:p w14:paraId="0667F361">
      <w:pPr>
        <w:spacing w:line="440" w:lineRule="exact"/>
        <w:jc w:val="center"/>
        <w:rPr>
          <w:rFonts w:ascii="宋体" w:hAnsi="宋体" w:cs="宋体"/>
          <w:b/>
          <w:color w:val="auto"/>
          <w:sz w:val="32"/>
          <w:szCs w:val="32"/>
        </w:rPr>
      </w:pPr>
      <w:r>
        <w:rPr>
          <w:rFonts w:hint="eastAsia" w:ascii="宋体" w:hAnsi="宋体" w:cs="宋体"/>
          <w:color w:val="auto"/>
          <w:sz w:val="28"/>
          <w:szCs w:val="28"/>
        </w:rPr>
        <w:br w:type="page"/>
      </w:r>
      <w:r>
        <w:rPr>
          <w:rFonts w:hint="eastAsia" w:ascii="宋体" w:hAnsi="宋体" w:cs="宋体"/>
          <w:b/>
          <w:color w:val="auto"/>
          <w:sz w:val="32"/>
          <w:szCs w:val="32"/>
        </w:rPr>
        <w:t>竞标声明</w:t>
      </w:r>
    </w:p>
    <w:p w14:paraId="28AF04A5">
      <w:pPr>
        <w:spacing w:line="440" w:lineRule="exact"/>
        <w:jc w:val="center"/>
        <w:rPr>
          <w:rFonts w:ascii="宋体" w:hAnsi="宋体" w:cs="宋体"/>
          <w:color w:val="auto"/>
          <w:sz w:val="24"/>
          <w:szCs w:val="20"/>
        </w:rPr>
      </w:pPr>
    </w:p>
    <w:p w14:paraId="1CC2085A">
      <w:pPr>
        <w:spacing w:line="440" w:lineRule="exact"/>
        <w:contextualSpacing/>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14:paraId="30837D87">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p>
    <w:p w14:paraId="17FFD058">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（项目名称）（项目编号）</w:t>
      </w:r>
      <w:r>
        <w:rPr>
          <w:rFonts w:hint="eastAsia" w:ascii="宋体" w:hAnsi="宋体" w:cs="宋体"/>
          <w:color w:val="auto"/>
          <w:sz w:val="24"/>
        </w:rPr>
        <w:t>项目的竞标，为便于贵方公正、择优地确定成交供应商及其服务，我方就本次竞标有关事项郑重声明如下：</w:t>
      </w:r>
    </w:p>
    <w:p w14:paraId="140AB225">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1.我方向贵方提交的所有响应文件、资料都是准确的和真实的。</w:t>
      </w:r>
    </w:p>
    <w:p w14:paraId="71D47DA3">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2.我方不是为本次采购项目提供整体设计、规范编制或者项目管理、监理、检测等服务的供应商。</w:t>
      </w:r>
    </w:p>
    <w:p w14:paraId="7940BD0C">
      <w:pPr>
        <w:pStyle w:val="28"/>
        <w:spacing w:line="440" w:lineRule="exact"/>
        <w:ind w:firstLine="480" w:firstLineChars="200"/>
        <w:contextualSpacing/>
        <w:rPr>
          <w:rFonts w:hAnsi="宋体" w:cs="宋体"/>
          <w:color w:val="auto"/>
          <w:sz w:val="24"/>
          <w:szCs w:val="24"/>
        </w:rPr>
      </w:pPr>
      <w:r>
        <w:rPr>
          <w:rFonts w:hint="eastAsia" w:hAnsi="宋体" w:cs="宋体"/>
          <w:color w:val="auto"/>
          <w:sz w:val="24"/>
          <w:szCs w:val="24"/>
        </w:rPr>
        <w:t>3.我方参与本项目竞标的项目经理和总工未同时在其它项目任职。若我方中标（成交），我方保证标书上的项目经理和总工全程到位。</w:t>
      </w:r>
    </w:p>
    <w:p w14:paraId="343CAB21">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4.在此，我方宣布同意如下：</w:t>
      </w:r>
    </w:p>
    <w:p w14:paraId="0398B94A">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（1）将按磋商文件的约定履行合同责任和义务；</w:t>
      </w:r>
    </w:p>
    <w:p w14:paraId="34A7D0A0">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（2）已详细审查全部磋商文件，包括澄清或者更正公告（如有）；</w:t>
      </w:r>
    </w:p>
    <w:p w14:paraId="667CD70D">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（3）同意提供按照贵方可能要求的与磋商有关的一切数据或者资料；</w:t>
      </w:r>
    </w:p>
    <w:p w14:paraId="2CD26E48">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（4）响应磋商文件规定的竞标有效期。</w:t>
      </w:r>
    </w:p>
    <w:p w14:paraId="6EB3F3B0">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5.我方承诺符合《中华人民共和国政府采购法》第二十二条规定：</w:t>
      </w:r>
    </w:p>
    <w:p w14:paraId="53B62BE8">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（1）具有独立承担民事责任的能力；</w:t>
      </w:r>
    </w:p>
    <w:p w14:paraId="285A5B2D">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（2）具有良好的商业信誉和健全的财务会计制度；</w:t>
      </w:r>
    </w:p>
    <w:p w14:paraId="795E83CF">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（3）具有履行合同所必需的设备和专业技术能力；</w:t>
      </w:r>
    </w:p>
    <w:p w14:paraId="024E34DE">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（4）有依法缴纳税收和社会保障资金的良好记录；</w:t>
      </w:r>
    </w:p>
    <w:p w14:paraId="3F20DA61">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（5）参加政府采购活动前三年内，在经营活动中没有重大违法记录；</w:t>
      </w:r>
    </w:p>
    <w:p w14:paraId="086D0997">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（6）法律、行政法规规定的其他条件。</w:t>
      </w:r>
    </w:p>
    <w:p w14:paraId="6D9D51A4">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6.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A243941">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7.根据《中华人民共和国政府采购法实施条例》第五十条要求对政府采购合同进行公告，但政府采购合同中涉及国家秘密、商业秘密的内容除外。我方就对本次响应文件进行注明如下：（两项内容中必须选择一项）</w:t>
      </w:r>
    </w:p>
    <w:p w14:paraId="2EDD6741">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14:paraId="1809D6B9">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w:t>
      </w:r>
    </w:p>
    <w:p w14:paraId="370800D9">
      <w:pPr>
        <w:pStyle w:val="28"/>
        <w:spacing w:line="440" w:lineRule="exact"/>
        <w:ind w:firstLine="480" w:firstLineChars="200"/>
        <w:contextualSpacing/>
        <w:rPr>
          <w:rFonts w:hAnsi="宋体" w:cs="宋体"/>
          <w:color w:val="auto"/>
          <w:sz w:val="24"/>
          <w:szCs w:val="24"/>
          <w:u w:val="single"/>
        </w:rPr>
      </w:pPr>
      <w:r>
        <w:rPr>
          <w:rFonts w:hint="eastAsia" w:hAnsi="宋体" w:cs="宋体"/>
          <w:color w:val="auto"/>
          <w:sz w:val="24"/>
          <w:szCs w:val="24"/>
        </w:rPr>
        <w:t>8.与本磋商有关的一切正式往来信函请寄：邮政编号：</w:t>
      </w:r>
    </w:p>
    <w:p w14:paraId="35D6E9D3">
      <w:pPr>
        <w:pStyle w:val="28"/>
        <w:spacing w:line="440" w:lineRule="exact"/>
        <w:ind w:firstLine="480" w:firstLineChars="200"/>
        <w:contextualSpacing/>
        <w:rPr>
          <w:rFonts w:hAnsi="宋体" w:cs="宋体"/>
          <w:color w:val="auto"/>
          <w:sz w:val="24"/>
          <w:szCs w:val="24"/>
        </w:rPr>
      </w:pPr>
      <w:r>
        <w:rPr>
          <w:rFonts w:hint="eastAsia" w:hAnsi="宋体" w:cs="宋体"/>
          <w:color w:val="auto"/>
          <w:sz w:val="24"/>
          <w:szCs w:val="24"/>
        </w:rPr>
        <w:t>电话/传真： 电子邮箱：</w:t>
      </w:r>
    </w:p>
    <w:p w14:paraId="187B27C3">
      <w:pPr>
        <w:pStyle w:val="24"/>
        <w:tabs>
          <w:tab w:val="left" w:pos="939"/>
        </w:tabs>
        <w:spacing w:line="440" w:lineRule="exact"/>
        <w:ind w:left="141" w:leftChars="67" w:firstLine="360" w:firstLineChars="150"/>
        <w:rPr>
          <w:rFonts w:ascii="宋体" w:hAnsi="宋体" w:cs="宋体"/>
          <w:color w:val="auto"/>
          <w:sz w:val="24"/>
        </w:rPr>
      </w:pPr>
      <w:r>
        <w:rPr>
          <w:rFonts w:hint="eastAsia" w:ascii="宋体" w:hAnsi="宋体" w:cs="宋体"/>
          <w:color w:val="auto"/>
          <w:sz w:val="24"/>
        </w:rPr>
        <w:t>开户银行：  账号：</w:t>
      </w:r>
    </w:p>
    <w:p w14:paraId="5212C543">
      <w:pPr>
        <w:pStyle w:val="24"/>
        <w:tabs>
          <w:tab w:val="left" w:pos="939"/>
        </w:tabs>
        <w:spacing w:line="440" w:lineRule="exact"/>
        <w:ind w:left="0" w:leftChars="0" w:firstLine="480" w:firstLineChars="200"/>
        <w:rPr>
          <w:rFonts w:ascii="宋体" w:hAnsi="宋体" w:cs="宋体"/>
          <w:color w:val="auto"/>
          <w:sz w:val="24"/>
        </w:rPr>
      </w:pPr>
      <w:r>
        <w:rPr>
          <w:rFonts w:hint="eastAsia" w:ascii="宋体" w:hAnsi="宋体" w:cs="宋体"/>
          <w:color w:val="auto"/>
          <w:sz w:val="24"/>
        </w:rPr>
        <w:t>9.以上事项如有虚假或者隐瞒，我方愿意承担一切后果，并不再寻求任何旨在减轻或者免除法律责任的辩解。</w:t>
      </w:r>
    </w:p>
    <w:p w14:paraId="369C7956">
      <w:pPr>
        <w:pStyle w:val="24"/>
        <w:tabs>
          <w:tab w:val="left" w:pos="939"/>
        </w:tabs>
        <w:spacing w:line="440" w:lineRule="exact"/>
        <w:ind w:left="141" w:leftChars="67" w:firstLine="360" w:firstLineChars="150"/>
        <w:rPr>
          <w:rFonts w:ascii="宋体" w:hAnsi="宋体" w:cs="宋体"/>
          <w:color w:val="auto"/>
          <w:sz w:val="24"/>
        </w:rPr>
      </w:pPr>
      <w:r>
        <w:rPr>
          <w:rFonts w:hint="eastAsia" w:ascii="宋体" w:hAnsi="宋体" w:cs="宋体"/>
          <w:color w:val="auto"/>
          <w:sz w:val="24"/>
        </w:rPr>
        <w:t>特此承诺。</w:t>
      </w:r>
    </w:p>
    <w:p w14:paraId="7945EA07">
      <w:pPr>
        <w:spacing w:line="440" w:lineRule="exact"/>
        <w:ind w:firstLine="482" w:firstLineChars="200"/>
        <w:contextualSpacing/>
        <w:jc w:val="left"/>
        <w:rPr>
          <w:rFonts w:ascii="宋体" w:hAnsi="宋体" w:cs="宋体"/>
          <w:b/>
          <w:color w:val="auto"/>
          <w:sz w:val="24"/>
        </w:rPr>
      </w:pPr>
      <w:r>
        <w:rPr>
          <w:rFonts w:hint="eastAsia" w:ascii="宋体" w:hAnsi="宋体" w:cs="宋体"/>
          <w:b/>
          <w:color w:val="auto"/>
          <w:sz w:val="24"/>
        </w:rPr>
        <w:t>注：如为联合体竞标，盖章处须加盖联合体牵头人电子签章并由联合体牵头人法定代表人分别签字或者盖章或者电子签名，否则响应文件按无效处理。</w:t>
      </w:r>
    </w:p>
    <w:p w14:paraId="56553501">
      <w:pPr>
        <w:spacing w:line="440" w:lineRule="exact"/>
        <w:contextualSpacing/>
        <w:jc w:val="left"/>
        <w:rPr>
          <w:rFonts w:ascii="宋体" w:hAnsi="宋体" w:cs="宋体"/>
          <w:color w:val="auto"/>
          <w:szCs w:val="21"/>
        </w:rPr>
      </w:pPr>
    </w:p>
    <w:p w14:paraId="102CE5CE">
      <w:pPr>
        <w:spacing w:line="440" w:lineRule="exact"/>
        <w:ind w:firstLine="1800" w:firstLineChars="750"/>
        <w:contextualSpacing/>
        <w:rPr>
          <w:rFonts w:ascii="宋体" w:hAnsi="宋体" w:cs="宋体"/>
          <w:color w:val="auto"/>
          <w:sz w:val="24"/>
          <w:szCs w:val="24"/>
        </w:rPr>
      </w:pPr>
      <w:r>
        <w:rPr>
          <w:rFonts w:hint="eastAsia" w:ascii="宋体" w:hAnsi="宋体" w:cs="宋体"/>
          <w:color w:val="auto"/>
          <w:sz w:val="24"/>
          <w:szCs w:val="24"/>
        </w:rPr>
        <w:t>法定代表人（签字或者盖章或者电子签名）：</w:t>
      </w:r>
    </w:p>
    <w:p w14:paraId="1E973591">
      <w:pPr>
        <w:spacing w:line="440" w:lineRule="exact"/>
        <w:ind w:firstLine="4320" w:firstLineChars="1800"/>
        <w:contextualSpacing/>
        <w:rPr>
          <w:rFonts w:ascii="宋体" w:hAnsi="宋体" w:cs="宋体"/>
          <w:color w:val="auto"/>
          <w:sz w:val="24"/>
          <w:szCs w:val="24"/>
          <w:u w:val="single"/>
        </w:rPr>
      </w:pPr>
      <w:r>
        <w:rPr>
          <w:rFonts w:hint="eastAsia" w:ascii="宋体" w:hAnsi="宋体" w:cs="宋体"/>
          <w:color w:val="auto"/>
          <w:sz w:val="24"/>
          <w:szCs w:val="24"/>
        </w:rPr>
        <w:t>供应商（电子签章）：</w:t>
      </w:r>
    </w:p>
    <w:p w14:paraId="0ECB62C4">
      <w:pPr>
        <w:pStyle w:val="24"/>
        <w:tabs>
          <w:tab w:val="left" w:pos="939"/>
        </w:tabs>
        <w:spacing w:line="440" w:lineRule="exact"/>
        <w:ind w:left="899" w:leftChars="428" w:firstLine="4080" w:firstLineChars="1700"/>
        <w:rPr>
          <w:rFonts w:ascii="宋体" w:hAnsi="宋体" w:cs="宋体"/>
          <w:color w:val="auto"/>
          <w:sz w:val="24"/>
          <w:szCs w:val="24"/>
        </w:rPr>
      </w:pP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w:t>
      </w:r>
    </w:p>
    <w:p w14:paraId="0A26F152">
      <w:pPr>
        <w:spacing w:line="440" w:lineRule="exact"/>
        <w:ind w:firstLine="240" w:firstLineChars="100"/>
        <w:contextualSpacing/>
        <w:jc w:val="left"/>
        <w:rPr>
          <w:rFonts w:ascii="宋体" w:hAnsi="宋体" w:cs="宋体"/>
          <w:strike/>
          <w:color w:val="auto"/>
          <w:sz w:val="24"/>
          <w:szCs w:val="24"/>
        </w:rPr>
      </w:pPr>
      <w:r>
        <w:rPr>
          <w:rFonts w:hint="eastAsia" w:ascii="宋体" w:hAnsi="宋体" w:cs="宋体"/>
          <w:color w:val="auto"/>
          <w:sz w:val="24"/>
          <w:szCs w:val="24"/>
        </w:rPr>
        <w:br w:type="page"/>
      </w:r>
    </w:p>
    <w:p w14:paraId="4D113BD0">
      <w:pPr>
        <w:spacing w:line="440" w:lineRule="exact"/>
        <w:jc w:val="center"/>
        <w:rPr>
          <w:rFonts w:ascii="宋体" w:hAnsi="宋体" w:cs="宋体"/>
          <w:b/>
          <w:bCs/>
          <w:color w:val="auto"/>
          <w:sz w:val="28"/>
          <w:szCs w:val="28"/>
        </w:rPr>
      </w:pPr>
      <w:r>
        <w:rPr>
          <w:rFonts w:hint="eastAsia" w:ascii="宋体" w:hAnsi="宋体" w:cs="宋体"/>
          <w:b/>
          <w:bCs/>
          <w:color w:val="auto"/>
          <w:sz w:val="32"/>
          <w:szCs w:val="32"/>
        </w:rPr>
        <w:t>中小企业声明函（工程）</w:t>
      </w:r>
    </w:p>
    <w:p w14:paraId="04CC9ABE">
      <w:pPr>
        <w:spacing w:before="2" w:line="440" w:lineRule="exact"/>
        <w:ind w:firstLine="944" w:firstLineChars="294"/>
        <w:rPr>
          <w:rFonts w:ascii="宋体" w:hAnsi="宋体" w:cs="宋体"/>
          <w:b/>
          <w:bCs/>
          <w:color w:val="auto"/>
          <w:sz w:val="32"/>
          <w:szCs w:val="32"/>
        </w:rPr>
      </w:pPr>
    </w:p>
    <w:p w14:paraId="1D0EEBD5">
      <w:pPr>
        <w:pStyle w:val="21"/>
        <w:spacing w:line="440" w:lineRule="exact"/>
        <w:ind w:right="142" w:firstLine="705" w:firstLineChars="294"/>
        <w:rPr>
          <w:rFonts w:ascii="宋体" w:hAnsi="宋体" w:cs="宋体"/>
          <w:color w:val="auto"/>
          <w:sz w:val="24"/>
        </w:rPr>
      </w:pPr>
      <w:r>
        <w:rPr>
          <w:rFonts w:hint="eastAsia" w:ascii="宋体" w:hAnsi="宋体" w:cs="宋体"/>
          <w:color w:val="auto"/>
          <w:sz w:val="24"/>
        </w:rPr>
        <w:t>本公司（联合体）郑重声明，根据《政府采购促进中小企业发展管理办法》（财库﹝2020﹞46号）的规定，本公司（联合体）参加</w:t>
      </w:r>
      <w:r>
        <w:rPr>
          <w:rFonts w:hint="eastAsia" w:ascii="宋体" w:hAnsi="宋体" w:cs="宋体"/>
          <w:color w:val="auto"/>
          <w:sz w:val="24"/>
          <w:u w:val="single"/>
        </w:rPr>
        <w:t>（单位名称）</w:t>
      </w:r>
      <w:r>
        <w:rPr>
          <w:rFonts w:hint="eastAsia" w:ascii="宋体" w:hAnsi="宋体" w:cs="宋体"/>
          <w:color w:val="auto"/>
          <w:sz w:val="24"/>
        </w:rPr>
        <w:t>的</w:t>
      </w:r>
      <w:r>
        <w:rPr>
          <w:rFonts w:hint="eastAsia" w:ascii="宋体" w:hAnsi="宋体" w:cs="宋体"/>
          <w:color w:val="auto"/>
          <w:sz w:val="24"/>
          <w:u w:val="single"/>
        </w:rPr>
        <w:t>（项目名称）</w:t>
      </w:r>
      <w:r>
        <w:rPr>
          <w:rFonts w:hint="eastAsia" w:ascii="宋体" w:hAnsi="宋体" w:cs="宋体"/>
          <w:color w:val="auto"/>
          <w:sz w:val="24"/>
        </w:rPr>
        <w:t>采购活动，工程的施工单位全部为符合政策要求的中小企业。相关企业（含联合体中的中小企业、签订分包意向协议的中小企业）的具体情况如下：</w:t>
      </w:r>
    </w:p>
    <w:p w14:paraId="1E6BE976">
      <w:pPr>
        <w:tabs>
          <w:tab w:val="left" w:pos="1384"/>
          <w:tab w:val="left" w:pos="4562"/>
          <w:tab w:val="left" w:pos="6803"/>
        </w:tabs>
        <w:spacing w:before="13" w:line="440" w:lineRule="exact"/>
        <w:ind w:right="142" w:firstLine="772" w:firstLineChars="322"/>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；承建企业为</w:t>
      </w:r>
      <w:r>
        <w:rPr>
          <w:rFonts w:hint="eastAsia" w:ascii="宋体" w:hAnsi="宋体" w:cs="宋体"/>
          <w:color w:val="auto"/>
          <w:sz w:val="24"/>
          <w:u w:val="single"/>
        </w:rPr>
        <w:t>（企业名称）</w:t>
      </w:r>
      <w:r>
        <w:rPr>
          <w:rFonts w:hint="eastAsia" w:ascii="宋体" w:hAnsi="宋体" w:cs="宋体"/>
          <w:color w:val="auto"/>
          <w:sz w:val="24"/>
        </w:rPr>
        <w:t>，从业人员人，营业收入为万元，资产总额为万元，属于</w:t>
      </w:r>
      <w:r>
        <w:rPr>
          <w:rFonts w:hint="eastAsia" w:ascii="宋体" w:hAnsi="宋体" w:cs="宋体"/>
          <w:color w:val="auto"/>
          <w:sz w:val="24"/>
          <w:u w:val="single"/>
        </w:rPr>
        <w:t>（中型企业、小型企业、微型企业）</w:t>
      </w:r>
      <w:r>
        <w:rPr>
          <w:rFonts w:hint="eastAsia" w:ascii="宋体" w:hAnsi="宋体" w:cs="宋体"/>
          <w:color w:val="auto"/>
          <w:sz w:val="24"/>
        </w:rPr>
        <w:t>；</w:t>
      </w:r>
    </w:p>
    <w:p w14:paraId="18494257">
      <w:pPr>
        <w:tabs>
          <w:tab w:val="left" w:pos="1065"/>
          <w:tab w:val="left" w:pos="4262"/>
          <w:tab w:val="left" w:pos="6477"/>
        </w:tabs>
        <w:spacing w:before="20" w:line="440" w:lineRule="exact"/>
        <w:ind w:right="84" w:firstLine="772" w:firstLineChars="322"/>
        <w:rPr>
          <w:rFonts w:ascii="宋体" w:hAnsi="宋体" w:cs="宋体"/>
          <w:color w:val="auto"/>
          <w:sz w:val="24"/>
          <w:u w:val="single"/>
        </w:rPr>
      </w:pPr>
      <w:r>
        <w:rPr>
          <w:rFonts w:hint="eastAsia" w:ascii="宋体" w:hAnsi="宋体" w:cs="宋体"/>
          <w:color w:val="auto"/>
          <w:sz w:val="24"/>
        </w:rPr>
        <w:t>2.</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；承建企业为</w:t>
      </w:r>
      <w:r>
        <w:rPr>
          <w:rFonts w:hint="eastAsia" w:ascii="宋体" w:hAnsi="宋体" w:cs="宋体"/>
          <w:color w:val="auto"/>
          <w:sz w:val="24"/>
          <w:u w:val="single"/>
        </w:rPr>
        <w:t>（企业名称）</w:t>
      </w:r>
      <w:r>
        <w:rPr>
          <w:rFonts w:hint="eastAsia" w:ascii="宋体" w:hAnsi="宋体" w:cs="宋体"/>
          <w:color w:val="auto"/>
          <w:sz w:val="24"/>
        </w:rPr>
        <w:t>，从业人员人，营业收入为万元，资产总额为万元，属于</w:t>
      </w:r>
      <w:r>
        <w:rPr>
          <w:rFonts w:hint="eastAsia" w:ascii="宋体" w:hAnsi="宋体" w:cs="宋体"/>
          <w:color w:val="auto"/>
          <w:sz w:val="24"/>
          <w:u w:val="single"/>
        </w:rPr>
        <w:t>（中型企业、小型企业、微型企业）</w:t>
      </w:r>
      <w:r>
        <w:rPr>
          <w:rFonts w:hint="eastAsia" w:ascii="宋体" w:hAnsi="宋体" w:cs="宋体"/>
          <w:color w:val="auto"/>
          <w:sz w:val="24"/>
        </w:rPr>
        <w:t>；</w:t>
      </w:r>
    </w:p>
    <w:p w14:paraId="3068F07E">
      <w:pPr>
        <w:pStyle w:val="21"/>
        <w:spacing w:before="34" w:line="440" w:lineRule="exact"/>
        <w:ind w:right="142" w:firstLine="705" w:firstLineChars="294"/>
        <w:rPr>
          <w:rFonts w:ascii="宋体" w:hAnsi="宋体" w:cs="宋体"/>
          <w:color w:val="auto"/>
          <w:sz w:val="24"/>
        </w:rPr>
      </w:pPr>
      <w:r>
        <w:rPr>
          <w:rFonts w:hint="eastAsia" w:ascii="宋体" w:hAnsi="宋体" w:cs="宋体"/>
          <w:color w:val="auto"/>
          <w:sz w:val="24"/>
        </w:rPr>
        <w:t xml:space="preserve">…… </w:t>
      </w:r>
    </w:p>
    <w:p w14:paraId="5556479D">
      <w:pPr>
        <w:pStyle w:val="21"/>
        <w:spacing w:before="34" w:line="440" w:lineRule="exact"/>
        <w:ind w:right="142" w:firstLine="705" w:firstLineChars="294"/>
        <w:rPr>
          <w:rFonts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14:paraId="4261FCFD">
      <w:pPr>
        <w:pStyle w:val="21"/>
        <w:spacing w:before="25" w:line="440" w:lineRule="exact"/>
        <w:ind w:right="142" w:firstLine="705" w:firstLineChars="294"/>
        <w:rPr>
          <w:rFonts w:ascii="宋体" w:hAnsi="宋体" w:cs="宋体"/>
          <w:color w:val="auto"/>
          <w:sz w:val="24"/>
        </w:rPr>
      </w:pPr>
      <w:r>
        <w:rPr>
          <w:rFonts w:hint="eastAsia" w:ascii="宋体" w:hAnsi="宋体" w:cs="宋体"/>
          <w:color w:val="auto"/>
          <w:sz w:val="24"/>
        </w:rPr>
        <w:t>本企业对上述声明内容的真实性负责。如有虚假，将依法承担相应责任。</w:t>
      </w:r>
    </w:p>
    <w:p w14:paraId="2E6244CF">
      <w:pPr>
        <w:pStyle w:val="21"/>
        <w:spacing w:before="56" w:line="440" w:lineRule="exact"/>
        <w:ind w:right="1808" w:firstLine="705" w:firstLineChars="294"/>
        <w:rPr>
          <w:rFonts w:ascii="宋体" w:hAnsi="宋体" w:cs="宋体"/>
          <w:color w:val="auto"/>
          <w:sz w:val="24"/>
        </w:rPr>
      </w:pPr>
    </w:p>
    <w:p w14:paraId="50561A11">
      <w:pPr>
        <w:pStyle w:val="21"/>
        <w:spacing w:before="56" w:line="440" w:lineRule="exact"/>
        <w:ind w:right="650" w:firstLine="5625" w:firstLineChars="2344"/>
        <w:rPr>
          <w:rFonts w:ascii="宋体" w:hAnsi="宋体" w:cs="宋体"/>
          <w:color w:val="auto"/>
          <w:sz w:val="24"/>
        </w:rPr>
      </w:pPr>
      <w:r>
        <w:rPr>
          <w:rFonts w:hint="eastAsia" w:ascii="宋体" w:hAnsi="宋体" w:cs="宋体"/>
          <w:color w:val="auto"/>
          <w:sz w:val="24"/>
        </w:rPr>
        <w:t xml:space="preserve">企业名称（章）： </w:t>
      </w:r>
    </w:p>
    <w:p w14:paraId="6B9778CD">
      <w:pPr>
        <w:pStyle w:val="21"/>
        <w:spacing w:before="56" w:line="440" w:lineRule="exact"/>
        <w:ind w:right="1808" w:firstLine="5625" w:firstLineChars="2344"/>
        <w:rPr>
          <w:rFonts w:ascii="宋体" w:hAnsi="宋体" w:cs="宋体"/>
          <w:color w:val="auto"/>
          <w:sz w:val="24"/>
        </w:rPr>
      </w:pPr>
      <w:r>
        <w:rPr>
          <w:rFonts w:hint="eastAsia" w:ascii="宋体" w:hAnsi="宋体" w:cs="宋体"/>
          <w:color w:val="auto"/>
          <w:sz w:val="24"/>
        </w:rPr>
        <w:t>日 期：</w:t>
      </w:r>
    </w:p>
    <w:p w14:paraId="659C4C40">
      <w:pPr>
        <w:spacing w:line="440" w:lineRule="exact"/>
        <w:jc w:val="left"/>
        <w:rPr>
          <w:rFonts w:ascii="宋体" w:hAnsi="宋体" w:cs="宋体"/>
          <w:color w:val="auto"/>
          <w:sz w:val="24"/>
        </w:rPr>
      </w:pPr>
      <w:r>
        <w:rPr>
          <w:rFonts w:hint="eastAsia" w:ascii="宋体" w:hAnsi="宋体" w:cs="宋体"/>
          <w:color w:val="auto"/>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AD31625">
      <w:pPr>
        <w:spacing w:line="440" w:lineRule="exact"/>
        <w:jc w:val="center"/>
        <w:rPr>
          <w:rFonts w:ascii="宋体" w:hAnsi="宋体" w:cs="宋体"/>
          <w:b/>
          <w:bCs/>
          <w:color w:val="auto"/>
          <w:sz w:val="32"/>
          <w:szCs w:val="32"/>
        </w:rPr>
      </w:pPr>
      <w:r>
        <w:rPr>
          <w:rFonts w:hint="eastAsia" w:ascii="宋体" w:hAnsi="宋体" w:cs="宋体"/>
          <w:color w:val="auto"/>
          <w:sz w:val="24"/>
        </w:rPr>
        <w:br w:type="page"/>
      </w:r>
      <w:r>
        <w:rPr>
          <w:rFonts w:hint="eastAsia" w:ascii="宋体" w:hAnsi="宋体" w:cs="宋体"/>
          <w:b/>
          <w:bCs/>
          <w:color w:val="auto"/>
          <w:sz w:val="32"/>
          <w:szCs w:val="32"/>
        </w:rPr>
        <w:t>残疾人福利性单位声明函</w:t>
      </w:r>
    </w:p>
    <w:p w14:paraId="715B3448">
      <w:pPr>
        <w:spacing w:line="440" w:lineRule="exact"/>
        <w:contextualSpacing/>
        <w:rPr>
          <w:rFonts w:ascii="宋体" w:hAnsi="宋体" w:cs="宋体"/>
          <w:b/>
          <w:bCs/>
          <w:color w:val="auto"/>
          <w:sz w:val="32"/>
          <w:szCs w:val="32"/>
        </w:rPr>
      </w:pPr>
    </w:p>
    <w:p w14:paraId="0D12ADE8">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2B4948D">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本单位对上述声明的真实性负责。如有虚假，将依法承担相应责任。</w:t>
      </w:r>
    </w:p>
    <w:p w14:paraId="7F2492F0">
      <w:pPr>
        <w:spacing w:line="440" w:lineRule="exact"/>
        <w:contextualSpacing/>
        <w:rPr>
          <w:rFonts w:ascii="宋体" w:hAnsi="宋体" w:cs="宋体"/>
          <w:color w:val="auto"/>
          <w:sz w:val="24"/>
        </w:rPr>
      </w:pPr>
    </w:p>
    <w:p w14:paraId="2B4E8103">
      <w:pPr>
        <w:spacing w:line="440" w:lineRule="exact"/>
        <w:contextualSpacing/>
        <w:rPr>
          <w:rFonts w:ascii="宋体" w:hAnsi="宋体" w:cs="宋体"/>
          <w:color w:val="auto"/>
          <w:sz w:val="24"/>
        </w:rPr>
      </w:pPr>
    </w:p>
    <w:p w14:paraId="4F5B3F37">
      <w:pPr>
        <w:spacing w:line="440" w:lineRule="exact"/>
        <w:contextualSpacing/>
        <w:rPr>
          <w:rFonts w:ascii="宋体" w:hAnsi="宋体" w:cs="宋体"/>
          <w:color w:val="auto"/>
          <w:sz w:val="24"/>
        </w:rPr>
      </w:pPr>
    </w:p>
    <w:p w14:paraId="574CD329">
      <w:pPr>
        <w:spacing w:line="440" w:lineRule="exact"/>
        <w:ind w:firstLine="2400" w:firstLineChars="1000"/>
        <w:contextualSpacing/>
        <w:rPr>
          <w:rFonts w:ascii="宋体" w:hAnsi="宋体" w:cs="宋体"/>
          <w:color w:val="auto"/>
          <w:sz w:val="24"/>
        </w:rPr>
      </w:pPr>
      <w:r>
        <w:rPr>
          <w:rFonts w:hint="eastAsia" w:ascii="宋体" w:hAnsi="宋体" w:cs="宋体"/>
          <w:color w:val="auto"/>
          <w:sz w:val="24"/>
        </w:rPr>
        <w:t>单位名称（盖章）：</w:t>
      </w:r>
    </w:p>
    <w:p w14:paraId="1E65F1A4">
      <w:pPr>
        <w:spacing w:line="440" w:lineRule="exact"/>
        <w:ind w:firstLine="3600" w:firstLineChars="1500"/>
        <w:contextualSpacing/>
        <w:rPr>
          <w:rFonts w:ascii="宋体" w:hAnsi="宋体" w:cs="宋体"/>
          <w:color w:val="auto"/>
          <w:sz w:val="24"/>
        </w:rPr>
      </w:pPr>
      <w:r>
        <w:rPr>
          <w:rFonts w:hint="eastAsia" w:ascii="宋体" w:hAnsi="宋体" w:cs="宋体"/>
          <w:color w:val="auto"/>
          <w:sz w:val="24"/>
        </w:rPr>
        <w:t>日  期：</w:t>
      </w:r>
    </w:p>
    <w:p w14:paraId="3C754986">
      <w:pPr>
        <w:spacing w:line="440" w:lineRule="exact"/>
        <w:contextualSpacing/>
        <w:rPr>
          <w:rFonts w:ascii="宋体" w:hAnsi="宋体" w:cs="宋体"/>
          <w:color w:val="auto"/>
          <w:sz w:val="24"/>
        </w:rPr>
      </w:pPr>
    </w:p>
    <w:p w14:paraId="32260D28">
      <w:pPr>
        <w:spacing w:line="440" w:lineRule="exact"/>
        <w:contextualSpacing/>
        <w:rPr>
          <w:rFonts w:ascii="宋体" w:hAnsi="宋体" w:cs="宋体"/>
          <w:color w:val="auto"/>
          <w:sz w:val="24"/>
        </w:rPr>
      </w:pPr>
    </w:p>
    <w:p w14:paraId="0EA025C3">
      <w:pPr>
        <w:spacing w:line="440" w:lineRule="exact"/>
        <w:contextualSpacing/>
        <w:rPr>
          <w:rFonts w:ascii="宋体" w:hAnsi="宋体" w:cs="宋体"/>
          <w:color w:val="auto"/>
          <w:sz w:val="24"/>
        </w:rPr>
      </w:pPr>
    </w:p>
    <w:p w14:paraId="0270AD72">
      <w:pPr>
        <w:spacing w:line="440" w:lineRule="exact"/>
        <w:ind w:firstLine="240" w:firstLineChars="100"/>
        <w:contextualSpacing/>
        <w:jc w:val="left"/>
        <w:rPr>
          <w:rFonts w:ascii="宋体" w:hAnsi="宋体" w:cs="宋体"/>
          <w:color w:val="auto"/>
          <w:sz w:val="24"/>
        </w:rPr>
      </w:pPr>
      <w:r>
        <w:rPr>
          <w:rFonts w:hint="eastAsia" w:ascii="宋体" w:hAnsi="宋体" w:cs="宋体"/>
          <w:color w:val="auto"/>
          <w:sz w:val="24"/>
        </w:rPr>
        <w:t>注：请根据自己的真实情况出具《残疾人福利性单位声明函》。依法享受中小企业优惠政策的，采购人或者采购代理机构在公告成交结果时，同时公告其《残疾人福利性单位声明函》，接受社会监督。</w:t>
      </w:r>
    </w:p>
    <w:p w14:paraId="06E0A3B4">
      <w:pPr>
        <w:spacing w:line="440" w:lineRule="exact"/>
        <w:ind w:firstLine="240" w:firstLineChars="100"/>
        <w:contextualSpacing/>
        <w:jc w:val="left"/>
        <w:rPr>
          <w:rFonts w:ascii="宋体" w:hAnsi="宋体" w:cs="宋体"/>
          <w:color w:val="auto"/>
          <w:sz w:val="24"/>
        </w:rPr>
      </w:pPr>
    </w:p>
    <w:p w14:paraId="0C57CB64">
      <w:pPr>
        <w:spacing w:line="440" w:lineRule="exact"/>
        <w:ind w:firstLine="240" w:firstLineChars="100"/>
        <w:contextualSpacing/>
        <w:jc w:val="left"/>
        <w:rPr>
          <w:rFonts w:ascii="宋体" w:hAnsi="宋体" w:cs="宋体"/>
          <w:color w:val="auto"/>
          <w:sz w:val="24"/>
        </w:rPr>
      </w:pPr>
    </w:p>
    <w:p w14:paraId="5FA25F26">
      <w:pPr>
        <w:spacing w:line="440" w:lineRule="exact"/>
        <w:ind w:firstLine="240" w:firstLineChars="100"/>
        <w:contextualSpacing/>
        <w:jc w:val="left"/>
        <w:rPr>
          <w:rFonts w:ascii="宋体" w:hAnsi="宋体" w:cs="宋体"/>
          <w:color w:val="auto"/>
          <w:sz w:val="24"/>
        </w:rPr>
      </w:pPr>
    </w:p>
    <w:p w14:paraId="11A5403A">
      <w:pPr>
        <w:jc w:val="left"/>
        <w:rPr>
          <w:rFonts w:hint="eastAsia" w:ascii="宋体" w:hAnsi="宋体" w:cs="宋体"/>
          <w:b/>
          <w:bCs/>
          <w:color w:val="auto"/>
          <w:sz w:val="32"/>
          <w:szCs w:val="32"/>
        </w:rPr>
      </w:pPr>
      <w:bookmarkStart w:id="92" w:name="_Toc4633"/>
      <w:r>
        <w:rPr>
          <w:rFonts w:hint="eastAsia" w:ascii="宋体" w:hAnsi="宋体" w:cs="宋体"/>
          <w:b/>
          <w:bCs/>
          <w:color w:val="auto"/>
          <w:sz w:val="32"/>
          <w:szCs w:val="32"/>
        </w:rPr>
        <w:br w:type="page"/>
      </w:r>
    </w:p>
    <w:p w14:paraId="0B75F362">
      <w:pPr>
        <w:pStyle w:val="284"/>
        <w:spacing w:line="360" w:lineRule="auto"/>
        <w:jc w:val="center"/>
        <w:rPr>
          <w:rStyle w:val="49"/>
          <w:rFonts w:hint="eastAsia" w:ascii="宋体" w:hAnsi="宋体" w:eastAsia="宋体" w:cs="宋体"/>
          <w:b/>
          <w:color w:val="auto"/>
          <w:sz w:val="32"/>
          <w:highlight w:val="none"/>
        </w:rPr>
      </w:pPr>
      <w:r>
        <w:rPr>
          <w:rStyle w:val="49"/>
          <w:rFonts w:hint="eastAsia" w:ascii="宋体" w:hAnsi="宋体" w:eastAsia="宋体" w:cs="宋体"/>
          <w:b/>
          <w:color w:val="auto"/>
          <w:sz w:val="32"/>
          <w:highlight w:val="none"/>
        </w:rPr>
        <w:t xml:space="preserve"> 项目经理、项目总工到岗任职承诺书</w:t>
      </w:r>
    </w:p>
    <w:p w14:paraId="72A21FEA">
      <w:pPr>
        <w:pStyle w:val="284"/>
        <w:jc w:val="center"/>
        <w:rPr>
          <w:rStyle w:val="49"/>
          <w:rFonts w:ascii="黑体" w:hAnsi="黑体" w:eastAsia="黑体" w:cs="黑体"/>
          <w:b/>
          <w:color w:val="auto"/>
          <w:sz w:val="32"/>
        </w:rPr>
      </w:pPr>
    </w:p>
    <w:p w14:paraId="386CCEDE">
      <w:pPr>
        <w:pStyle w:val="284"/>
        <w:jc w:val="left"/>
        <w:rPr>
          <w:rStyle w:val="49"/>
          <w:rFonts w:hint="eastAsia" w:ascii="Calibri" w:hAnsi="Calibri" w:eastAsia="宋体" w:cs="Times New Roman"/>
          <w:bCs/>
          <w:color w:val="auto"/>
          <w:szCs w:val="21"/>
        </w:rPr>
      </w:pPr>
      <w:r>
        <w:rPr>
          <w:rStyle w:val="49"/>
          <w:rFonts w:hint="eastAsia" w:ascii="Calibri" w:hAnsi="Calibri" w:eastAsia="宋体" w:cs="Times New Roman"/>
          <w:bCs/>
          <w:color w:val="auto"/>
          <w:szCs w:val="21"/>
        </w:rPr>
        <w:t>（注：本承诺书适用于项目经理、项目总工</w:t>
      </w:r>
      <w:r>
        <w:rPr>
          <w:rStyle w:val="49"/>
          <w:rFonts w:hint="eastAsia" w:ascii="Calibri" w:hAnsi="Calibri" w:eastAsia="宋体" w:cs="Times New Roman"/>
          <w:bCs/>
          <w:color w:val="auto"/>
          <w:szCs w:val="21"/>
          <w:lang w:bidi="ar"/>
        </w:rPr>
        <w:t>在其他项目上任职但本项目</w:t>
      </w:r>
      <w:r>
        <w:rPr>
          <w:rStyle w:val="49"/>
          <w:rFonts w:hint="eastAsia" w:cs="Times New Roman"/>
          <w:bCs/>
          <w:color w:val="auto"/>
          <w:szCs w:val="21"/>
          <w:lang w:eastAsia="zh-CN" w:bidi="ar"/>
        </w:rPr>
        <w:t>成交</w:t>
      </w:r>
      <w:r>
        <w:rPr>
          <w:rStyle w:val="49"/>
          <w:rFonts w:hint="eastAsia" w:ascii="Calibri" w:hAnsi="Calibri" w:eastAsia="宋体" w:cs="Times New Roman"/>
          <w:bCs/>
          <w:color w:val="auto"/>
          <w:szCs w:val="21"/>
          <w:lang w:bidi="ar"/>
        </w:rPr>
        <w:t>后能够从该项目随时撤离的情况，如项目经理、项目总工</w:t>
      </w:r>
      <w:r>
        <w:rPr>
          <w:rStyle w:val="49"/>
          <w:rFonts w:hint="eastAsia" w:ascii="Calibri" w:hAnsi="Calibri" w:eastAsia="宋体" w:cs="Times New Roman"/>
          <w:color w:val="auto"/>
          <w:szCs w:val="21"/>
          <w:lang w:bidi="ar"/>
        </w:rPr>
        <w:t>未在其他项目上任职则不需要填写</w:t>
      </w:r>
      <w:r>
        <w:rPr>
          <w:rStyle w:val="49"/>
          <w:rFonts w:hint="eastAsia" w:ascii="Calibri" w:hAnsi="Calibri" w:eastAsia="宋体" w:cs="Times New Roman"/>
          <w:bCs/>
          <w:color w:val="auto"/>
          <w:szCs w:val="21"/>
        </w:rPr>
        <w:t>）</w:t>
      </w:r>
    </w:p>
    <w:p w14:paraId="1E454274">
      <w:pPr>
        <w:pStyle w:val="284"/>
        <w:jc w:val="center"/>
        <w:rPr>
          <w:rStyle w:val="49"/>
          <w:rFonts w:hint="eastAsia" w:ascii="Calibri" w:hAnsi="Calibri" w:eastAsia="宋体" w:cs="Times New Roman"/>
          <w:bCs/>
          <w:color w:val="auto"/>
          <w:szCs w:val="21"/>
        </w:rPr>
      </w:pPr>
    </w:p>
    <w:p w14:paraId="18A2E7AA">
      <w:pPr>
        <w:pStyle w:val="284"/>
        <w:jc w:val="center"/>
        <w:rPr>
          <w:rStyle w:val="49"/>
          <w:rFonts w:hint="eastAsia" w:ascii="Calibri" w:hAnsi="Calibri" w:eastAsia="宋体" w:cs="Times New Roman"/>
          <w:bCs/>
          <w:color w:val="auto"/>
          <w:szCs w:val="21"/>
          <w:lang w:val="en-US" w:eastAsia="zh-CN"/>
        </w:rPr>
      </w:pPr>
      <w:r>
        <w:rPr>
          <w:rStyle w:val="49"/>
          <w:rFonts w:hint="eastAsia" w:eastAsia="宋体" w:cs="Times New Roman"/>
          <w:bCs/>
          <w:color w:val="auto"/>
          <w:szCs w:val="21"/>
          <w:lang w:val="en-US" w:eastAsia="zh-CN"/>
        </w:rPr>
        <w:t xml:space="preserve"> </w:t>
      </w:r>
    </w:p>
    <w:p w14:paraId="53734F1F">
      <w:pPr>
        <w:pStyle w:val="284"/>
        <w:spacing w:before="240" w:beforeLines="100" w:line="360" w:lineRule="auto"/>
        <w:rPr>
          <w:rStyle w:val="49"/>
          <w:rFonts w:ascii="Calibri" w:hAnsi="Calibri" w:eastAsia="宋体" w:cs="Times New Roman"/>
          <w:color w:val="auto"/>
          <w:sz w:val="24"/>
          <w:szCs w:val="24"/>
        </w:rPr>
      </w:pPr>
      <w:r>
        <w:rPr>
          <w:rStyle w:val="49"/>
          <w:rFonts w:hint="eastAsia" w:ascii="Calibri" w:hAnsi="Calibri" w:eastAsia="宋体" w:cs="Times New Roman"/>
          <w:color w:val="auto"/>
          <w:sz w:val="24"/>
          <w:szCs w:val="24"/>
          <w:u w:val="single"/>
        </w:rPr>
        <w:t xml:space="preserve">                      </w:t>
      </w:r>
      <w:r>
        <w:rPr>
          <w:rStyle w:val="49"/>
          <w:rFonts w:hint="eastAsia" w:ascii="Calibri" w:hAnsi="Calibri" w:eastAsia="宋体" w:cs="Times New Roman"/>
          <w:color w:val="auto"/>
          <w:sz w:val="24"/>
          <w:szCs w:val="24"/>
        </w:rPr>
        <w:t>（</w:t>
      </w:r>
      <w:r>
        <w:rPr>
          <w:rStyle w:val="49"/>
          <w:rFonts w:hint="eastAsia" w:cs="Times New Roman"/>
          <w:color w:val="auto"/>
          <w:sz w:val="24"/>
          <w:szCs w:val="24"/>
          <w:lang w:eastAsia="zh-CN"/>
        </w:rPr>
        <w:t>采购人</w:t>
      </w:r>
      <w:r>
        <w:rPr>
          <w:rStyle w:val="49"/>
          <w:rFonts w:hint="eastAsia" w:ascii="Calibri" w:hAnsi="Calibri" w:eastAsia="宋体" w:cs="Times New Roman"/>
          <w:color w:val="auto"/>
          <w:sz w:val="24"/>
          <w:szCs w:val="24"/>
        </w:rPr>
        <w:t>名称）：</w:t>
      </w:r>
    </w:p>
    <w:p w14:paraId="22C073EC">
      <w:pPr>
        <w:pStyle w:val="284"/>
        <w:spacing w:line="360" w:lineRule="auto"/>
        <w:ind w:firstLine="480"/>
        <w:rPr>
          <w:rStyle w:val="49"/>
          <w:rFonts w:hint="eastAsia" w:ascii="Calibri" w:hAnsi="Calibri" w:eastAsia="宋体" w:cs="Times New Roman"/>
          <w:color w:val="auto"/>
          <w:sz w:val="24"/>
          <w:szCs w:val="24"/>
        </w:rPr>
      </w:pPr>
      <w:r>
        <w:rPr>
          <w:rStyle w:val="49"/>
          <w:rFonts w:hint="eastAsia" w:ascii="Calibri" w:hAnsi="Calibri" w:eastAsia="宋体" w:cs="Times New Roman"/>
          <w:color w:val="auto"/>
          <w:sz w:val="24"/>
          <w:szCs w:val="24"/>
        </w:rPr>
        <w:t>我方参加了</w:t>
      </w:r>
      <w:r>
        <w:rPr>
          <w:rStyle w:val="49"/>
          <w:rFonts w:hint="eastAsia" w:ascii="Calibri" w:hAnsi="Calibri" w:eastAsia="宋体" w:cs="Times New Roman"/>
          <w:color w:val="auto"/>
          <w:sz w:val="24"/>
          <w:szCs w:val="24"/>
          <w:u w:val="single"/>
        </w:rPr>
        <w:t xml:space="preserve">    （项目名称）  </w:t>
      </w:r>
      <w:r>
        <w:rPr>
          <w:rStyle w:val="49"/>
          <w:rFonts w:hint="eastAsia" w:ascii="Calibri" w:hAnsi="Calibri" w:eastAsia="宋体" w:cs="Times New Roman"/>
          <w:color w:val="auto"/>
          <w:sz w:val="24"/>
          <w:szCs w:val="24"/>
        </w:rPr>
        <w:t>施工投标，若我方</w:t>
      </w:r>
      <w:r>
        <w:rPr>
          <w:rStyle w:val="49"/>
          <w:rFonts w:hint="eastAsia" w:cs="Times New Roman"/>
          <w:color w:val="auto"/>
          <w:sz w:val="24"/>
          <w:szCs w:val="24"/>
          <w:lang w:eastAsia="zh-CN"/>
        </w:rPr>
        <w:t>成交</w:t>
      </w:r>
      <w:r>
        <w:rPr>
          <w:rStyle w:val="49"/>
          <w:rFonts w:hint="eastAsia" w:ascii="Calibri" w:hAnsi="Calibri" w:eastAsia="宋体" w:cs="Times New Roman"/>
          <w:color w:val="auto"/>
          <w:sz w:val="24"/>
          <w:szCs w:val="24"/>
        </w:rPr>
        <w:t>，我方在此承诺：</w:t>
      </w:r>
    </w:p>
    <w:p w14:paraId="112273B8">
      <w:pPr>
        <w:pStyle w:val="284"/>
        <w:numPr>
          <w:ilvl w:val="0"/>
          <w:numId w:val="2"/>
        </w:numPr>
        <w:spacing w:line="360" w:lineRule="auto"/>
        <w:ind w:firstLine="480"/>
        <w:rPr>
          <w:rStyle w:val="49"/>
          <w:rFonts w:hint="eastAsia" w:ascii="Calibri" w:hAnsi="Calibri" w:eastAsia="宋体" w:cs="Times New Roman"/>
          <w:color w:val="auto"/>
          <w:sz w:val="24"/>
          <w:szCs w:val="24"/>
          <w:lang w:bidi="ar"/>
        </w:rPr>
      </w:pPr>
      <w:r>
        <w:rPr>
          <w:rStyle w:val="49"/>
          <w:rFonts w:hint="eastAsia" w:ascii="Calibri" w:hAnsi="Calibri" w:eastAsia="宋体" w:cs="Times New Roman"/>
          <w:color w:val="auto"/>
          <w:sz w:val="24"/>
          <w:szCs w:val="24"/>
        </w:rPr>
        <w:t>拟委任的项目经理</w:t>
      </w:r>
      <w:r>
        <w:rPr>
          <w:rStyle w:val="49"/>
          <w:rFonts w:hint="eastAsia" w:ascii="Calibri" w:hAnsi="Calibri" w:eastAsia="宋体" w:cs="Times New Roman"/>
          <w:color w:val="auto"/>
          <w:sz w:val="24"/>
          <w:szCs w:val="24"/>
          <w:u w:val="single"/>
          <w:lang w:bidi="ar"/>
        </w:rPr>
        <w:t xml:space="preserve">  （姓名）  </w:t>
      </w:r>
      <w:r>
        <w:rPr>
          <w:rStyle w:val="49"/>
          <w:rFonts w:hint="eastAsia" w:ascii="Calibri" w:hAnsi="Calibri" w:eastAsia="宋体" w:cs="Times New Roman"/>
          <w:color w:val="auto"/>
          <w:sz w:val="24"/>
          <w:szCs w:val="24"/>
          <w:lang w:bidi="ar"/>
        </w:rPr>
        <w:t>，目前任职项目：</w:t>
      </w:r>
      <w:r>
        <w:rPr>
          <w:rStyle w:val="49"/>
          <w:rFonts w:hint="eastAsia" w:ascii="Calibri" w:hAnsi="Calibri" w:eastAsia="宋体" w:cs="Times New Roman"/>
          <w:color w:val="auto"/>
          <w:sz w:val="24"/>
          <w:szCs w:val="24"/>
          <w:u w:val="single"/>
          <w:lang w:bidi="ar"/>
        </w:rPr>
        <w:t xml:space="preserve">  （项目名称）   </w:t>
      </w:r>
      <w:r>
        <w:rPr>
          <w:rStyle w:val="49"/>
          <w:rFonts w:hint="eastAsia" w:ascii="Calibri" w:hAnsi="Calibri" w:eastAsia="宋体" w:cs="Times New Roman"/>
          <w:color w:val="auto"/>
          <w:sz w:val="24"/>
          <w:szCs w:val="24"/>
          <w:lang w:bidi="ar"/>
        </w:rPr>
        <w:t>，担任职位：</w:t>
      </w:r>
      <w:r>
        <w:rPr>
          <w:rStyle w:val="49"/>
          <w:rFonts w:hint="eastAsia" w:ascii="Calibri" w:hAnsi="Calibri" w:eastAsia="宋体" w:cs="Times New Roman"/>
          <w:color w:val="auto"/>
          <w:sz w:val="24"/>
          <w:szCs w:val="24"/>
          <w:u w:val="single"/>
          <w:lang w:bidi="ar"/>
        </w:rPr>
        <w:t xml:space="preserve">      </w:t>
      </w:r>
      <w:r>
        <w:rPr>
          <w:rStyle w:val="49"/>
          <w:rFonts w:ascii="Calibri" w:hAnsi="Calibri" w:eastAsia="宋体" w:cs="Times New Roman"/>
          <w:color w:val="auto"/>
          <w:sz w:val="24"/>
          <w:szCs w:val="24"/>
          <w:u w:val="single"/>
          <w:lang w:bidi="ar"/>
        </w:rPr>
        <w:t xml:space="preserve"> </w:t>
      </w:r>
      <w:r>
        <w:rPr>
          <w:rStyle w:val="49"/>
          <w:rFonts w:hint="eastAsia" w:ascii="Calibri" w:hAnsi="Calibri" w:eastAsia="宋体" w:cs="Times New Roman"/>
          <w:color w:val="auto"/>
          <w:sz w:val="24"/>
          <w:szCs w:val="24"/>
          <w:lang w:bidi="ar"/>
        </w:rPr>
        <w:t>，目前虽在其他项目上任职，但本项目</w:t>
      </w:r>
      <w:r>
        <w:rPr>
          <w:rStyle w:val="49"/>
          <w:rFonts w:hint="eastAsia" w:cs="Times New Roman"/>
          <w:color w:val="auto"/>
          <w:sz w:val="24"/>
          <w:szCs w:val="24"/>
          <w:lang w:eastAsia="zh-CN" w:bidi="ar"/>
        </w:rPr>
        <w:t>成交</w:t>
      </w:r>
      <w:r>
        <w:rPr>
          <w:rStyle w:val="49"/>
          <w:rFonts w:hint="eastAsia" w:ascii="Calibri" w:hAnsi="Calibri" w:eastAsia="宋体" w:cs="Times New Roman"/>
          <w:color w:val="auto"/>
          <w:sz w:val="24"/>
          <w:szCs w:val="24"/>
          <w:lang w:bidi="ar"/>
        </w:rPr>
        <w:t>后能够从该项目随时撤离。</w:t>
      </w:r>
    </w:p>
    <w:p w14:paraId="79127D96">
      <w:pPr>
        <w:pStyle w:val="284"/>
        <w:numPr>
          <w:ilvl w:val="0"/>
          <w:numId w:val="2"/>
        </w:numPr>
        <w:spacing w:line="360" w:lineRule="auto"/>
        <w:ind w:firstLine="480"/>
        <w:rPr>
          <w:rStyle w:val="49"/>
          <w:rFonts w:hint="eastAsia" w:ascii="Calibri" w:hAnsi="Calibri" w:eastAsia="宋体" w:cs="Times New Roman"/>
          <w:color w:val="auto"/>
          <w:sz w:val="24"/>
          <w:szCs w:val="24"/>
          <w:lang w:bidi="ar"/>
        </w:rPr>
      </w:pPr>
      <w:r>
        <w:rPr>
          <w:rStyle w:val="49"/>
          <w:rFonts w:hint="eastAsia" w:ascii="Calibri" w:hAnsi="Calibri" w:eastAsia="宋体" w:cs="Times New Roman"/>
          <w:color w:val="auto"/>
          <w:sz w:val="24"/>
          <w:szCs w:val="24"/>
        </w:rPr>
        <w:t>拟委任的项目总工</w:t>
      </w:r>
      <w:r>
        <w:rPr>
          <w:rStyle w:val="49"/>
          <w:rFonts w:hint="eastAsia" w:ascii="Calibri" w:hAnsi="Calibri" w:eastAsia="宋体" w:cs="Times New Roman"/>
          <w:color w:val="auto"/>
          <w:sz w:val="24"/>
          <w:szCs w:val="24"/>
          <w:u w:val="single"/>
          <w:lang w:bidi="ar"/>
        </w:rPr>
        <w:t xml:space="preserve">  （姓名）  </w:t>
      </w:r>
      <w:r>
        <w:rPr>
          <w:rStyle w:val="49"/>
          <w:rFonts w:hint="eastAsia" w:ascii="Calibri" w:hAnsi="Calibri" w:eastAsia="宋体" w:cs="Times New Roman"/>
          <w:color w:val="auto"/>
          <w:sz w:val="24"/>
          <w:szCs w:val="24"/>
          <w:lang w:bidi="ar"/>
        </w:rPr>
        <w:t>，目前任职项目：</w:t>
      </w:r>
      <w:r>
        <w:rPr>
          <w:rStyle w:val="49"/>
          <w:rFonts w:hint="eastAsia" w:ascii="Calibri" w:hAnsi="Calibri" w:eastAsia="宋体" w:cs="Times New Roman"/>
          <w:color w:val="auto"/>
          <w:sz w:val="24"/>
          <w:szCs w:val="24"/>
          <w:u w:val="single"/>
          <w:lang w:bidi="ar"/>
        </w:rPr>
        <w:t xml:space="preserve">  （项目名称）   </w:t>
      </w:r>
      <w:r>
        <w:rPr>
          <w:rStyle w:val="49"/>
          <w:rFonts w:hint="eastAsia" w:ascii="Calibri" w:hAnsi="Calibri" w:eastAsia="宋体" w:cs="Times New Roman"/>
          <w:color w:val="auto"/>
          <w:sz w:val="24"/>
          <w:szCs w:val="24"/>
          <w:lang w:bidi="ar"/>
        </w:rPr>
        <w:t>，担任职位：</w:t>
      </w:r>
      <w:r>
        <w:rPr>
          <w:rStyle w:val="49"/>
          <w:rFonts w:hint="eastAsia" w:ascii="Calibri" w:hAnsi="Calibri" w:eastAsia="宋体" w:cs="Times New Roman"/>
          <w:color w:val="auto"/>
          <w:sz w:val="24"/>
          <w:szCs w:val="24"/>
          <w:u w:val="single"/>
          <w:lang w:bidi="ar"/>
        </w:rPr>
        <w:t xml:space="preserve">      </w:t>
      </w:r>
      <w:r>
        <w:rPr>
          <w:rStyle w:val="49"/>
          <w:rFonts w:ascii="Calibri" w:hAnsi="Calibri" w:eastAsia="宋体" w:cs="Times New Roman"/>
          <w:color w:val="auto"/>
          <w:sz w:val="24"/>
          <w:szCs w:val="24"/>
          <w:u w:val="single"/>
          <w:lang w:bidi="ar"/>
        </w:rPr>
        <w:t xml:space="preserve"> </w:t>
      </w:r>
      <w:r>
        <w:rPr>
          <w:rStyle w:val="49"/>
          <w:rFonts w:hint="eastAsia" w:ascii="Calibri" w:hAnsi="Calibri" w:eastAsia="宋体" w:cs="Times New Roman"/>
          <w:color w:val="auto"/>
          <w:sz w:val="24"/>
          <w:szCs w:val="24"/>
          <w:lang w:bidi="ar"/>
        </w:rPr>
        <w:t>，目前虽在其他项目上任职，但本项目中标后能够从该项目随时撤离。</w:t>
      </w:r>
    </w:p>
    <w:p w14:paraId="69CCE8D7">
      <w:pPr>
        <w:pStyle w:val="284"/>
        <w:spacing w:line="360" w:lineRule="auto"/>
        <w:ind w:firstLine="480"/>
        <w:rPr>
          <w:rStyle w:val="49"/>
          <w:rFonts w:hint="eastAsia" w:ascii="Calibri" w:hAnsi="Calibri" w:eastAsia="宋体" w:cs="Times New Roman"/>
          <w:color w:val="auto"/>
          <w:sz w:val="24"/>
          <w:szCs w:val="24"/>
        </w:rPr>
      </w:pPr>
      <w:r>
        <w:rPr>
          <w:rStyle w:val="49"/>
          <w:rFonts w:hint="eastAsia" w:ascii="Calibri" w:hAnsi="Calibri" w:eastAsia="宋体" w:cs="Times New Roman"/>
          <w:color w:val="auto"/>
          <w:sz w:val="24"/>
          <w:szCs w:val="24"/>
        </w:rPr>
        <w:t>如我方违背了上述承诺，本项目</w:t>
      </w:r>
      <w:r>
        <w:rPr>
          <w:rStyle w:val="49"/>
          <w:rFonts w:hint="eastAsia" w:cs="Times New Roman"/>
          <w:color w:val="auto"/>
          <w:sz w:val="24"/>
          <w:szCs w:val="24"/>
          <w:lang w:eastAsia="zh-CN"/>
        </w:rPr>
        <w:t>采购</w:t>
      </w:r>
      <w:r>
        <w:rPr>
          <w:rStyle w:val="49"/>
          <w:rFonts w:hint="eastAsia" w:ascii="Calibri" w:hAnsi="Calibri" w:eastAsia="宋体" w:cs="Times New Roman"/>
          <w:color w:val="auto"/>
          <w:sz w:val="24"/>
          <w:szCs w:val="24"/>
        </w:rPr>
        <w:t>人有权取消我方的</w:t>
      </w:r>
      <w:r>
        <w:rPr>
          <w:rStyle w:val="49"/>
          <w:rFonts w:hint="eastAsia" w:cs="Times New Roman"/>
          <w:color w:val="auto"/>
          <w:sz w:val="24"/>
          <w:szCs w:val="24"/>
          <w:lang w:eastAsia="zh-CN"/>
        </w:rPr>
        <w:t>成交</w:t>
      </w:r>
      <w:r>
        <w:rPr>
          <w:rStyle w:val="49"/>
          <w:rFonts w:hint="eastAsia" w:ascii="Calibri" w:hAnsi="Calibri" w:eastAsia="宋体" w:cs="Times New Roman"/>
          <w:color w:val="auto"/>
          <w:sz w:val="24"/>
          <w:szCs w:val="24"/>
        </w:rPr>
        <w:t>资格，并由</w:t>
      </w:r>
      <w:r>
        <w:rPr>
          <w:rStyle w:val="49"/>
          <w:rFonts w:hint="eastAsia" w:cs="Times New Roman"/>
          <w:color w:val="auto"/>
          <w:sz w:val="24"/>
          <w:szCs w:val="24"/>
          <w:lang w:eastAsia="zh-CN"/>
        </w:rPr>
        <w:t>采购</w:t>
      </w:r>
      <w:r>
        <w:rPr>
          <w:rStyle w:val="49"/>
          <w:rFonts w:hint="eastAsia" w:ascii="Calibri" w:hAnsi="Calibri" w:eastAsia="宋体" w:cs="Times New Roman"/>
          <w:color w:val="auto"/>
          <w:sz w:val="24"/>
          <w:szCs w:val="24"/>
        </w:rPr>
        <w:t>人将我方的违约行为上报省级交通主管部门，作为不良记录纳入公路建设市场信息管理系统。</w:t>
      </w:r>
    </w:p>
    <w:p w14:paraId="478AE276">
      <w:pPr>
        <w:jc w:val="left"/>
        <w:rPr>
          <w:rFonts w:hint="eastAsia" w:ascii="宋体" w:hAnsi="宋体" w:cs="宋体"/>
          <w:b/>
          <w:bCs/>
          <w:color w:val="auto"/>
          <w:sz w:val="32"/>
          <w:szCs w:val="32"/>
        </w:rPr>
      </w:pPr>
    </w:p>
    <w:p w14:paraId="72B55ABE">
      <w:pPr>
        <w:jc w:val="left"/>
        <w:rPr>
          <w:rFonts w:hint="eastAsia" w:ascii="宋体" w:hAnsi="宋体" w:cs="宋体"/>
          <w:b/>
          <w:bCs/>
          <w:color w:val="auto"/>
          <w:sz w:val="32"/>
          <w:szCs w:val="32"/>
        </w:rPr>
      </w:pPr>
    </w:p>
    <w:p w14:paraId="354B292C">
      <w:pPr>
        <w:spacing w:line="440" w:lineRule="exact"/>
        <w:ind w:firstLine="1800" w:firstLineChars="750"/>
        <w:contextualSpacing/>
        <w:rPr>
          <w:rFonts w:ascii="宋体" w:hAnsi="宋体" w:cs="宋体"/>
          <w:color w:val="auto"/>
          <w:sz w:val="24"/>
          <w:szCs w:val="24"/>
        </w:rPr>
      </w:pPr>
      <w:r>
        <w:rPr>
          <w:rFonts w:hint="eastAsia" w:ascii="宋体" w:hAnsi="宋体" w:cs="宋体"/>
          <w:color w:val="auto"/>
          <w:sz w:val="24"/>
          <w:szCs w:val="24"/>
        </w:rPr>
        <w:t>法定代表人（签字或者盖章或者电子签名）：</w:t>
      </w:r>
    </w:p>
    <w:p w14:paraId="60712A7E">
      <w:pPr>
        <w:spacing w:line="440" w:lineRule="exact"/>
        <w:ind w:firstLine="4320" w:firstLineChars="1800"/>
        <w:contextualSpacing/>
        <w:rPr>
          <w:rFonts w:ascii="宋体" w:hAnsi="宋体" w:cs="宋体"/>
          <w:color w:val="auto"/>
          <w:sz w:val="24"/>
          <w:szCs w:val="24"/>
          <w:u w:val="single"/>
        </w:rPr>
      </w:pPr>
      <w:r>
        <w:rPr>
          <w:rFonts w:hint="eastAsia" w:ascii="宋体" w:hAnsi="宋体" w:cs="宋体"/>
          <w:color w:val="auto"/>
          <w:sz w:val="24"/>
          <w:szCs w:val="24"/>
        </w:rPr>
        <w:t>供应商（电子签章）：</w:t>
      </w:r>
    </w:p>
    <w:p w14:paraId="7C4046D2">
      <w:pPr>
        <w:pStyle w:val="24"/>
        <w:tabs>
          <w:tab w:val="left" w:pos="939"/>
        </w:tabs>
        <w:spacing w:line="440" w:lineRule="exact"/>
        <w:ind w:left="899" w:leftChars="428" w:firstLine="4080" w:firstLineChars="1700"/>
        <w:rPr>
          <w:rFonts w:ascii="宋体" w:hAnsi="宋体" w:cs="宋体"/>
          <w:color w:val="auto"/>
          <w:sz w:val="24"/>
          <w:szCs w:val="24"/>
        </w:rPr>
      </w:pP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w:t>
      </w:r>
    </w:p>
    <w:p w14:paraId="007432C1">
      <w:pPr>
        <w:jc w:val="left"/>
        <w:rPr>
          <w:rFonts w:hint="eastAsia" w:ascii="宋体" w:hAnsi="宋体" w:cs="宋体"/>
          <w:b/>
          <w:bCs/>
          <w:color w:val="auto"/>
          <w:sz w:val="32"/>
          <w:szCs w:val="32"/>
        </w:rPr>
      </w:pPr>
    </w:p>
    <w:p w14:paraId="6C85141A">
      <w:pPr>
        <w:jc w:val="left"/>
        <w:rPr>
          <w:rFonts w:hint="eastAsia" w:ascii="宋体" w:hAnsi="宋体" w:cs="宋体"/>
          <w:b/>
          <w:bCs/>
          <w:color w:val="auto"/>
          <w:sz w:val="32"/>
          <w:szCs w:val="32"/>
        </w:rPr>
      </w:pPr>
    </w:p>
    <w:p w14:paraId="65287CB9">
      <w:pPr>
        <w:jc w:val="left"/>
        <w:rPr>
          <w:rFonts w:hint="eastAsia" w:ascii="宋体" w:hAnsi="宋体" w:cs="宋体"/>
          <w:b/>
          <w:bCs/>
          <w:color w:val="auto"/>
          <w:sz w:val="32"/>
          <w:szCs w:val="32"/>
        </w:rPr>
      </w:pPr>
    </w:p>
    <w:p w14:paraId="5C5C8EB4">
      <w:pPr>
        <w:jc w:val="left"/>
        <w:rPr>
          <w:rFonts w:hint="eastAsia" w:ascii="宋体" w:hAnsi="宋体" w:cs="宋体"/>
          <w:b/>
          <w:bCs/>
          <w:color w:val="auto"/>
          <w:sz w:val="32"/>
          <w:szCs w:val="32"/>
        </w:rPr>
      </w:pPr>
    </w:p>
    <w:p w14:paraId="0942B65E">
      <w:pPr>
        <w:jc w:val="left"/>
        <w:rPr>
          <w:rFonts w:hint="eastAsia" w:ascii="宋体" w:hAnsi="宋体" w:cs="宋体"/>
          <w:b/>
          <w:bCs/>
          <w:color w:val="auto"/>
          <w:sz w:val="32"/>
          <w:szCs w:val="32"/>
        </w:rPr>
      </w:pPr>
    </w:p>
    <w:p w14:paraId="1E59C2C0">
      <w:pPr>
        <w:jc w:val="left"/>
        <w:rPr>
          <w:rFonts w:hint="eastAsia" w:ascii="宋体" w:hAnsi="宋体" w:cs="宋体"/>
          <w:b/>
          <w:bCs/>
          <w:color w:val="auto"/>
          <w:sz w:val="32"/>
          <w:szCs w:val="32"/>
        </w:rPr>
      </w:pPr>
    </w:p>
    <w:p w14:paraId="39622179">
      <w:pPr>
        <w:jc w:val="left"/>
        <w:rPr>
          <w:rFonts w:hint="eastAsia" w:ascii="宋体" w:hAnsi="宋体" w:cs="宋体"/>
          <w:b/>
          <w:bCs/>
          <w:color w:val="auto"/>
          <w:sz w:val="32"/>
          <w:szCs w:val="32"/>
        </w:rPr>
      </w:pPr>
    </w:p>
    <w:p w14:paraId="619AD6E4">
      <w:pPr>
        <w:jc w:val="left"/>
        <w:rPr>
          <w:rFonts w:hint="eastAsia" w:ascii="宋体" w:hAnsi="宋体" w:cs="宋体"/>
          <w:b/>
          <w:bCs/>
          <w:color w:val="auto"/>
          <w:sz w:val="32"/>
          <w:szCs w:val="32"/>
        </w:rPr>
      </w:pPr>
    </w:p>
    <w:p w14:paraId="41C478B5">
      <w:pPr>
        <w:jc w:val="left"/>
        <w:rPr>
          <w:rFonts w:hint="eastAsia" w:ascii="宋体" w:hAnsi="宋体" w:cs="宋体"/>
          <w:b/>
          <w:bCs/>
          <w:color w:val="auto"/>
          <w:sz w:val="32"/>
          <w:szCs w:val="32"/>
        </w:rPr>
      </w:pPr>
    </w:p>
    <w:p w14:paraId="11D9D48F">
      <w:pPr>
        <w:jc w:val="left"/>
        <w:rPr>
          <w:rFonts w:hint="eastAsia" w:ascii="宋体" w:hAnsi="宋体" w:cs="宋体"/>
          <w:b/>
          <w:bCs/>
          <w:color w:val="auto"/>
          <w:sz w:val="32"/>
          <w:szCs w:val="32"/>
        </w:rPr>
      </w:pPr>
    </w:p>
    <w:p w14:paraId="41483A78">
      <w:pPr>
        <w:jc w:val="left"/>
        <w:rPr>
          <w:rFonts w:hint="eastAsia" w:ascii="宋体" w:hAnsi="宋体" w:cs="宋体"/>
          <w:b/>
          <w:bCs/>
          <w:color w:val="auto"/>
          <w:sz w:val="32"/>
          <w:szCs w:val="32"/>
        </w:rPr>
      </w:pPr>
    </w:p>
    <w:p w14:paraId="6A2AA11F">
      <w:pPr>
        <w:spacing w:line="440" w:lineRule="exact"/>
        <w:contextualSpacing/>
        <w:jc w:val="left"/>
        <w:outlineLvl w:val="1"/>
        <w:rPr>
          <w:rFonts w:ascii="宋体" w:hAnsi="宋体" w:cs="宋体"/>
          <w:b/>
          <w:color w:val="auto"/>
          <w:sz w:val="32"/>
          <w:szCs w:val="32"/>
        </w:rPr>
      </w:pPr>
      <w:r>
        <w:rPr>
          <w:rFonts w:hint="eastAsia" w:ascii="宋体" w:hAnsi="宋体" w:cs="宋体"/>
          <w:b/>
          <w:bCs/>
          <w:color w:val="auto"/>
          <w:sz w:val="32"/>
          <w:szCs w:val="32"/>
        </w:rPr>
        <w:t>二、</w:t>
      </w:r>
      <w:r>
        <w:rPr>
          <w:rFonts w:hint="eastAsia" w:ascii="宋体" w:hAnsi="宋体" w:cs="宋体"/>
          <w:b/>
          <w:color w:val="auto"/>
          <w:sz w:val="32"/>
          <w:szCs w:val="32"/>
        </w:rPr>
        <w:t>报价文件格式</w:t>
      </w:r>
      <w:bookmarkEnd w:id="92"/>
    </w:p>
    <w:p w14:paraId="2CC36F4A">
      <w:pPr>
        <w:snapToGrid w:val="0"/>
        <w:spacing w:beforeLines="50" w:after="50" w:line="440" w:lineRule="exact"/>
        <w:jc w:val="left"/>
        <w:rPr>
          <w:rFonts w:ascii="宋体" w:hAnsi="宋体" w:cs="宋体"/>
          <w:b/>
          <w:color w:val="auto"/>
          <w:sz w:val="32"/>
          <w:szCs w:val="32"/>
        </w:rPr>
      </w:pPr>
      <w:r>
        <w:rPr>
          <w:rFonts w:hint="eastAsia" w:ascii="宋体" w:hAnsi="宋体" w:cs="宋体"/>
          <w:b/>
          <w:color w:val="auto"/>
          <w:sz w:val="32"/>
          <w:szCs w:val="32"/>
        </w:rPr>
        <w:t>1.报价文件封面格式</w:t>
      </w:r>
    </w:p>
    <w:p w14:paraId="0178950D">
      <w:pPr>
        <w:snapToGrid w:val="0"/>
        <w:spacing w:beforeLines="50" w:after="50" w:line="440" w:lineRule="exact"/>
        <w:rPr>
          <w:rFonts w:ascii="宋体" w:hAnsi="宋体" w:cs="宋体"/>
          <w:bCs/>
          <w:color w:val="auto"/>
          <w:sz w:val="32"/>
          <w:szCs w:val="20"/>
        </w:rPr>
      </w:pPr>
    </w:p>
    <w:p w14:paraId="581769A0">
      <w:pPr>
        <w:snapToGrid w:val="0"/>
        <w:spacing w:beforeLines="50" w:after="50" w:line="440" w:lineRule="exact"/>
        <w:jc w:val="center"/>
        <w:rPr>
          <w:rFonts w:ascii="宋体" w:hAnsi="宋体" w:cs="宋体"/>
          <w:color w:val="auto"/>
          <w:sz w:val="24"/>
          <w:szCs w:val="20"/>
        </w:rPr>
      </w:pPr>
      <w:r>
        <w:rPr>
          <w:rFonts w:hint="eastAsia" w:ascii="宋体" w:hAnsi="宋体" w:cs="宋体"/>
          <w:color w:val="auto"/>
          <w:sz w:val="44"/>
          <w:szCs w:val="44"/>
        </w:rPr>
        <w:t>电 子 响 应 文 件</w:t>
      </w:r>
    </w:p>
    <w:p w14:paraId="18E402D0">
      <w:pPr>
        <w:snapToGrid w:val="0"/>
        <w:spacing w:beforeLines="50" w:after="50" w:line="440" w:lineRule="exact"/>
        <w:rPr>
          <w:rFonts w:ascii="宋体" w:hAnsi="宋体" w:cs="宋体"/>
          <w:color w:val="auto"/>
          <w:sz w:val="24"/>
          <w:szCs w:val="20"/>
        </w:rPr>
      </w:pPr>
    </w:p>
    <w:p w14:paraId="3A1F8BE1">
      <w:pPr>
        <w:snapToGrid w:val="0"/>
        <w:spacing w:beforeLines="50" w:after="50" w:line="440" w:lineRule="exact"/>
        <w:jc w:val="center"/>
        <w:rPr>
          <w:rFonts w:ascii="宋体" w:hAnsi="宋体" w:cs="宋体"/>
          <w:bCs/>
          <w:color w:val="auto"/>
          <w:sz w:val="44"/>
          <w:szCs w:val="44"/>
        </w:rPr>
      </w:pPr>
      <w:r>
        <w:rPr>
          <w:rFonts w:hint="eastAsia" w:ascii="宋体" w:hAnsi="宋体" w:cs="宋体"/>
          <w:bCs/>
          <w:color w:val="auto"/>
          <w:sz w:val="44"/>
          <w:szCs w:val="44"/>
        </w:rPr>
        <w:t>报  价  文  件</w:t>
      </w:r>
    </w:p>
    <w:p w14:paraId="284A9D2E">
      <w:pPr>
        <w:snapToGrid w:val="0"/>
        <w:spacing w:beforeLines="50" w:after="50" w:line="440" w:lineRule="exact"/>
        <w:rPr>
          <w:rFonts w:ascii="宋体" w:hAnsi="宋体" w:cs="宋体"/>
          <w:bCs/>
          <w:color w:val="auto"/>
          <w:sz w:val="24"/>
          <w:szCs w:val="20"/>
        </w:rPr>
      </w:pPr>
    </w:p>
    <w:p w14:paraId="7219BEF1">
      <w:pPr>
        <w:snapToGrid w:val="0"/>
        <w:spacing w:beforeLines="50" w:after="50" w:line="440" w:lineRule="exact"/>
        <w:rPr>
          <w:rFonts w:ascii="宋体" w:hAnsi="宋体" w:cs="宋体"/>
          <w:bCs/>
          <w:color w:val="auto"/>
          <w:sz w:val="24"/>
          <w:szCs w:val="20"/>
        </w:rPr>
      </w:pPr>
    </w:p>
    <w:p w14:paraId="1EA76130">
      <w:pPr>
        <w:snapToGrid w:val="0"/>
        <w:spacing w:beforeLines="50" w:after="50" w:line="440" w:lineRule="exact"/>
        <w:rPr>
          <w:rFonts w:ascii="宋体" w:hAnsi="宋体" w:cs="宋体"/>
          <w:bCs/>
          <w:color w:val="auto"/>
          <w:sz w:val="24"/>
          <w:szCs w:val="20"/>
        </w:rPr>
      </w:pPr>
    </w:p>
    <w:p w14:paraId="5CAF22DD">
      <w:pPr>
        <w:snapToGrid w:val="0"/>
        <w:spacing w:beforeLines="50" w:after="50" w:line="440" w:lineRule="exact"/>
        <w:ind w:firstLine="640" w:firstLineChars="200"/>
        <w:rPr>
          <w:rFonts w:ascii="宋体" w:hAnsi="宋体" w:cs="宋体"/>
          <w:bCs/>
          <w:color w:val="auto"/>
          <w:sz w:val="32"/>
          <w:szCs w:val="32"/>
        </w:rPr>
      </w:pPr>
      <w:r>
        <w:rPr>
          <w:rFonts w:hint="eastAsia" w:ascii="宋体" w:hAnsi="宋体" w:cs="宋体"/>
          <w:bCs/>
          <w:color w:val="auto"/>
          <w:sz w:val="32"/>
          <w:szCs w:val="32"/>
        </w:rPr>
        <w:t>项目名称：</w:t>
      </w:r>
    </w:p>
    <w:p w14:paraId="3109F010">
      <w:pPr>
        <w:snapToGrid w:val="0"/>
        <w:spacing w:beforeLines="50" w:after="50" w:line="440" w:lineRule="exact"/>
        <w:ind w:firstLine="720" w:firstLineChars="225"/>
        <w:rPr>
          <w:rFonts w:ascii="宋体" w:hAnsi="宋体" w:cs="宋体"/>
          <w:bCs/>
          <w:color w:val="auto"/>
          <w:sz w:val="32"/>
          <w:szCs w:val="32"/>
        </w:rPr>
      </w:pPr>
    </w:p>
    <w:p w14:paraId="37CD7B92">
      <w:pPr>
        <w:snapToGrid w:val="0"/>
        <w:spacing w:beforeLines="50" w:after="50" w:line="440" w:lineRule="exact"/>
        <w:ind w:firstLine="640" w:firstLineChars="200"/>
        <w:rPr>
          <w:rFonts w:ascii="宋体" w:hAnsi="宋体" w:cs="宋体"/>
          <w:bCs/>
          <w:color w:val="auto"/>
          <w:sz w:val="32"/>
          <w:szCs w:val="32"/>
        </w:rPr>
      </w:pPr>
      <w:r>
        <w:rPr>
          <w:rFonts w:hint="eastAsia" w:ascii="宋体" w:hAnsi="宋体" w:cs="宋体"/>
          <w:bCs/>
          <w:color w:val="auto"/>
          <w:sz w:val="32"/>
          <w:szCs w:val="32"/>
        </w:rPr>
        <w:t>项目编号：</w:t>
      </w:r>
    </w:p>
    <w:p w14:paraId="19324544">
      <w:pPr>
        <w:snapToGrid w:val="0"/>
        <w:spacing w:beforeLines="50" w:after="50" w:line="440" w:lineRule="exact"/>
        <w:ind w:firstLine="720" w:firstLineChars="225"/>
        <w:rPr>
          <w:rFonts w:ascii="宋体" w:hAnsi="宋体" w:cs="宋体"/>
          <w:bCs/>
          <w:color w:val="auto"/>
          <w:sz w:val="32"/>
          <w:szCs w:val="32"/>
        </w:rPr>
      </w:pPr>
    </w:p>
    <w:p w14:paraId="65A4A885">
      <w:pPr>
        <w:snapToGrid w:val="0"/>
        <w:spacing w:beforeLines="50" w:after="50" w:line="440" w:lineRule="exact"/>
        <w:ind w:firstLine="640" w:firstLineChars="200"/>
        <w:rPr>
          <w:rFonts w:ascii="宋体" w:hAnsi="宋体" w:cs="宋体"/>
          <w:bCs/>
          <w:color w:val="auto"/>
          <w:sz w:val="32"/>
          <w:szCs w:val="32"/>
        </w:rPr>
      </w:pPr>
      <w:r>
        <w:rPr>
          <w:rFonts w:hint="eastAsia" w:ascii="宋体" w:hAnsi="宋体" w:cs="宋体"/>
          <w:bCs/>
          <w:color w:val="auto"/>
          <w:sz w:val="32"/>
          <w:szCs w:val="32"/>
        </w:rPr>
        <w:t>所竞分标（如有则填写，无分标时填写“无”或者留空）：</w:t>
      </w:r>
    </w:p>
    <w:p w14:paraId="4869AF03">
      <w:pPr>
        <w:snapToGrid w:val="0"/>
        <w:spacing w:beforeLines="50" w:after="50" w:line="440" w:lineRule="exact"/>
        <w:ind w:firstLine="720" w:firstLineChars="225"/>
        <w:rPr>
          <w:rFonts w:ascii="宋体" w:hAnsi="宋体" w:cs="宋体"/>
          <w:bCs/>
          <w:color w:val="auto"/>
          <w:sz w:val="32"/>
          <w:szCs w:val="32"/>
        </w:rPr>
      </w:pPr>
    </w:p>
    <w:p w14:paraId="71C362CF">
      <w:pPr>
        <w:pStyle w:val="7"/>
        <w:snapToGrid w:val="0"/>
        <w:spacing w:before="50" w:after="50" w:line="440" w:lineRule="exact"/>
        <w:ind w:firstLine="640" w:firstLineChars="200"/>
        <w:rPr>
          <w:rFonts w:ascii="宋体" w:hAnsi="宋体" w:cs="宋体"/>
          <w:bCs/>
          <w:color w:val="auto"/>
          <w:sz w:val="32"/>
          <w:szCs w:val="32"/>
        </w:rPr>
      </w:pPr>
      <w:r>
        <w:rPr>
          <w:rFonts w:hint="eastAsia" w:ascii="宋体" w:hAnsi="宋体" w:cs="宋体"/>
          <w:bCs/>
          <w:color w:val="auto"/>
          <w:sz w:val="32"/>
          <w:szCs w:val="32"/>
        </w:rPr>
        <w:t>供应商名称：</w:t>
      </w:r>
    </w:p>
    <w:p w14:paraId="403CCBE2">
      <w:pPr>
        <w:pStyle w:val="7"/>
        <w:snapToGrid w:val="0"/>
        <w:spacing w:before="50" w:after="50" w:line="440" w:lineRule="exact"/>
        <w:ind w:firstLine="0"/>
        <w:rPr>
          <w:rFonts w:ascii="宋体" w:hAnsi="宋体" w:cs="宋体"/>
          <w:bCs/>
          <w:color w:val="auto"/>
          <w:sz w:val="32"/>
          <w:szCs w:val="32"/>
        </w:rPr>
      </w:pPr>
    </w:p>
    <w:p w14:paraId="1A3DBFF7">
      <w:pPr>
        <w:pStyle w:val="7"/>
        <w:snapToGrid w:val="0"/>
        <w:spacing w:before="50" w:after="50" w:line="440" w:lineRule="exact"/>
        <w:ind w:firstLine="1280" w:firstLineChars="400"/>
        <w:rPr>
          <w:rFonts w:ascii="宋体" w:hAnsi="宋体" w:cs="宋体"/>
          <w:bCs/>
          <w:color w:val="auto"/>
          <w:sz w:val="32"/>
          <w:szCs w:val="32"/>
        </w:rPr>
      </w:pPr>
    </w:p>
    <w:p w14:paraId="2561F367">
      <w:pPr>
        <w:snapToGrid w:val="0"/>
        <w:spacing w:beforeLines="50" w:after="50" w:line="440" w:lineRule="exact"/>
        <w:jc w:val="center"/>
        <w:rPr>
          <w:rFonts w:ascii="宋体" w:hAnsi="宋体" w:cs="宋体"/>
          <w:color w:val="auto"/>
          <w:sz w:val="32"/>
          <w:szCs w:val="32"/>
        </w:rPr>
      </w:pPr>
      <w:r>
        <w:rPr>
          <w:rFonts w:hint="eastAsia" w:ascii="宋体" w:hAnsi="宋体" w:cs="宋体"/>
          <w:color w:val="auto"/>
          <w:sz w:val="32"/>
          <w:szCs w:val="32"/>
        </w:rPr>
        <w:t>年    月    日</w:t>
      </w:r>
    </w:p>
    <w:p w14:paraId="4D457F52">
      <w:pPr>
        <w:snapToGrid w:val="0"/>
        <w:spacing w:beforeLines="50" w:after="50" w:line="440" w:lineRule="exact"/>
        <w:ind w:left="142"/>
        <w:jc w:val="left"/>
        <w:rPr>
          <w:rFonts w:ascii="宋体" w:hAnsi="宋体" w:cs="宋体"/>
          <w:b/>
          <w:bCs/>
          <w:color w:val="auto"/>
          <w:sz w:val="24"/>
        </w:rPr>
      </w:pPr>
      <w:r>
        <w:rPr>
          <w:rFonts w:hint="eastAsia" w:ascii="宋体" w:hAnsi="宋体" w:cs="宋体"/>
          <w:color w:val="auto"/>
          <w:szCs w:val="21"/>
        </w:rPr>
        <w:br w:type="page"/>
      </w:r>
      <w:r>
        <w:rPr>
          <w:rFonts w:hint="eastAsia" w:ascii="宋体" w:hAnsi="宋体" w:cs="宋体"/>
          <w:b/>
          <w:bCs/>
          <w:color w:val="auto"/>
          <w:sz w:val="32"/>
          <w:szCs w:val="32"/>
        </w:rPr>
        <w:t>2.报价文件目录</w:t>
      </w:r>
    </w:p>
    <w:p w14:paraId="3BFB848D">
      <w:pPr>
        <w:spacing w:line="440" w:lineRule="exact"/>
        <w:jc w:val="left"/>
        <w:rPr>
          <w:rFonts w:ascii="宋体" w:hAnsi="宋体" w:cs="宋体"/>
          <w:b/>
          <w:bCs/>
          <w:color w:val="auto"/>
          <w:sz w:val="32"/>
          <w:szCs w:val="32"/>
        </w:rPr>
      </w:pPr>
      <w:r>
        <w:rPr>
          <w:rFonts w:hint="eastAsia" w:ascii="宋体" w:hAnsi="宋体" w:cs="宋体"/>
          <w:color w:val="auto"/>
          <w:sz w:val="32"/>
          <w:szCs w:val="32"/>
        </w:rPr>
        <w:t>根据磋商文件规定及供应商提供的材料自行编写目录（部分格式后附）。</w:t>
      </w:r>
      <w:r>
        <w:rPr>
          <w:rFonts w:hint="eastAsia" w:ascii="宋体" w:hAnsi="宋体" w:cs="宋体"/>
          <w:b/>
          <w:bCs/>
          <w:color w:val="auto"/>
          <w:sz w:val="32"/>
          <w:szCs w:val="32"/>
        </w:rPr>
        <w:br w:type="page"/>
      </w:r>
      <w:r>
        <w:rPr>
          <w:rFonts w:hint="eastAsia" w:ascii="宋体" w:hAnsi="宋体" w:cs="宋体"/>
          <w:b/>
          <w:bCs/>
          <w:color w:val="auto"/>
          <w:sz w:val="32"/>
          <w:szCs w:val="32"/>
        </w:rPr>
        <w:t>竞标函及竞标函附录</w:t>
      </w:r>
    </w:p>
    <w:p w14:paraId="2F41E613">
      <w:pPr>
        <w:spacing w:line="440" w:lineRule="exact"/>
        <w:jc w:val="center"/>
        <w:rPr>
          <w:rFonts w:ascii="宋体" w:hAnsi="宋体" w:cs="宋体"/>
          <w:b/>
          <w:bCs/>
          <w:color w:val="auto"/>
          <w:sz w:val="32"/>
          <w:szCs w:val="32"/>
        </w:rPr>
      </w:pPr>
    </w:p>
    <w:p w14:paraId="6A33829A">
      <w:pPr>
        <w:spacing w:line="440" w:lineRule="exact"/>
        <w:jc w:val="center"/>
        <w:rPr>
          <w:rFonts w:ascii="宋体" w:hAnsi="宋体" w:cs="宋体"/>
          <w:b/>
          <w:bCs/>
          <w:color w:val="auto"/>
          <w:sz w:val="32"/>
          <w:szCs w:val="32"/>
        </w:rPr>
      </w:pPr>
      <w:r>
        <w:rPr>
          <w:rFonts w:hint="eastAsia" w:ascii="宋体" w:hAnsi="宋体" w:cs="宋体"/>
          <w:b/>
          <w:bCs/>
          <w:color w:val="auto"/>
          <w:sz w:val="32"/>
          <w:szCs w:val="32"/>
        </w:rPr>
        <w:t>（一）竞标函</w:t>
      </w:r>
    </w:p>
    <w:p w14:paraId="32F084A8">
      <w:pPr>
        <w:spacing w:line="440" w:lineRule="exact"/>
        <w:jc w:val="center"/>
        <w:rPr>
          <w:rFonts w:ascii="宋体" w:hAnsi="宋体" w:cs="宋体"/>
          <w:b/>
          <w:bCs/>
          <w:color w:val="auto"/>
          <w:sz w:val="32"/>
          <w:szCs w:val="32"/>
        </w:rPr>
      </w:pPr>
    </w:p>
    <w:p w14:paraId="205CDC0D">
      <w:pPr>
        <w:spacing w:line="440" w:lineRule="exact"/>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zh-CN" w:bidi="zh-CN"/>
        </w:rPr>
        <w:t>采购人名称</w:t>
      </w:r>
      <w:r>
        <w:rPr>
          <w:rFonts w:hint="eastAsia" w:ascii="宋体" w:hAnsi="宋体" w:cs="宋体"/>
          <w:color w:val="auto"/>
          <w:sz w:val="24"/>
          <w:szCs w:val="24"/>
        </w:rPr>
        <w:t>）：</w:t>
      </w:r>
    </w:p>
    <w:p w14:paraId="1270A126">
      <w:pPr>
        <w:pStyle w:val="98"/>
        <w:numPr>
          <w:ilvl w:val="0"/>
          <w:numId w:val="3"/>
        </w:numPr>
        <w:tabs>
          <w:tab w:val="left" w:pos="762"/>
          <w:tab w:val="left" w:pos="2074"/>
          <w:tab w:val="left" w:pos="3430"/>
          <w:tab w:val="left" w:pos="4687"/>
          <w:tab w:val="left" w:pos="7898"/>
        </w:tabs>
        <w:spacing w:line="440" w:lineRule="exact"/>
        <w:ind w:firstLine="440"/>
        <w:rPr>
          <w:color w:val="auto"/>
          <w:sz w:val="24"/>
          <w:szCs w:val="24"/>
        </w:rPr>
      </w:pPr>
      <w:bookmarkStart w:id="93" w:name="bookmark2065"/>
      <w:bookmarkEnd w:id="93"/>
      <w:r>
        <w:rPr>
          <w:rFonts w:hint="eastAsia"/>
          <w:color w:val="auto"/>
          <w:sz w:val="24"/>
          <w:szCs w:val="24"/>
        </w:rPr>
        <w:t>我方已仔细研究了</w:t>
      </w:r>
      <w:r>
        <w:rPr>
          <w:rFonts w:hint="eastAsia"/>
          <w:color w:val="auto"/>
          <w:sz w:val="24"/>
          <w:szCs w:val="24"/>
          <w:u w:val="single"/>
        </w:rPr>
        <w:t>（项目名称、项目编号）</w:t>
      </w:r>
      <w:r>
        <w:rPr>
          <w:rFonts w:hint="eastAsia"/>
          <w:color w:val="auto"/>
          <w:sz w:val="24"/>
          <w:szCs w:val="24"/>
        </w:rPr>
        <w:t>磋商文件的全部内容，愿意以人民币：</w:t>
      </w:r>
      <w:r>
        <w:rPr>
          <w:rFonts w:hint="eastAsia"/>
          <w:color w:val="auto"/>
          <w:sz w:val="24"/>
          <w:szCs w:val="24"/>
          <w:u w:val="single"/>
        </w:rPr>
        <w:t>（大写）元（¥</w:t>
      </w:r>
      <w:r>
        <w:rPr>
          <w:rFonts w:hint="eastAsia"/>
          <w:color w:val="auto"/>
          <w:sz w:val="24"/>
          <w:szCs w:val="24"/>
          <w:u w:val="single"/>
          <w:lang w:val="en-US" w:eastAsia="zh-CN"/>
        </w:rPr>
        <w:t xml:space="preserve">   </w:t>
      </w:r>
      <w:r>
        <w:rPr>
          <w:rFonts w:hint="eastAsia"/>
          <w:color w:val="auto"/>
          <w:sz w:val="24"/>
          <w:szCs w:val="24"/>
          <w:u w:val="single"/>
        </w:rPr>
        <w:t>）</w:t>
      </w:r>
      <w:r>
        <w:rPr>
          <w:rFonts w:hint="eastAsia"/>
          <w:color w:val="auto"/>
          <w:sz w:val="24"/>
          <w:szCs w:val="24"/>
        </w:rPr>
        <w:t>的竞标总报价，工期：</w:t>
      </w:r>
      <w:r>
        <w:rPr>
          <w:rFonts w:hint="eastAsia"/>
          <w:color w:val="auto"/>
          <w:sz w:val="24"/>
          <w:szCs w:val="24"/>
          <w:u w:val="single"/>
          <w:lang w:val="en-US" w:eastAsia="zh-CN"/>
        </w:rPr>
        <w:t xml:space="preserve">    </w:t>
      </w:r>
      <w:r>
        <w:rPr>
          <w:rFonts w:hint="eastAsia"/>
          <w:color w:val="auto"/>
          <w:sz w:val="24"/>
          <w:szCs w:val="24"/>
        </w:rPr>
        <w:t>日历天，按合同约定实施和完成承包工程，修补工程中的任何缺陷，</w:t>
      </w:r>
      <w:r>
        <w:rPr>
          <w:rFonts w:hint="eastAsia"/>
          <w:color w:val="auto"/>
          <w:sz w:val="24"/>
          <w:szCs w:val="24"/>
          <w:lang w:val="en-US"/>
        </w:rPr>
        <w:t>质量标准：</w:t>
      </w:r>
      <w:r>
        <w:rPr>
          <w:rFonts w:hint="eastAsia"/>
          <w:color w:val="auto"/>
          <w:sz w:val="24"/>
          <w:szCs w:val="24"/>
          <w:u w:val="single"/>
          <w:lang w:val="en-US" w:eastAsia="zh-CN"/>
        </w:rPr>
        <w:t xml:space="preserve">     </w:t>
      </w:r>
      <w:r>
        <w:rPr>
          <w:rFonts w:hint="eastAsia"/>
          <w:color w:val="auto"/>
          <w:sz w:val="24"/>
          <w:szCs w:val="24"/>
          <w:lang w:val="en-US" w:bidi="en-US"/>
        </w:rPr>
        <w:t>。</w:t>
      </w:r>
    </w:p>
    <w:p w14:paraId="26F39B99">
      <w:pPr>
        <w:pStyle w:val="98"/>
        <w:numPr>
          <w:ilvl w:val="0"/>
          <w:numId w:val="3"/>
        </w:numPr>
        <w:tabs>
          <w:tab w:val="left" w:pos="762"/>
        </w:tabs>
        <w:spacing w:line="440" w:lineRule="exact"/>
        <w:ind w:firstLine="420"/>
        <w:rPr>
          <w:color w:val="auto"/>
          <w:sz w:val="24"/>
          <w:szCs w:val="24"/>
        </w:rPr>
      </w:pPr>
      <w:bookmarkStart w:id="94" w:name="bookmark2067"/>
      <w:bookmarkEnd w:id="94"/>
      <w:bookmarkStart w:id="95" w:name="bookmark2066"/>
      <w:bookmarkEnd w:id="95"/>
      <w:bookmarkStart w:id="96" w:name="bookmark2068"/>
      <w:bookmarkEnd w:id="96"/>
      <w:r>
        <w:rPr>
          <w:rFonts w:hint="eastAsia"/>
          <w:color w:val="auto"/>
          <w:sz w:val="24"/>
          <w:szCs w:val="24"/>
        </w:rPr>
        <w:t>我方承认竞标函附录是我方竞标函的组成部分。</w:t>
      </w:r>
    </w:p>
    <w:p w14:paraId="42A2C624">
      <w:pPr>
        <w:pStyle w:val="98"/>
        <w:numPr>
          <w:ilvl w:val="0"/>
          <w:numId w:val="3"/>
        </w:numPr>
        <w:tabs>
          <w:tab w:val="left" w:pos="762"/>
        </w:tabs>
        <w:spacing w:line="440" w:lineRule="exact"/>
        <w:ind w:firstLine="420"/>
        <w:rPr>
          <w:color w:val="auto"/>
          <w:sz w:val="24"/>
          <w:szCs w:val="24"/>
        </w:rPr>
      </w:pPr>
      <w:r>
        <w:rPr>
          <w:rFonts w:hint="eastAsia"/>
          <w:color w:val="auto"/>
          <w:sz w:val="24"/>
          <w:szCs w:val="24"/>
        </w:rPr>
        <w:t>如我方成交：</w:t>
      </w:r>
    </w:p>
    <w:p w14:paraId="15493356">
      <w:pPr>
        <w:pStyle w:val="98"/>
        <w:tabs>
          <w:tab w:val="left" w:pos="903"/>
        </w:tabs>
        <w:spacing w:line="440" w:lineRule="exact"/>
        <w:ind w:firstLine="420"/>
        <w:rPr>
          <w:color w:val="auto"/>
          <w:sz w:val="24"/>
          <w:szCs w:val="24"/>
        </w:rPr>
      </w:pPr>
      <w:bookmarkStart w:id="97" w:name="bookmark2069"/>
      <w:r>
        <w:rPr>
          <w:rFonts w:hint="eastAsia"/>
          <w:color w:val="auto"/>
          <w:sz w:val="24"/>
          <w:szCs w:val="24"/>
        </w:rPr>
        <w:t>（</w:t>
      </w:r>
      <w:bookmarkEnd w:id="97"/>
      <w:r>
        <w:rPr>
          <w:rFonts w:hint="eastAsia"/>
          <w:color w:val="auto"/>
          <w:sz w:val="24"/>
          <w:szCs w:val="24"/>
        </w:rPr>
        <w:t>1）我方承诺在收到成交通知书后，在成交通知书规定的期限内与你方签订合同。</w:t>
      </w:r>
    </w:p>
    <w:p w14:paraId="2F024CBE">
      <w:pPr>
        <w:pStyle w:val="98"/>
        <w:tabs>
          <w:tab w:val="left" w:pos="903"/>
        </w:tabs>
        <w:spacing w:line="440" w:lineRule="exact"/>
        <w:ind w:firstLine="420"/>
        <w:rPr>
          <w:color w:val="auto"/>
          <w:sz w:val="24"/>
          <w:szCs w:val="24"/>
        </w:rPr>
      </w:pPr>
      <w:bookmarkStart w:id="98" w:name="bookmark2070"/>
      <w:r>
        <w:rPr>
          <w:rFonts w:hint="eastAsia"/>
          <w:color w:val="auto"/>
          <w:sz w:val="24"/>
          <w:szCs w:val="24"/>
        </w:rPr>
        <w:t>（</w:t>
      </w:r>
      <w:bookmarkEnd w:id="98"/>
      <w:r>
        <w:rPr>
          <w:rFonts w:hint="eastAsia"/>
          <w:color w:val="auto"/>
          <w:sz w:val="24"/>
          <w:szCs w:val="24"/>
        </w:rPr>
        <w:t>2）在签订合同时不向你方提出附加条件。</w:t>
      </w:r>
    </w:p>
    <w:p w14:paraId="71DC88FB">
      <w:pPr>
        <w:pStyle w:val="98"/>
        <w:tabs>
          <w:tab w:val="left" w:pos="903"/>
        </w:tabs>
        <w:spacing w:line="440" w:lineRule="exact"/>
        <w:ind w:firstLine="420"/>
        <w:rPr>
          <w:color w:val="auto"/>
          <w:sz w:val="24"/>
          <w:szCs w:val="24"/>
        </w:rPr>
      </w:pPr>
      <w:bookmarkStart w:id="99" w:name="bookmark2071"/>
      <w:r>
        <w:rPr>
          <w:rFonts w:hint="eastAsia"/>
          <w:color w:val="auto"/>
          <w:sz w:val="24"/>
          <w:szCs w:val="24"/>
        </w:rPr>
        <w:t>（</w:t>
      </w:r>
      <w:bookmarkEnd w:id="99"/>
      <w:r>
        <w:rPr>
          <w:rFonts w:hint="eastAsia"/>
          <w:color w:val="auto"/>
          <w:sz w:val="24"/>
          <w:szCs w:val="24"/>
        </w:rPr>
        <w:t>3）我方承诺按照磋商文件规定向你方递交履约担保。</w:t>
      </w:r>
    </w:p>
    <w:p w14:paraId="0C0CF54E">
      <w:pPr>
        <w:pStyle w:val="98"/>
        <w:tabs>
          <w:tab w:val="left" w:pos="903"/>
        </w:tabs>
        <w:spacing w:line="440" w:lineRule="exact"/>
        <w:ind w:firstLine="420"/>
        <w:rPr>
          <w:color w:val="auto"/>
          <w:sz w:val="24"/>
          <w:szCs w:val="24"/>
        </w:rPr>
      </w:pPr>
      <w:bookmarkStart w:id="100" w:name="bookmark2072"/>
      <w:r>
        <w:rPr>
          <w:rFonts w:hint="eastAsia"/>
          <w:color w:val="auto"/>
          <w:sz w:val="24"/>
          <w:szCs w:val="24"/>
        </w:rPr>
        <w:t>（</w:t>
      </w:r>
      <w:bookmarkEnd w:id="100"/>
      <w:r>
        <w:rPr>
          <w:rFonts w:hint="eastAsia"/>
          <w:color w:val="auto"/>
          <w:sz w:val="24"/>
          <w:szCs w:val="24"/>
        </w:rPr>
        <w:t>4）我方承诺在合同约定的期限内完成并移交全部合同工程。</w:t>
      </w:r>
    </w:p>
    <w:p w14:paraId="05B43EF7">
      <w:pPr>
        <w:pStyle w:val="98"/>
        <w:numPr>
          <w:ilvl w:val="0"/>
          <w:numId w:val="3"/>
        </w:numPr>
        <w:tabs>
          <w:tab w:val="left" w:pos="762"/>
        </w:tabs>
        <w:spacing w:line="440" w:lineRule="exact"/>
        <w:ind w:firstLine="440"/>
        <w:rPr>
          <w:color w:val="auto"/>
          <w:sz w:val="24"/>
          <w:szCs w:val="24"/>
        </w:rPr>
      </w:pPr>
      <w:bookmarkStart w:id="101" w:name="bookmark2073"/>
      <w:bookmarkEnd w:id="101"/>
      <w:r>
        <w:rPr>
          <w:rFonts w:hint="eastAsia"/>
          <w:color w:val="auto"/>
          <w:sz w:val="24"/>
          <w:szCs w:val="24"/>
        </w:rPr>
        <w:t>在合同协议书正式签署生效之前，本竞标函连同你方的成交通知书将构成我们双方之间共同遵守的文件，对双方具有约束力。</w:t>
      </w:r>
    </w:p>
    <w:p w14:paraId="4127029A">
      <w:pPr>
        <w:spacing w:line="440" w:lineRule="exact"/>
        <w:ind w:firstLine="480" w:firstLineChars="200"/>
        <w:rPr>
          <w:rFonts w:ascii="宋体" w:hAnsi="宋体" w:cs="宋体"/>
          <w:color w:val="auto"/>
          <w:sz w:val="24"/>
          <w:szCs w:val="24"/>
        </w:rPr>
      </w:pPr>
      <w:bookmarkStart w:id="102" w:name="bookmark2074"/>
      <w:bookmarkEnd w:id="102"/>
      <w:r>
        <w:rPr>
          <w:rFonts w:hint="eastAsia" w:ascii="宋体" w:hAnsi="宋体" w:cs="宋体"/>
          <w:color w:val="auto"/>
          <w:sz w:val="24"/>
          <w:szCs w:val="24"/>
        </w:rPr>
        <w:t>5.（其他补充说明）。</w:t>
      </w:r>
    </w:p>
    <w:p w14:paraId="639531E7">
      <w:pPr>
        <w:spacing w:line="440" w:lineRule="exact"/>
        <w:jc w:val="center"/>
        <w:rPr>
          <w:rFonts w:ascii="宋体" w:hAnsi="宋体" w:cs="宋体"/>
          <w:b/>
          <w:bCs/>
          <w:color w:val="auto"/>
          <w:sz w:val="24"/>
          <w:szCs w:val="24"/>
        </w:rPr>
      </w:pPr>
    </w:p>
    <w:p w14:paraId="3155822D">
      <w:pPr>
        <w:spacing w:line="440" w:lineRule="exact"/>
        <w:ind w:right="-817" w:rightChars="-389" w:firstLine="2640" w:firstLineChars="1100"/>
        <w:contextualSpacing/>
        <w:rPr>
          <w:rFonts w:ascii="宋体" w:hAnsi="宋体" w:cs="宋体"/>
          <w:color w:val="auto"/>
          <w:sz w:val="24"/>
          <w:szCs w:val="24"/>
        </w:rPr>
      </w:pPr>
      <w:r>
        <w:rPr>
          <w:rFonts w:hint="eastAsia" w:ascii="宋体" w:hAnsi="宋体" w:cs="宋体"/>
          <w:color w:val="auto"/>
          <w:sz w:val="24"/>
          <w:szCs w:val="24"/>
        </w:rPr>
        <w:t xml:space="preserve">法定代表人或者委托代理人（签字或者电子签名）：                    </w:t>
      </w:r>
    </w:p>
    <w:p w14:paraId="47D227C8">
      <w:pPr>
        <w:spacing w:line="440" w:lineRule="exact"/>
        <w:ind w:right="-817" w:rightChars="-389" w:firstLine="2640" w:firstLineChars="1100"/>
        <w:contextualSpacing/>
        <w:rPr>
          <w:rFonts w:ascii="宋体" w:hAnsi="宋体" w:cs="宋体"/>
          <w:color w:val="auto"/>
          <w:sz w:val="24"/>
          <w:szCs w:val="24"/>
        </w:rPr>
      </w:pPr>
      <w:r>
        <w:rPr>
          <w:rFonts w:hint="eastAsia" w:ascii="宋体" w:hAnsi="宋体" w:cs="宋体"/>
          <w:color w:val="auto"/>
          <w:sz w:val="24"/>
          <w:szCs w:val="24"/>
        </w:rPr>
        <w:t xml:space="preserve">供应商（电子签章）：      </w:t>
      </w:r>
    </w:p>
    <w:p w14:paraId="33654109">
      <w:pPr>
        <w:spacing w:line="440" w:lineRule="exact"/>
        <w:jc w:val="center"/>
        <w:rPr>
          <w:rFonts w:ascii="宋体" w:hAnsi="宋体" w:cs="宋体"/>
          <w:b/>
          <w:bCs/>
          <w:color w:val="auto"/>
          <w:sz w:val="32"/>
          <w:szCs w:val="32"/>
        </w:rPr>
      </w:pPr>
      <w:r>
        <w:rPr>
          <w:rFonts w:hint="eastAsia" w:ascii="宋体" w:hAnsi="宋体" w:cs="宋体"/>
          <w:color w:val="auto"/>
          <w:sz w:val="24"/>
          <w:szCs w:val="24"/>
        </w:rPr>
        <w:t>日期：   年   月   日</w:t>
      </w:r>
      <w:r>
        <w:rPr>
          <w:rFonts w:hint="eastAsia" w:ascii="宋体" w:hAnsi="宋体" w:cs="宋体"/>
          <w:b/>
          <w:bCs/>
          <w:color w:val="auto"/>
          <w:sz w:val="32"/>
          <w:szCs w:val="32"/>
        </w:rPr>
        <w:br w:type="page"/>
      </w:r>
      <w:r>
        <w:rPr>
          <w:rFonts w:hint="eastAsia" w:ascii="宋体" w:hAnsi="宋体" w:cs="宋体"/>
          <w:b/>
          <w:bCs/>
          <w:color w:val="auto"/>
          <w:sz w:val="32"/>
          <w:szCs w:val="32"/>
        </w:rPr>
        <w:t>（二）竞标函附录</w:t>
      </w:r>
    </w:p>
    <w:tbl>
      <w:tblPr>
        <w:tblStyle w:val="47"/>
        <w:tblW w:w="89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6"/>
        <w:gridCol w:w="2399"/>
        <w:gridCol w:w="1441"/>
        <w:gridCol w:w="3379"/>
        <w:gridCol w:w="749"/>
      </w:tblGrid>
      <w:tr w14:paraId="1CEB6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976" w:type="dxa"/>
            <w:noWrap/>
          </w:tcPr>
          <w:p w14:paraId="29FBC8CB">
            <w:pPr>
              <w:pStyle w:val="270"/>
              <w:autoSpaceDE w:val="0"/>
              <w:autoSpaceDN w:val="0"/>
              <w:spacing w:before="128" w:line="440" w:lineRule="exact"/>
              <w:ind w:left="109" w:right="100"/>
              <w:jc w:val="center"/>
              <w:rPr>
                <w:rFonts w:ascii="宋体" w:hAnsi="宋体" w:cs="宋体"/>
                <w:b/>
                <w:color w:val="auto"/>
                <w:kern w:val="0"/>
                <w:sz w:val="24"/>
                <w:szCs w:val="24"/>
                <w:lang w:val="zh-CN" w:eastAsia="en-US" w:bidi="zh-CN"/>
              </w:rPr>
            </w:pPr>
            <w:r>
              <w:rPr>
                <w:rFonts w:hint="eastAsia" w:ascii="宋体" w:hAnsi="宋体" w:cs="宋体"/>
                <w:b/>
                <w:color w:val="auto"/>
                <w:kern w:val="0"/>
                <w:sz w:val="24"/>
                <w:szCs w:val="24"/>
                <w:lang w:val="zh-CN" w:eastAsia="en-US" w:bidi="zh-CN"/>
              </w:rPr>
              <w:t>序号</w:t>
            </w:r>
          </w:p>
        </w:tc>
        <w:tc>
          <w:tcPr>
            <w:tcW w:w="2399" w:type="dxa"/>
            <w:noWrap/>
          </w:tcPr>
          <w:p w14:paraId="77AFA649">
            <w:pPr>
              <w:pStyle w:val="270"/>
              <w:autoSpaceDE w:val="0"/>
              <w:autoSpaceDN w:val="0"/>
              <w:spacing w:before="128" w:line="440" w:lineRule="exact"/>
              <w:ind w:left="285" w:right="276"/>
              <w:jc w:val="center"/>
              <w:rPr>
                <w:rFonts w:ascii="宋体" w:hAnsi="宋体" w:cs="宋体"/>
                <w:b/>
                <w:color w:val="auto"/>
                <w:kern w:val="0"/>
                <w:sz w:val="24"/>
                <w:szCs w:val="24"/>
                <w:lang w:val="zh-CN" w:eastAsia="en-US" w:bidi="zh-CN"/>
              </w:rPr>
            </w:pPr>
            <w:r>
              <w:rPr>
                <w:rFonts w:hint="eastAsia" w:ascii="宋体" w:hAnsi="宋体" w:cs="宋体"/>
                <w:b/>
                <w:color w:val="auto"/>
                <w:kern w:val="0"/>
                <w:sz w:val="24"/>
                <w:szCs w:val="24"/>
                <w:lang w:val="zh-CN" w:eastAsia="en-US" w:bidi="zh-CN"/>
              </w:rPr>
              <w:t>条款名称</w:t>
            </w:r>
          </w:p>
        </w:tc>
        <w:tc>
          <w:tcPr>
            <w:tcW w:w="1441" w:type="dxa"/>
            <w:noWrap/>
          </w:tcPr>
          <w:p w14:paraId="5DA61910">
            <w:pPr>
              <w:pStyle w:val="270"/>
              <w:autoSpaceDE w:val="0"/>
              <w:autoSpaceDN w:val="0"/>
              <w:spacing w:before="128" w:line="440" w:lineRule="exact"/>
              <w:ind w:left="6"/>
              <w:jc w:val="center"/>
              <w:rPr>
                <w:rFonts w:ascii="宋体" w:hAnsi="宋体" w:cs="宋体"/>
                <w:b/>
                <w:color w:val="auto"/>
                <w:kern w:val="0"/>
                <w:sz w:val="24"/>
                <w:szCs w:val="24"/>
                <w:lang w:val="zh-CN" w:eastAsia="en-US" w:bidi="zh-CN"/>
              </w:rPr>
            </w:pPr>
            <w:r>
              <w:rPr>
                <w:rFonts w:hint="eastAsia" w:ascii="宋体" w:hAnsi="宋体" w:cs="宋体"/>
                <w:b/>
                <w:color w:val="auto"/>
                <w:kern w:val="0"/>
                <w:sz w:val="24"/>
                <w:szCs w:val="24"/>
                <w:lang w:val="zh-CN" w:eastAsia="en-US" w:bidi="zh-CN"/>
              </w:rPr>
              <w:t>合同条目号</w:t>
            </w:r>
          </w:p>
        </w:tc>
        <w:tc>
          <w:tcPr>
            <w:tcW w:w="3379" w:type="dxa"/>
            <w:noWrap/>
          </w:tcPr>
          <w:p w14:paraId="17A84598">
            <w:pPr>
              <w:pStyle w:val="270"/>
              <w:autoSpaceDE w:val="0"/>
              <w:autoSpaceDN w:val="0"/>
              <w:spacing w:before="128" w:line="440" w:lineRule="exact"/>
              <w:ind w:right="1358" w:firstLine="964" w:firstLineChars="400"/>
              <w:rPr>
                <w:rFonts w:ascii="宋体" w:hAnsi="宋体" w:cs="宋体"/>
                <w:b/>
                <w:color w:val="auto"/>
                <w:kern w:val="0"/>
                <w:sz w:val="24"/>
                <w:szCs w:val="24"/>
                <w:lang w:val="zh-CN" w:eastAsia="en-US" w:bidi="zh-CN"/>
              </w:rPr>
            </w:pPr>
            <w:r>
              <w:rPr>
                <w:rFonts w:hint="eastAsia" w:ascii="宋体" w:hAnsi="宋体" w:cs="宋体"/>
                <w:b/>
                <w:color w:val="auto"/>
                <w:kern w:val="0"/>
                <w:sz w:val="24"/>
                <w:szCs w:val="24"/>
                <w:lang w:val="zh-CN" w:eastAsia="en-US" w:bidi="zh-CN"/>
              </w:rPr>
              <w:t>约定内容</w:t>
            </w:r>
          </w:p>
        </w:tc>
        <w:tc>
          <w:tcPr>
            <w:tcW w:w="749" w:type="dxa"/>
            <w:noWrap/>
          </w:tcPr>
          <w:p w14:paraId="38412446">
            <w:pPr>
              <w:pStyle w:val="270"/>
              <w:autoSpaceDE w:val="0"/>
              <w:autoSpaceDN w:val="0"/>
              <w:spacing w:before="128" w:line="440" w:lineRule="exact"/>
              <w:ind w:left="158"/>
              <w:jc w:val="left"/>
              <w:rPr>
                <w:rFonts w:ascii="宋体" w:hAnsi="宋体" w:cs="宋体"/>
                <w:b/>
                <w:color w:val="auto"/>
                <w:kern w:val="0"/>
                <w:sz w:val="24"/>
                <w:szCs w:val="24"/>
                <w:lang w:val="zh-CN" w:eastAsia="en-US" w:bidi="zh-CN"/>
              </w:rPr>
            </w:pPr>
            <w:r>
              <w:rPr>
                <w:rFonts w:hint="eastAsia" w:ascii="宋体" w:hAnsi="宋体" w:cs="宋体"/>
                <w:b/>
                <w:color w:val="auto"/>
                <w:kern w:val="0"/>
                <w:sz w:val="24"/>
                <w:szCs w:val="24"/>
                <w:lang w:val="zh-CN" w:eastAsia="en-US" w:bidi="zh-CN"/>
              </w:rPr>
              <w:t>备注</w:t>
            </w:r>
          </w:p>
        </w:tc>
      </w:tr>
      <w:tr w14:paraId="46552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76" w:type="dxa"/>
            <w:noWrap/>
            <w:vAlign w:val="center"/>
          </w:tcPr>
          <w:p w14:paraId="499CB4A0">
            <w:pPr>
              <w:pStyle w:val="270"/>
              <w:autoSpaceDE w:val="0"/>
              <w:autoSpaceDN w:val="0"/>
              <w:spacing w:before="151" w:line="360" w:lineRule="exact"/>
              <w:ind w:left="9"/>
              <w:jc w:val="center"/>
              <w:rPr>
                <w:rFonts w:ascii="宋体" w:hAnsi="宋体" w:cs="宋体"/>
                <w:color w:val="auto"/>
                <w:kern w:val="0"/>
                <w:sz w:val="24"/>
                <w:szCs w:val="24"/>
                <w:lang w:val="zh-CN" w:eastAsia="en-US" w:bidi="zh-CN"/>
              </w:rPr>
            </w:pPr>
            <w:r>
              <w:rPr>
                <w:rFonts w:hint="eastAsia" w:ascii="宋体" w:hAnsi="宋体" w:cs="宋体"/>
                <w:color w:val="auto"/>
                <w:kern w:val="0"/>
                <w:sz w:val="24"/>
                <w:szCs w:val="24"/>
                <w:lang w:val="zh-CN" w:eastAsia="en-US" w:bidi="zh-CN"/>
              </w:rPr>
              <w:t>1</w:t>
            </w:r>
          </w:p>
        </w:tc>
        <w:tc>
          <w:tcPr>
            <w:tcW w:w="2399" w:type="dxa"/>
            <w:noWrap/>
            <w:vAlign w:val="center"/>
          </w:tcPr>
          <w:p w14:paraId="0F442D47">
            <w:pPr>
              <w:pStyle w:val="270"/>
              <w:autoSpaceDE w:val="0"/>
              <w:autoSpaceDN w:val="0"/>
              <w:spacing w:before="128" w:line="360" w:lineRule="exact"/>
              <w:ind w:left="283" w:right="276"/>
              <w:jc w:val="center"/>
              <w:rPr>
                <w:rFonts w:ascii="宋体" w:hAnsi="宋体" w:cs="宋体"/>
                <w:color w:val="auto"/>
                <w:kern w:val="0"/>
                <w:sz w:val="24"/>
                <w:szCs w:val="24"/>
                <w:lang w:val="zh-CN" w:eastAsia="en-US" w:bidi="zh-CN"/>
              </w:rPr>
            </w:pPr>
            <w:r>
              <w:rPr>
                <w:rFonts w:hint="eastAsia" w:ascii="宋体" w:hAnsi="宋体" w:cs="宋体"/>
                <w:color w:val="auto"/>
                <w:kern w:val="0"/>
                <w:sz w:val="24"/>
                <w:szCs w:val="24"/>
                <w:lang w:val="zh-CN" w:eastAsia="en-US" w:bidi="zh-CN"/>
              </w:rPr>
              <w:t>缺陷责任期</w:t>
            </w:r>
          </w:p>
        </w:tc>
        <w:tc>
          <w:tcPr>
            <w:tcW w:w="1441" w:type="dxa"/>
            <w:noWrap/>
            <w:vAlign w:val="center"/>
          </w:tcPr>
          <w:p w14:paraId="360B0F0D">
            <w:pPr>
              <w:spacing w:line="360" w:lineRule="exact"/>
              <w:jc w:val="center"/>
              <w:rPr>
                <w:rFonts w:ascii="宋体" w:hAnsi="宋体" w:cs="宋体"/>
                <w:color w:val="auto"/>
                <w:kern w:val="0"/>
                <w:sz w:val="24"/>
                <w:lang w:val="zh-CN" w:eastAsia="en-US" w:bidi="zh-CN"/>
              </w:rPr>
            </w:pPr>
            <w:r>
              <w:rPr>
                <w:rFonts w:hint="eastAsia" w:ascii="宋体" w:hAnsi="宋体" w:cs="宋体"/>
                <w:color w:val="auto"/>
                <w:kern w:val="0"/>
                <w:sz w:val="24"/>
                <w:lang w:val="zh-CN" w:eastAsia="en-US" w:bidi="zh-CN"/>
              </w:rPr>
              <w:t>1.1.4.5</w:t>
            </w:r>
          </w:p>
        </w:tc>
        <w:tc>
          <w:tcPr>
            <w:tcW w:w="3379" w:type="dxa"/>
            <w:noWrap/>
          </w:tcPr>
          <w:p w14:paraId="4B3B3353">
            <w:pPr>
              <w:pStyle w:val="270"/>
              <w:tabs>
                <w:tab w:val="left" w:pos="2520"/>
              </w:tabs>
              <w:autoSpaceDE w:val="0"/>
              <w:autoSpaceDN w:val="0"/>
              <w:spacing w:before="128" w:line="360" w:lineRule="exact"/>
              <w:jc w:val="left"/>
              <w:rPr>
                <w:rFonts w:ascii="宋体" w:hAnsi="宋体" w:cs="宋体"/>
                <w:color w:val="auto"/>
                <w:kern w:val="0"/>
                <w:sz w:val="24"/>
                <w:szCs w:val="24"/>
                <w:u w:val="single"/>
                <w:lang w:bidi="zh-CN"/>
              </w:rPr>
            </w:pPr>
            <w:r>
              <w:rPr>
                <w:rFonts w:hint="eastAsia" w:ascii="宋体" w:hAnsi="宋体" w:cs="宋体"/>
                <w:color w:val="auto"/>
                <w:kern w:val="0"/>
                <w:sz w:val="24"/>
                <w:szCs w:val="24"/>
                <w:lang w:val="zh-CN" w:bidi="zh-CN"/>
              </w:rPr>
              <w:t>自实</w:t>
            </w:r>
            <w:r>
              <w:rPr>
                <w:rFonts w:hint="eastAsia" w:ascii="宋体" w:hAnsi="宋体" w:cs="宋体"/>
                <w:color w:val="auto"/>
                <w:spacing w:val="-3"/>
                <w:kern w:val="0"/>
                <w:sz w:val="24"/>
                <w:szCs w:val="24"/>
                <w:lang w:val="zh-CN" w:bidi="zh-CN"/>
              </w:rPr>
              <w:t>际</w:t>
            </w:r>
            <w:r>
              <w:rPr>
                <w:rFonts w:hint="eastAsia" w:ascii="宋体" w:hAnsi="宋体" w:cs="宋体"/>
                <w:color w:val="auto"/>
                <w:kern w:val="0"/>
                <w:sz w:val="24"/>
                <w:szCs w:val="24"/>
                <w:lang w:val="zh-CN" w:bidi="zh-CN"/>
              </w:rPr>
              <w:t>交</w:t>
            </w:r>
            <w:r>
              <w:rPr>
                <w:rFonts w:hint="eastAsia" w:ascii="宋体" w:hAnsi="宋体" w:cs="宋体"/>
                <w:color w:val="auto"/>
                <w:spacing w:val="-3"/>
                <w:kern w:val="0"/>
                <w:sz w:val="24"/>
                <w:szCs w:val="24"/>
                <w:lang w:val="zh-CN" w:bidi="zh-CN"/>
              </w:rPr>
              <w:t>工</w:t>
            </w:r>
            <w:r>
              <w:rPr>
                <w:rFonts w:hint="eastAsia" w:ascii="宋体" w:hAnsi="宋体" w:cs="宋体"/>
                <w:color w:val="auto"/>
                <w:kern w:val="0"/>
                <w:sz w:val="24"/>
                <w:szCs w:val="24"/>
                <w:lang w:val="zh-CN" w:bidi="zh-CN"/>
              </w:rPr>
              <w:t>日</w:t>
            </w:r>
            <w:r>
              <w:rPr>
                <w:rFonts w:hint="eastAsia" w:ascii="宋体" w:hAnsi="宋体" w:cs="宋体"/>
                <w:color w:val="auto"/>
                <w:spacing w:val="-3"/>
                <w:kern w:val="0"/>
                <w:sz w:val="24"/>
                <w:szCs w:val="24"/>
                <w:lang w:val="zh-CN" w:bidi="zh-CN"/>
              </w:rPr>
              <w:t>期</w:t>
            </w:r>
            <w:r>
              <w:rPr>
                <w:rFonts w:hint="eastAsia" w:ascii="宋体" w:hAnsi="宋体" w:cs="宋体"/>
                <w:color w:val="auto"/>
                <w:kern w:val="0"/>
                <w:sz w:val="24"/>
                <w:szCs w:val="24"/>
                <w:lang w:val="zh-CN" w:bidi="zh-CN"/>
              </w:rPr>
              <w:t>起</w:t>
            </w:r>
            <w:r>
              <w:rPr>
                <w:rFonts w:hint="eastAsia" w:ascii="宋体" w:hAnsi="宋体" w:cs="宋体"/>
                <w:color w:val="auto"/>
                <w:spacing w:val="-3"/>
                <w:kern w:val="0"/>
                <w:sz w:val="24"/>
                <w:szCs w:val="24"/>
                <w:lang w:val="zh-CN" w:bidi="zh-CN"/>
              </w:rPr>
              <w:t>计</w:t>
            </w:r>
            <w:r>
              <w:rPr>
                <w:rFonts w:hint="eastAsia" w:ascii="宋体" w:hAnsi="宋体" w:cs="宋体"/>
                <w:color w:val="auto"/>
                <w:kern w:val="0"/>
                <w:sz w:val="24"/>
                <w:szCs w:val="24"/>
                <w:lang w:val="zh-CN" w:bidi="zh-CN"/>
              </w:rPr>
              <w:t>算</w:t>
            </w:r>
            <w:r>
              <w:rPr>
                <w:rFonts w:ascii="宋体" w:hAnsi="宋体" w:cs="宋体"/>
                <w:color w:val="auto"/>
                <w:kern w:val="0"/>
                <w:sz w:val="22"/>
                <w:u w:val="single"/>
                <w:lang w:val="zh-CN" w:eastAsia="en-US" w:bidi="zh-CN"/>
              </w:rPr>
              <w:t xml:space="preserve"> </w:t>
            </w:r>
            <w:r>
              <w:rPr>
                <w:rFonts w:hint="eastAsia" w:ascii="宋体" w:hAnsi="宋体" w:cs="宋体"/>
                <w:color w:val="auto"/>
                <w:kern w:val="0"/>
                <w:sz w:val="22"/>
                <w:u w:val="single"/>
                <w:lang w:val="en-US" w:eastAsia="en-US" w:bidi="zh-CN"/>
              </w:rPr>
              <w:t xml:space="preserve">   </w:t>
            </w:r>
            <w:r>
              <w:rPr>
                <w:rFonts w:hint="eastAsia" w:ascii="宋体" w:hAnsi="宋体" w:cs="宋体"/>
                <w:color w:val="auto"/>
                <w:kern w:val="0"/>
                <w:sz w:val="24"/>
                <w:szCs w:val="24"/>
                <w:lang w:bidi="zh-CN"/>
              </w:rPr>
              <w:t>年</w:t>
            </w:r>
          </w:p>
        </w:tc>
        <w:tc>
          <w:tcPr>
            <w:tcW w:w="749" w:type="dxa"/>
            <w:noWrap/>
          </w:tcPr>
          <w:p w14:paraId="2F6890B2">
            <w:pPr>
              <w:pStyle w:val="270"/>
              <w:autoSpaceDE w:val="0"/>
              <w:autoSpaceDN w:val="0"/>
              <w:spacing w:line="360" w:lineRule="exact"/>
              <w:jc w:val="left"/>
              <w:rPr>
                <w:rFonts w:ascii="宋体" w:hAnsi="宋体" w:cs="宋体"/>
                <w:color w:val="auto"/>
                <w:kern w:val="0"/>
                <w:sz w:val="24"/>
                <w:szCs w:val="24"/>
                <w:lang w:val="zh-CN" w:bidi="zh-CN"/>
              </w:rPr>
            </w:pPr>
          </w:p>
        </w:tc>
      </w:tr>
      <w:tr w14:paraId="20F33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976" w:type="dxa"/>
            <w:noWrap/>
            <w:vAlign w:val="center"/>
          </w:tcPr>
          <w:p w14:paraId="3FF7EBAC">
            <w:pPr>
              <w:pStyle w:val="270"/>
              <w:autoSpaceDE w:val="0"/>
              <w:autoSpaceDN w:val="0"/>
              <w:spacing w:before="154" w:line="360" w:lineRule="exact"/>
              <w:ind w:left="9"/>
              <w:jc w:val="center"/>
              <w:rPr>
                <w:rFonts w:ascii="宋体" w:hAnsi="宋体" w:cs="宋体"/>
                <w:color w:val="auto"/>
                <w:kern w:val="0"/>
                <w:sz w:val="24"/>
                <w:szCs w:val="24"/>
                <w:lang w:val="zh-CN" w:eastAsia="en-US" w:bidi="zh-CN"/>
              </w:rPr>
            </w:pPr>
            <w:r>
              <w:rPr>
                <w:rFonts w:hint="eastAsia" w:ascii="宋体" w:hAnsi="宋体" w:cs="宋体"/>
                <w:color w:val="auto"/>
                <w:kern w:val="0"/>
                <w:sz w:val="24"/>
                <w:szCs w:val="24"/>
                <w:lang w:val="zh-CN" w:eastAsia="en-US" w:bidi="zh-CN"/>
              </w:rPr>
              <w:t>2</w:t>
            </w:r>
          </w:p>
        </w:tc>
        <w:tc>
          <w:tcPr>
            <w:tcW w:w="2399" w:type="dxa"/>
            <w:noWrap/>
            <w:vAlign w:val="center"/>
          </w:tcPr>
          <w:p w14:paraId="56D5BD71">
            <w:pPr>
              <w:pStyle w:val="270"/>
              <w:autoSpaceDE w:val="0"/>
              <w:autoSpaceDN w:val="0"/>
              <w:spacing w:before="130" w:line="360" w:lineRule="exact"/>
              <w:ind w:left="285" w:right="276"/>
              <w:jc w:val="center"/>
              <w:rPr>
                <w:rFonts w:ascii="宋体" w:hAnsi="宋体" w:cs="宋体"/>
                <w:color w:val="auto"/>
                <w:kern w:val="0"/>
                <w:sz w:val="24"/>
                <w:szCs w:val="24"/>
                <w:lang w:val="zh-CN" w:eastAsia="en-US" w:bidi="zh-CN"/>
              </w:rPr>
            </w:pPr>
            <w:r>
              <w:rPr>
                <w:rFonts w:hint="eastAsia" w:ascii="宋体" w:hAnsi="宋体" w:cs="宋体"/>
                <w:color w:val="auto"/>
                <w:kern w:val="0"/>
                <w:sz w:val="24"/>
                <w:szCs w:val="24"/>
                <w:lang w:val="zh-CN" w:eastAsia="en-US" w:bidi="zh-CN"/>
              </w:rPr>
              <w:t>逾期交工违约金</w:t>
            </w:r>
          </w:p>
        </w:tc>
        <w:tc>
          <w:tcPr>
            <w:tcW w:w="1441" w:type="dxa"/>
            <w:noWrap/>
            <w:vAlign w:val="center"/>
          </w:tcPr>
          <w:p w14:paraId="58555C88">
            <w:pPr>
              <w:spacing w:line="360" w:lineRule="exact"/>
              <w:jc w:val="center"/>
              <w:rPr>
                <w:rFonts w:ascii="宋体" w:hAnsi="宋体" w:cs="宋体"/>
                <w:color w:val="auto"/>
                <w:kern w:val="0"/>
                <w:sz w:val="24"/>
                <w:lang w:eastAsia="en-US" w:bidi="zh-CN"/>
              </w:rPr>
            </w:pPr>
            <w:r>
              <w:rPr>
                <w:rFonts w:hint="eastAsia" w:ascii="宋体" w:hAnsi="宋体" w:cs="宋体"/>
                <w:color w:val="auto"/>
                <w:kern w:val="0"/>
                <w:sz w:val="24"/>
                <w:lang w:eastAsia="en-US" w:bidi="zh-CN"/>
              </w:rPr>
              <w:t>11.5</w:t>
            </w:r>
          </w:p>
        </w:tc>
        <w:tc>
          <w:tcPr>
            <w:tcW w:w="3379" w:type="dxa"/>
            <w:noWrap/>
          </w:tcPr>
          <w:p w14:paraId="415E61E7">
            <w:pPr>
              <w:pStyle w:val="270"/>
              <w:tabs>
                <w:tab w:val="left" w:pos="528"/>
              </w:tabs>
              <w:autoSpaceDE w:val="0"/>
              <w:autoSpaceDN w:val="0"/>
              <w:spacing w:before="130" w:line="360" w:lineRule="exact"/>
              <w:jc w:val="left"/>
              <w:rPr>
                <w:rFonts w:ascii="宋体" w:hAnsi="宋体" w:cs="宋体"/>
                <w:color w:val="auto"/>
                <w:kern w:val="0"/>
                <w:sz w:val="24"/>
                <w:szCs w:val="24"/>
                <w:lang w:val="zh-CN" w:eastAsia="en-US" w:bidi="zh-CN"/>
              </w:rPr>
            </w:pPr>
            <w:r>
              <w:rPr>
                <w:rFonts w:ascii="宋体" w:hAnsi="宋体" w:cs="宋体"/>
                <w:color w:val="auto"/>
                <w:kern w:val="0"/>
                <w:sz w:val="22"/>
                <w:u w:val="single"/>
                <w:lang w:val="zh-CN" w:eastAsia="en-US" w:bidi="zh-CN"/>
              </w:rPr>
              <w:t xml:space="preserve"> </w:t>
            </w:r>
            <w:r>
              <w:rPr>
                <w:rFonts w:hint="eastAsia" w:ascii="宋体" w:hAnsi="宋体" w:cs="宋体"/>
                <w:color w:val="auto"/>
                <w:kern w:val="0"/>
                <w:sz w:val="22"/>
                <w:u w:val="single"/>
                <w:lang w:val="en-US" w:eastAsia="en-US" w:bidi="zh-CN"/>
              </w:rPr>
              <w:t xml:space="preserve">   </w:t>
            </w:r>
            <w:r>
              <w:rPr>
                <w:rFonts w:hint="eastAsia" w:ascii="宋体" w:hAnsi="宋体" w:cs="宋体"/>
                <w:color w:val="auto"/>
                <w:kern w:val="0"/>
                <w:sz w:val="22"/>
                <w:lang w:val="en-US" w:eastAsia="en-US" w:bidi="zh-CN"/>
              </w:rPr>
              <w:t xml:space="preserve"> </w:t>
            </w:r>
            <w:r>
              <w:rPr>
                <w:rFonts w:hint="eastAsia" w:ascii="宋体" w:hAnsi="宋体" w:cs="宋体"/>
                <w:color w:val="auto"/>
                <w:kern w:val="0"/>
                <w:sz w:val="24"/>
                <w:szCs w:val="24"/>
                <w:lang w:val="zh-CN" w:eastAsia="en-US" w:bidi="zh-CN"/>
              </w:rPr>
              <w:t>元</w:t>
            </w:r>
            <w:r>
              <w:rPr>
                <w:rFonts w:hint="eastAsia" w:ascii="宋体" w:hAnsi="宋体" w:cs="宋体"/>
                <w:color w:val="auto"/>
                <w:spacing w:val="-4"/>
                <w:kern w:val="0"/>
                <w:sz w:val="24"/>
                <w:szCs w:val="24"/>
                <w:lang w:val="zh-CN" w:eastAsia="en-US" w:bidi="zh-CN"/>
              </w:rPr>
              <w:t>/</w:t>
            </w:r>
            <w:r>
              <w:rPr>
                <w:rFonts w:hint="eastAsia" w:ascii="宋体" w:hAnsi="宋体" w:cs="宋体"/>
                <w:color w:val="auto"/>
                <w:kern w:val="0"/>
                <w:sz w:val="24"/>
                <w:szCs w:val="24"/>
                <w:lang w:val="zh-CN" w:eastAsia="en-US" w:bidi="zh-CN"/>
              </w:rPr>
              <w:t>天</w:t>
            </w:r>
          </w:p>
        </w:tc>
        <w:tc>
          <w:tcPr>
            <w:tcW w:w="749" w:type="dxa"/>
            <w:noWrap/>
          </w:tcPr>
          <w:p w14:paraId="24284C75">
            <w:pPr>
              <w:pStyle w:val="270"/>
              <w:autoSpaceDE w:val="0"/>
              <w:autoSpaceDN w:val="0"/>
              <w:spacing w:line="360" w:lineRule="exact"/>
              <w:jc w:val="left"/>
              <w:rPr>
                <w:rFonts w:ascii="宋体" w:hAnsi="宋体" w:cs="宋体"/>
                <w:color w:val="auto"/>
                <w:kern w:val="0"/>
                <w:sz w:val="24"/>
                <w:szCs w:val="24"/>
                <w:lang w:val="zh-CN" w:eastAsia="en-US" w:bidi="zh-CN"/>
              </w:rPr>
            </w:pPr>
          </w:p>
        </w:tc>
      </w:tr>
      <w:tr w14:paraId="5D2E8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976" w:type="dxa"/>
            <w:noWrap/>
            <w:vAlign w:val="center"/>
          </w:tcPr>
          <w:p w14:paraId="10A28A1D">
            <w:pPr>
              <w:pStyle w:val="270"/>
              <w:autoSpaceDE w:val="0"/>
              <w:autoSpaceDN w:val="0"/>
              <w:spacing w:before="151" w:line="360" w:lineRule="exact"/>
              <w:ind w:left="9"/>
              <w:jc w:val="center"/>
              <w:rPr>
                <w:rFonts w:ascii="宋体" w:hAnsi="宋体" w:cs="宋体"/>
                <w:color w:val="auto"/>
                <w:kern w:val="0"/>
                <w:sz w:val="24"/>
                <w:szCs w:val="24"/>
                <w:lang w:val="zh-CN" w:eastAsia="en-US" w:bidi="zh-CN"/>
              </w:rPr>
            </w:pPr>
            <w:r>
              <w:rPr>
                <w:rFonts w:hint="eastAsia" w:ascii="宋体" w:hAnsi="宋体" w:cs="宋体"/>
                <w:color w:val="auto"/>
                <w:kern w:val="0"/>
                <w:sz w:val="24"/>
                <w:szCs w:val="24"/>
                <w:lang w:val="zh-CN" w:eastAsia="en-US" w:bidi="zh-CN"/>
              </w:rPr>
              <w:t>3</w:t>
            </w:r>
          </w:p>
        </w:tc>
        <w:tc>
          <w:tcPr>
            <w:tcW w:w="2399" w:type="dxa"/>
            <w:noWrap/>
            <w:vAlign w:val="center"/>
          </w:tcPr>
          <w:p w14:paraId="500FCD56">
            <w:pPr>
              <w:pStyle w:val="270"/>
              <w:autoSpaceDE w:val="0"/>
              <w:autoSpaceDN w:val="0"/>
              <w:spacing w:before="128" w:line="360" w:lineRule="exact"/>
              <w:ind w:left="283" w:right="276"/>
              <w:jc w:val="center"/>
              <w:rPr>
                <w:rFonts w:ascii="宋体" w:hAnsi="宋体" w:cs="宋体"/>
                <w:color w:val="auto"/>
                <w:kern w:val="0"/>
                <w:sz w:val="24"/>
                <w:szCs w:val="24"/>
                <w:lang w:val="zh-CN" w:eastAsia="en-US" w:bidi="zh-CN"/>
              </w:rPr>
            </w:pPr>
            <w:r>
              <w:rPr>
                <w:rFonts w:hint="eastAsia" w:ascii="宋体" w:hAnsi="宋体" w:cs="宋体"/>
                <w:color w:val="auto"/>
                <w:kern w:val="0"/>
                <w:sz w:val="24"/>
                <w:szCs w:val="24"/>
                <w:lang w:val="zh-CN" w:eastAsia="en-US" w:bidi="zh-CN"/>
              </w:rPr>
              <w:t>逾期交工违约金限额</w:t>
            </w:r>
          </w:p>
        </w:tc>
        <w:tc>
          <w:tcPr>
            <w:tcW w:w="1441" w:type="dxa"/>
            <w:noWrap/>
            <w:vAlign w:val="center"/>
          </w:tcPr>
          <w:p w14:paraId="21DCE042">
            <w:pPr>
              <w:spacing w:line="360" w:lineRule="exact"/>
              <w:jc w:val="center"/>
              <w:rPr>
                <w:rFonts w:ascii="宋体" w:hAnsi="宋体" w:cs="宋体"/>
                <w:color w:val="auto"/>
                <w:kern w:val="0"/>
                <w:sz w:val="24"/>
                <w:lang w:eastAsia="en-US" w:bidi="zh-CN"/>
              </w:rPr>
            </w:pPr>
            <w:r>
              <w:rPr>
                <w:rFonts w:hint="eastAsia" w:ascii="宋体" w:hAnsi="宋体" w:cs="宋体"/>
                <w:color w:val="auto"/>
                <w:kern w:val="0"/>
                <w:sz w:val="24"/>
                <w:lang w:eastAsia="en-US" w:bidi="zh-CN"/>
              </w:rPr>
              <w:t>11.5</w:t>
            </w:r>
          </w:p>
        </w:tc>
        <w:tc>
          <w:tcPr>
            <w:tcW w:w="3379" w:type="dxa"/>
            <w:noWrap/>
          </w:tcPr>
          <w:p w14:paraId="01972BD9">
            <w:pPr>
              <w:pStyle w:val="270"/>
              <w:tabs>
                <w:tab w:val="left" w:pos="423"/>
              </w:tabs>
              <w:autoSpaceDE w:val="0"/>
              <w:autoSpaceDN w:val="0"/>
              <w:spacing w:before="128" w:line="360" w:lineRule="exact"/>
              <w:ind w:left="106"/>
              <w:jc w:val="left"/>
              <w:rPr>
                <w:rFonts w:ascii="宋体" w:hAnsi="宋体" w:cs="宋体"/>
                <w:color w:val="auto"/>
                <w:kern w:val="0"/>
                <w:sz w:val="24"/>
                <w:szCs w:val="24"/>
                <w:lang w:val="zh-CN" w:eastAsia="en-US" w:bidi="zh-CN"/>
              </w:rPr>
            </w:pPr>
            <w:r>
              <w:rPr>
                <w:rFonts w:ascii="宋体" w:hAnsi="宋体" w:cs="宋体"/>
                <w:color w:val="auto"/>
                <w:kern w:val="0"/>
                <w:sz w:val="22"/>
                <w:u w:val="single"/>
                <w:lang w:val="zh-CN" w:eastAsia="en-US" w:bidi="zh-CN"/>
              </w:rPr>
              <w:t xml:space="preserve"> </w:t>
            </w:r>
            <w:r>
              <w:rPr>
                <w:rFonts w:hint="eastAsia" w:ascii="宋体" w:hAnsi="宋体" w:cs="宋体"/>
                <w:color w:val="auto"/>
                <w:kern w:val="0"/>
                <w:sz w:val="22"/>
                <w:u w:val="single"/>
                <w:lang w:val="en-US" w:eastAsia="en-US" w:bidi="zh-CN"/>
              </w:rPr>
              <w:t xml:space="preserve">   </w:t>
            </w:r>
            <w:r>
              <w:rPr>
                <w:rFonts w:hint="eastAsia" w:ascii="宋体" w:hAnsi="宋体" w:cs="宋体"/>
                <w:color w:val="auto"/>
                <w:kern w:val="0"/>
                <w:sz w:val="22"/>
                <w:lang w:val="en-US" w:eastAsia="en-US" w:bidi="zh-CN"/>
              </w:rPr>
              <w:t xml:space="preserve"> </w:t>
            </w:r>
            <w:r>
              <w:rPr>
                <w:rFonts w:hint="eastAsia" w:ascii="宋体" w:hAnsi="宋体" w:cs="宋体"/>
                <w:color w:val="auto"/>
                <w:kern w:val="0"/>
                <w:sz w:val="24"/>
                <w:szCs w:val="24"/>
                <w:lang w:val="zh-CN" w:eastAsia="en-US" w:bidi="zh-CN"/>
              </w:rPr>
              <w:t>%</w:t>
            </w:r>
            <w:r>
              <w:rPr>
                <w:rFonts w:hint="eastAsia" w:ascii="宋体" w:hAnsi="宋体" w:cs="宋体"/>
                <w:color w:val="auto"/>
                <w:spacing w:val="-3"/>
                <w:kern w:val="0"/>
                <w:sz w:val="24"/>
                <w:szCs w:val="24"/>
                <w:lang w:val="zh-CN" w:eastAsia="en-US" w:bidi="zh-CN"/>
              </w:rPr>
              <w:t>签约合同价</w:t>
            </w:r>
          </w:p>
        </w:tc>
        <w:tc>
          <w:tcPr>
            <w:tcW w:w="749" w:type="dxa"/>
            <w:noWrap/>
          </w:tcPr>
          <w:p w14:paraId="2D8F6C9E">
            <w:pPr>
              <w:pStyle w:val="270"/>
              <w:autoSpaceDE w:val="0"/>
              <w:autoSpaceDN w:val="0"/>
              <w:spacing w:line="360" w:lineRule="exact"/>
              <w:jc w:val="left"/>
              <w:rPr>
                <w:rFonts w:ascii="宋体" w:hAnsi="宋体" w:cs="宋体"/>
                <w:color w:val="auto"/>
                <w:kern w:val="0"/>
                <w:sz w:val="24"/>
                <w:szCs w:val="24"/>
                <w:lang w:val="zh-CN" w:eastAsia="en-US" w:bidi="zh-CN"/>
              </w:rPr>
            </w:pPr>
          </w:p>
        </w:tc>
      </w:tr>
      <w:tr w14:paraId="25FFE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976" w:type="dxa"/>
            <w:tcBorders>
              <w:bottom w:val="single" w:color="000000" w:sz="6" w:space="0"/>
            </w:tcBorders>
            <w:noWrap/>
            <w:vAlign w:val="center"/>
          </w:tcPr>
          <w:p w14:paraId="2E5832BE">
            <w:pPr>
              <w:pStyle w:val="270"/>
              <w:autoSpaceDE w:val="0"/>
              <w:autoSpaceDN w:val="0"/>
              <w:spacing w:before="151" w:line="360" w:lineRule="exact"/>
              <w:ind w:left="9"/>
              <w:jc w:val="center"/>
              <w:rPr>
                <w:rFonts w:ascii="宋体" w:hAnsi="宋体" w:cs="宋体"/>
                <w:color w:val="auto"/>
                <w:kern w:val="0"/>
                <w:sz w:val="24"/>
                <w:szCs w:val="24"/>
                <w:lang w:val="zh-CN" w:eastAsia="en-US" w:bidi="zh-CN"/>
              </w:rPr>
            </w:pPr>
            <w:r>
              <w:rPr>
                <w:rFonts w:hint="eastAsia" w:ascii="宋体" w:hAnsi="宋体" w:cs="宋体"/>
                <w:color w:val="auto"/>
                <w:kern w:val="0"/>
                <w:sz w:val="24"/>
                <w:szCs w:val="24"/>
                <w:lang w:val="zh-CN" w:eastAsia="en-US" w:bidi="zh-CN"/>
              </w:rPr>
              <w:t>4</w:t>
            </w:r>
          </w:p>
        </w:tc>
        <w:tc>
          <w:tcPr>
            <w:tcW w:w="2399" w:type="dxa"/>
            <w:tcBorders>
              <w:bottom w:val="single" w:color="000000" w:sz="6" w:space="0"/>
            </w:tcBorders>
            <w:noWrap/>
            <w:vAlign w:val="center"/>
          </w:tcPr>
          <w:p w14:paraId="2784F135">
            <w:pPr>
              <w:pStyle w:val="270"/>
              <w:autoSpaceDE w:val="0"/>
              <w:autoSpaceDN w:val="0"/>
              <w:spacing w:before="128" w:line="360" w:lineRule="exact"/>
              <w:ind w:left="285" w:right="275"/>
              <w:jc w:val="center"/>
              <w:rPr>
                <w:rFonts w:ascii="宋体" w:hAnsi="宋体" w:cs="宋体"/>
                <w:color w:val="auto"/>
                <w:kern w:val="0"/>
                <w:sz w:val="24"/>
                <w:szCs w:val="24"/>
                <w:lang w:val="zh-CN" w:eastAsia="en-US" w:bidi="zh-CN"/>
              </w:rPr>
            </w:pPr>
            <w:r>
              <w:rPr>
                <w:rFonts w:hint="eastAsia" w:ascii="宋体" w:hAnsi="宋体" w:cs="宋体"/>
                <w:color w:val="auto"/>
                <w:kern w:val="0"/>
                <w:sz w:val="24"/>
                <w:szCs w:val="24"/>
                <w:lang w:val="zh-CN" w:eastAsia="en-US" w:bidi="zh-CN"/>
              </w:rPr>
              <w:t>提前交工的奖金</w:t>
            </w:r>
          </w:p>
        </w:tc>
        <w:tc>
          <w:tcPr>
            <w:tcW w:w="1441" w:type="dxa"/>
            <w:tcBorders>
              <w:bottom w:val="single" w:color="000000" w:sz="6" w:space="0"/>
            </w:tcBorders>
            <w:noWrap/>
            <w:vAlign w:val="center"/>
          </w:tcPr>
          <w:p w14:paraId="69073BD0">
            <w:pPr>
              <w:spacing w:line="360" w:lineRule="exact"/>
              <w:jc w:val="center"/>
              <w:rPr>
                <w:rFonts w:ascii="宋体" w:hAnsi="宋体" w:cs="宋体"/>
                <w:color w:val="auto"/>
                <w:kern w:val="0"/>
                <w:sz w:val="24"/>
                <w:lang w:eastAsia="en-US" w:bidi="zh-CN"/>
              </w:rPr>
            </w:pPr>
            <w:r>
              <w:rPr>
                <w:rFonts w:hint="eastAsia" w:ascii="宋体" w:hAnsi="宋体" w:cs="宋体"/>
                <w:color w:val="auto"/>
                <w:kern w:val="0"/>
                <w:sz w:val="24"/>
                <w:lang w:eastAsia="en-US" w:bidi="zh-CN"/>
              </w:rPr>
              <w:t>11.6</w:t>
            </w:r>
          </w:p>
        </w:tc>
        <w:tc>
          <w:tcPr>
            <w:tcW w:w="3379" w:type="dxa"/>
            <w:tcBorders>
              <w:bottom w:val="single" w:color="000000" w:sz="6" w:space="0"/>
            </w:tcBorders>
            <w:noWrap/>
          </w:tcPr>
          <w:p w14:paraId="3EA18014">
            <w:pPr>
              <w:pStyle w:val="270"/>
              <w:tabs>
                <w:tab w:val="left" w:pos="528"/>
              </w:tabs>
              <w:autoSpaceDE w:val="0"/>
              <w:autoSpaceDN w:val="0"/>
              <w:spacing w:before="128" w:line="360" w:lineRule="exact"/>
              <w:ind w:left="106"/>
              <w:jc w:val="left"/>
              <w:rPr>
                <w:rFonts w:ascii="宋体" w:hAnsi="宋体" w:cs="宋体"/>
                <w:color w:val="auto"/>
                <w:kern w:val="0"/>
                <w:sz w:val="24"/>
                <w:szCs w:val="24"/>
                <w:lang w:val="zh-CN" w:eastAsia="en-US" w:bidi="zh-CN"/>
              </w:rPr>
            </w:pPr>
            <w:r>
              <w:rPr>
                <w:rFonts w:hint="eastAsia" w:ascii="宋体" w:hAnsi="宋体" w:cs="宋体"/>
                <w:color w:val="auto"/>
                <w:kern w:val="0"/>
                <w:sz w:val="24"/>
                <w:szCs w:val="24"/>
                <w:u w:val="single"/>
                <w:lang w:eastAsia="en-US" w:bidi="zh-CN"/>
              </w:rPr>
              <w:t xml:space="preserve"> / </w:t>
            </w:r>
            <w:r>
              <w:rPr>
                <w:rFonts w:hint="eastAsia" w:ascii="宋体" w:hAnsi="宋体" w:cs="宋体"/>
                <w:color w:val="auto"/>
                <w:kern w:val="0"/>
                <w:sz w:val="24"/>
                <w:szCs w:val="24"/>
                <w:lang w:val="zh-CN" w:eastAsia="en-US" w:bidi="zh-CN"/>
              </w:rPr>
              <w:t>元</w:t>
            </w:r>
            <w:r>
              <w:rPr>
                <w:rFonts w:hint="eastAsia" w:ascii="宋体" w:hAnsi="宋体" w:cs="宋体"/>
                <w:color w:val="auto"/>
                <w:spacing w:val="-4"/>
                <w:kern w:val="0"/>
                <w:sz w:val="24"/>
                <w:szCs w:val="24"/>
                <w:lang w:val="zh-CN" w:eastAsia="en-US" w:bidi="zh-CN"/>
              </w:rPr>
              <w:t>/</w:t>
            </w:r>
            <w:r>
              <w:rPr>
                <w:rFonts w:hint="eastAsia" w:ascii="宋体" w:hAnsi="宋体" w:cs="宋体"/>
                <w:color w:val="auto"/>
                <w:kern w:val="0"/>
                <w:sz w:val="24"/>
                <w:szCs w:val="24"/>
                <w:lang w:val="zh-CN" w:eastAsia="en-US" w:bidi="zh-CN"/>
              </w:rPr>
              <w:t>天</w:t>
            </w:r>
          </w:p>
        </w:tc>
        <w:tc>
          <w:tcPr>
            <w:tcW w:w="749" w:type="dxa"/>
            <w:tcBorders>
              <w:bottom w:val="single" w:color="000000" w:sz="6" w:space="0"/>
            </w:tcBorders>
            <w:noWrap/>
          </w:tcPr>
          <w:p w14:paraId="4E6E4A5F">
            <w:pPr>
              <w:pStyle w:val="270"/>
              <w:autoSpaceDE w:val="0"/>
              <w:autoSpaceDN w:val="0"/>
              <w:spacing w:line="360" w:lineRule="exact"/>
              <w:jc w:val="left"/>
              <w:rPr>
                <w:rFonts w:ascii="宋体" w:hAnsi="宋体" w:cs="宋体"/>
                <w:color w:val="auto"/>
                <w:kern w:val="0"/>
                <w:sz w:val="24"/>
                <w:szCs w:val="24"/>
                <w:lang w:val="zh-CN" w:eastAsia="en-US" w:bidi="zh-CN"/>
              </w:rPr>
            </w:pPr>
          </w:p>
        </w:tc>
      </w:tr>
      <w:tr w14:paraId="40DCE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976" w:type="dxa"/>
            <w:tcBorders>
              <w:top w:val="single" w:color="000000" w:sz="6" w:space="0"/>
            </w:tcBorders>
            <w:noWrap/>
            <w:vAlign w:val="center"/>
          </w:tcPr>
          <w:p w14:paraId="3E0690E3">
            <w:pPr>
              <w:pStyle w:val="270"/>
              <w:autoSpaceDE w:val="0"/>
              <w:autoSpaceDN w:val="0"/>
              <w:spacing w:before="149" w:line="360" w:lineRule="exact"/>
              <w:ind w:left="9"/>
              <w:jc w:val="center"/>
              <w:rPr>
                <w:rFonts w:ascii="宋体" w:hAnsi="宋体" w:cs="宋体"/>
                <w:color w:val="auto"/>
                <w:kern w:val="0"/>
                <w:sz w:val="24"/>
                <w:szCs w:val="24"/>
                <w:lang w:val="zh-CN" w:eastAsia="en-US" w:bidi="zh-CN"/>
              </w:rPr>
            </w:pPr>
            <w:r>
              <w:rPr>
                <w:rFonts w:hint="eastAsia" w:ascii="宋体" w:hAnsi="宋体" w:cs="宋体"/>
                <w:color w:val="auto"/>
                <w:kern w:val="0"/>
                <w:sz w:val="24"/>
                <w:szCs w:val="24"/>
                <w:lang w:val="zh-CN" w:eastAsia="en-US" w:bidi="zh-CN"/>
              </w:rPr>
              <w:t>5</w:t>
            </w:r>
          </w:p>
        </w:tc>
        <w:tc>
          <w:tcPr>
            <w:tcW w:w="2399" w:type="dxa"/>
            <w:tcBorders>
              <w:top w:val="single" w:color="000000" w:sz="6" w:space="0"/>
            </w:tcBorders>
            <w:noWrap/>
            <w:vAlign w:val="center"/>
          </w:tcPr>
          <w:p w14:paraId="053CBFF3">
            <w:pPr>
              <w:pStyle w:val="270"/>
              <w:autoSpaceDE w:val="0"/>
              <w:autoSpaceDN w:val="0"/>
              <w:spacing w:before="126" w:line="360" w:lineRule="exact"/>
              <w:ind w:left="283" w:right="276"/>
              <w:jc w:val="center"/>
              <w:rPr>
                <w:rFonts w:ascii="宋体" w:hAnsi="宋体" w:cs="宋体"/>
                <w:color w:val="auto"/>
                <w:kern w:val="0"/>
                <w:sz w:val="24"/>
                <w:szCs w:val="24"/>
                <w:lang w:val="zh-CN" w:eastAsia="en-US" w:bidi="zh-CN"/>
              </w:rPr>
            </w:pPr>
            <w:r>
              <w:rPr>
                <w:rFonts w:hint="eastAsia" w:ascii="宋体" w:hAnsi="宋体" w:cs="宋体"/>
                <w:color w:val="auto"/>
                <w:kern w:val="0"/>
                <w:sz w:val="24"/>
                <w:szCs w:val="24"/>
                <w:lang w:val="zh-CN" w:eastAsia="en-US" w:bidi="zh-CN"/>
              </w:rPr>
              <w:t>提前交工的奖金限额</w:t>
            </w:r>
          </w:p>
        </w:tc>
        <w:tc>
          <w:tcPr>
            <w:tcW w:w="1441" w:type="dxa"/>
            <w:tcBorders>
              <w:top w:val="single" w:color="000000" w:sz="6" w:space="0"/>
            </w:tcBorders>
            <w:noWrap/>
            <w:vAlign w:val="center"/>
          </w:tcPr>
          <w:p w14:paraId="339503BA">
            <w:pPr>
              <w:spacing w:line="360" w:lineRule="exact"/>
              <w:jc w:val="center"/>
              <w:rPr>
                <w:rFonts w:ascii="宋体" w:hAnsi="宋体" w:cs="宋体"/>
                <w:color w:val="auto"/>
                <w:kern w:val="0"/>
                <w:sz w:val="24"/>
                <w:lang w:eastAsia="en-US" w:bidi="zh-CN"/>
              </w:rPr>
            </w:pPr>
            <w:r>
              <w:rPr>
                <w:rFonts w:hint="eastAsia" w:ascii="宋体" w:hAnsi="宋体" w:cs="宋体"/>
                <w:color w:val="auto"/>
                <w:kern w:val="0"/>
                <w:sz w:val="24"/>
                <w:lang w:eastAsia="en-US" w:bidi="zh-CN"/>
              </w:rPr>
              <w:t>11.6</w:t>
            </w:r>
          </w:p>
        </w:tc>
        <w:tc>
          <w:tcPr>
            <w:tcW w:w="3379" w:type="dxa"/>
            <w:tcBorders>
              <w:top w:val="single" w:color="000000" w:sz="6" w:space="0"/>
            </w:tcBorders>
            <w:noWrap/>
          </w:tcPr>
          <w:p w14:paraId="26672BEE">
            <w:pPr>
              <w:pStyle w:val="270"/>
              <w:tabs>
                <w:tab w:val="left" w:pos="528"/>
              </w:tabs>
              <w:autoSpaceDE w:val="0"/>
              <w:autoSpaceDN w:val="0"/>
              <w:spacing w:before="126" w:line="360" w:lineRule="exact"/>
              <w:ind w:left="106"/>
              <w:jc w:val="left"/>
              <w:rPr>
                <w:rFonts w:ascii="宋体" w:hAnsi="宋体" w:cs="宋体"/>
                <w:color w:val="auto"/>
                <w:kern w:val="0"/>
                <w:sz w:val="24"/>
                <w:szCs w:val="24"/>
                <w:lang w:val="zh-CN" w:eastAsia="en-US" w:bidi="zh-CN"/>
              </w:rPr>
            </w:pPr>
            <w:r>
              <w:rPr>
                <w:rFonts w:hint="eastAsia" w:ascii="宋体" w:hAnsi="宋体" w:cs="宋体"/>
                <w:color w:val="auto"/>
                <w:kern w:val="0"/>
                <w:sz w:val="24"/>
                <w:szCs w:val="24"/>
                <w:u w:val="single"/>
                <w:lang w:eastAsia="en-US" w:bidi="zh-CN"/>
              </w:rPr>
              <w:t xml:space="preserve"> / </w:t>
            </w:r>
            <w:r>
              <w:rPr>
                <w:rFonts w:hint="eastAsia" w:ascii="宋体" w:hAnsi="宋体" w:cs="宋体"/>
                <w:color w:val="auto"/>
                <w:kern w:val="0"/>
                <w:sz w:val="24"/>
                <w:szCs w:val="24"/>
                <w:u w:val="single"/>
                <w:lang w:val="zh-CN" w:eastAsia="en-US" w:bidi="zh-CN"/>
              </w:rPr>
              <w:t>%</w:t>
            </w:r>
            <w:r>
              <w:rPr>
                <w:rFonts w:hint="eastAsia" w:ascii="宋体" w:hAnsi="宋体" w:cs="宋体"/>
                <w:color w:val="auto"/>
                <w:kern w:val="0"/>
                <w:sz w:val="24"/>
                <w:szCs w:val="24"/>
                <w:lang w:val="zh-CN" w:eastAsia="en-US" w:bidi="zh-CN"/>
              </w:rPr>
              <w:t>签约合同价</w:t>
            </w:r>
          </w:p>
        </w:tc>
        <w:tc>
          <w:tcPr>
            <w:tcW w:w="749" w:type="dxa"/>
            <w:tcBorders>
              <w:top w:val="single" w:color="000000" w:sz="6" w:space="0"/>
            </w:tcBorders>
            <w:noWrap/>
          </w:tcPr>
          <w:p w14:paraId="4E844EF4">
            <w:pPr>
              <w:pStyle w:val="270"/>
              <w:autoSpaceDE w:val="0"/>
              <w:autoSpaceDN w:val="0"/>
              <w:spacing w:line="360" w:lineRule="exact"/>
              <w:jc w:val="left"/>
              <w:rPr>
                <w:rFonts w:ascii="宋体" w:hAnsi="宋体" w:cs="宋体"/>
                <w:color w:val="auto"/>
                <w:kern w:val="0"/>
                <w:sz w:val="24"/>
                <w:szCs w:val="24"/>
                <w:lang w:val="zh-CN" w:eastAsia="en-US" w:bidi="zh-CN"/>
              </w:rPr>
            </w:pPr>
          </w:p>
        </w:tc>
      </w:tr>
      <w:tr w14:paraId="7F47F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976" w:type="dxa"/>
            <w:noWrap/>
            <w:vAlign w:val="center"/>
          </w:tcPr>
          <w:p w14:paraId="71449537">
            <w:pPr>
              <w:pStyle w:val="270"/>
              <w:autoSpaceDE w:val="0"/>
              <w:autoSpaceDN w:val="0"/>
              <w:spacing w:before="151" w:line="360" w:lineRule="exact"/>
              <w:ind w:left="9"/>
              <w:jc w:val="center"/>
              <w:rPr>
                <w:rFonts w:ascii="宋体" w:hAnsi="宋体" w:cs="宋体"/>
                <w:color w:val="auto"/>
                <w:kern w:val="0"/>
                <w:sz w:val="24"/>
                <w:szCs w:val="24"/>
                <w:lang w:val="zh-CN" w:eastAsia="en-US" w:bidi="zh-CN"/>
              </w:rPr>
            </w:pPr>
            <w:r>
              <w:rPr>
                <w:rFonts w:hint="eastAsia" w:ascii="宋体" w:hAnsi="宋体" w:cs="宋体"/>
                <w:color w:val="auto"/>
                <w:kern w:val="0"/>
                <w:sz w:val="24"/>
                <w:szCs w:val="24"/>
                <w:lang w:val="zh-CN" w:eastAsia="en-US" w:bidi="zh-CN"/>
              </w:rPr>
              <w:t>6</w:t>
            </w:r>
          </w:p>
        </w:tc>
        <w:tc>
          <w:tcPr>
            <w:tcW w:w="2399" w:type="dxa"/>
            <w:noWrap/>
            <w:vAlign w:val="center"/>
          </w:tcPr>
          <w:p w14:paraId="1DD79EF3">
            <w:pPr>
              <w:pStyle w:val="270"/>
              <w:autoSpaceDE w:val="0"/>
              <w:autoSpaceDN w:val="0"/>
              <w:spacing w:before="128" w:line="360" w:lineRule="exact"/>
              <w:ind w:left="283" w:right="276"/>
              <w:jc w:val="center"/>
              <w:rPr>
                <w:rFonts w:ascii="宋体" w:hAnsi="宋体" w:cs="宋体"/>
                <w:color w:val="auto"/>
                <w:kern w:val="0"/>
                <w:sz w:val="24"/>
                <w:szCs w:val="24"/>
                <w:lang w:val="zh-CN" w:eastAsia="en-US" w:bidi="zh-CN"/>
              </w:rPr>
            </w:pPr>
            <w:r>
              <w:rPr>
                <w:rFonts w:hint="eastAsia" w:ascii="宋体" w:hAnsi="宋体" w:cs="宋体"/>
                <w:color w:val="auto"/>
                <w:kern w:val="0"/>
                <w:sz w:val="24"/>
                <w:szCs w:val="24"/>
                <w:lang w:val="zh-CN" w:eastAsia="en-US" w:bidi="zh-CN"/>
              </w:rPr>
              <w:t>价格调整的差额计算</w:t>
            </w:r>
          </w:p>
        </w:tc>
        <w:tc>
          <w:tcPr>
            <w:tcW w:w="1441" w:type="dxa"/>
            <w:noWrap/>
            <w:vAlign w:val="center"/>
          </w:tcPr>
          <w:p w14:paraId="065E16A8">
            <w:pPr>
              <w:spacing w:line="360" w:lineRule="exact"/>
              <w:jc w:val="center"/>
              <w:rPr>
                <w:rFonts w:ascii="宋体" w:hAnsi="宋体" w:cs="宋体"/>
                <w:color w:val="auto"/>
                <w:kern w:val="0"/>
                <w:sz w:val="24"/>
                <w:lang w:eastAsia="en-US" w:bidi="zh-CN"/>
              </w:rPr>
            </w:pPr>
            <w:r>
              <w:rPr>
                <w:rFonts w:hint="eastAsia" w:ascii="宋体" w:hAnsi="宋体" w:cs="宋体"/>
                <w:color w:val="auto"/>
                <w:kern w:val="0"/>
                <w:sz w:val="24"/>
                <w:lang w:eastAsia="en-US" w:bidi="zh-CN"/>
              </w:rPr>
              <w:t>16.1.1</w:t>
            </w:r>
          </w:p>
        </w:tc>
        <w:tc>
          <w:tcPr>
            <w:tcW w:w="3379" w:type="dxa"/>
            <w:noWrap/>
          </w:tcPr>
          <w:p w14:paraId="4BC99FC9">
            <w:pPr>
              <w:pStyle w:val="270"/>
              <w:autoSpaceDE w:val="0"/>
              <w:autoSpaceDN w:val="0"/>
              <w:spacing w:before="128" w:line="360" w:lineRule="exact"/>
              <w:ind w:left="106"/>
              <w:jc w:val="left"/>
              <w:rPr>
                <w:rFonts w:ascii="宋体" w:hAnsi="宋体" w:cs="宋体"/>
                <w:color w:val="auto"/>
                <w:kern w:val="0"/>
                <w:sz w:val="24"/>
                <w:szCs w:val="24"/>
                <w:lang w:val="zh-CN" w:eastAsia="en-US" w:bidi="zh-CN"/>
              </w:rPr>
            </w:pPr>
            <w:r>
              <w:rPr>
                <w:rFonts w:hint="eastAsia" w:ascii="宋体" w:hAnsi="宋体" w:cs="宋体"/>
                <w:color w:val="auto"/>
                <w:kern w:val="0"/>
                <w:sz w:val="24"/>
                <w:szCs w:val="24"/>
                <w:u w:val="single"/>
                <w:lang w:eastAsia="en-US" w:bidi="zh-CN"/>
              </w:rPr>
              <w:t>不调整</w:t>
            </w:r>
          </w:p>
        </w:tc>
        <w:tc>
          <w:tcPr>
            <w:tcW w:w="749" w:type="dxa"/>
            <w:noWrap/>
          </w:tcPr>
          <w:p w14:paraId="0C548631">
            <w:pPr>
              <w:pStyle w:val="270"/>
              <w:autoSpaceDE w:val="0"/>
              <w:autoSpaceDN w:val="0"/>
              <w:spacing w:line="360" w:lineRule="exact"/>
              <w:jc w:val="left"/>
              <w:rPr>
                <w:rFonts w:ascii="宋体" w:hAnsi="宋体" w:cs="宋体"/>
                <w:color w:val="auto"/>
                <w:kern w:val="0"/>
                <w:sz w:val="24"/>
                <w:szCs w:val="24"/>
                <w:lang w:val="zh-CN" w:eastAsia="en-US" w:bidi="zh-CN"/>
              </w:rPr>
            </w:pPr>
          </w:p>
        </w:tc>
      </w:tr>
      <w:tr w14:paraId="31941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76" w:type="dxa"/>
            <w:noWrap/>
            <w:vAlign w:val="center"/>
          </w:tcPr>
          <w:p w14:paraId="63DB7485">
            <w:pPr>
              <w:pStyle w:val="270"/>
              <w:autoSpaceDE w:val="0"/>
              <w:autoSpaceDN w:val="0"/>
              <w:spacing w:before="151" w:line="360" w:lineRule="exact"/>
              <w:ind w:left="9"/>
              <w:jc w:val="center"/>
              <w:rPr>
                <w:rFonts w:ascii="宋体" w:hAnsi="宋体" w:cs="宋体"/>
                <w:color w:val="auto"/>
                <w:kern w:val="0"/>
                <w:sz w:val="24"/>
                <w:szCs w:val="24"/>
                <w:lang w:val="zh-CN" w:eastAsia="en-US" w:bidi="zh-CN"/>
              </w:rPr>
            </w:pPr>
            <w:r>
              <w:rPr>
                <w:rFonts w:hint="eastAsia" w:ascii="宋体" w:hAnsi="宋体" w:cs="宋体"/>
                <w:color w:val="auto"/>
                <w:kern w:val="0"/>
                <w:sz w:val="24"/>
                <w:szCs w:val="24"/>
                <w:lang w:val="zh-CN" w:eastAsia="en-US" w:bidi="zh-CN"/>
              </w:rPr>
              <w:t>7</w:t>
            </w:r>
          </w:p>
        </w:tc>
        <w:tc>
          <w:tcPr>
            <w:tcW w:w="2399" w:type="dxa"/>
            <w:noWrap/>
            <w:vAlign w:val="center"/>
          </w:tcPr>
          <w:p w14:paraId="2421B2A3">
            <w:pPr>
              <w:pStyle w:val="270"/>
              <w:autoSpaceDE w:val="0"/>
              <w:autoSpaceDN w:val="0"/>
              <w:spacing w:before="128" w:line="360" w:lineRule="exact"/>
              <w:ind w:left="285" w:right="276"/>
              <w:rPr>
                <w:rFonts w:ascii="宋体" w:hAnsi="宋体" w:cs="宋体"/>
                <w:color w:val="auto"/>
                <w:kern w:val="0"/>
                <w:sz w:val="24"/>
                <w:szCs w:val="24"/>
                <w:lang w:val="zh-CN" w:eastAsia="en-US" w:bidi="zh-CN"/>
              </w:rPr>
            </w:pPr>
            <w:r>
              <w:rPr>
                <w:rFonts w:hint="eastAsia" w:ascii="宋体" w:hAnsi="宋体" w:cs="宋体"/>
                <w:color w:val="auto"/>
                <w:kern w:val="0"/>
                <w:sz w:val="24"/>
                <w:szCs w:val="24"/>
                <w:lang w:val="zh-CN" w:eastAsia="en-US" w:bidi="zh-CN"/>
              </w:rPr>
              <w:t>开工预付款金额</w:t>
            </w:r>
          </w:p>
        </w:tc>
        <w:tc>
          <w:tcPr>
            <w:tcW w:w="1441" w:type="dxa"/>
            <w:noWrap/>
            <w:vAlign w:val="center"/>
          </w:tcPr>
          <w:p w14:paraId="77045FBE">
            <w:pPr>
              <w:pStyle w:val="283"/>
              <w:autoSpaceDE w:val="0"/>
              <w:autoSpaceDN w:val="0"/>
              <w:spacing w:before="128" w:line="250" w:lineRule="exact"/>
              <w:ind w:left="90"/>
              <w:jc w:val="center"/>
              <w:rPr>
                <w:rFonts w:ascii="宋体" w:hAnsi="宋体" w:cs="宋体"/>
                <w:color w:val="auto"/>
                <w:kern w:val="0"/>
                <w:sz w:val="24"/>
                <w:szCs w:val="24"/>
                <w:lang w:val="zh-CN" w:eastAsia="en-US" w:bidi="zh-CN"/>
              </w:rPr>
            </w:pPr>
            <w:r>
              <w:rPr>
                <w:rFonts w:hint="eastAsia" w:ascii="宋体" w:hAnsi="宋体" w:cs="宋体"/>
                <w:color w:val="auto"/>
                <w:kern w:val="0"/>
                <w:sz w:val="24"/>
                <w:szCs w:val="24"/>
                <w:lang w:val="zh-CN" w:eastAsia="en-US" w:bidi="zh-CN"/>
              </w:rPr>
              <w:t>17.2.1（1）</w:t>
            </w:r>
          </w:p>
        </w:tc>
        <w:tc>
          <w:tcPr>
            <w:tcW w:w="3379" w:type="dxa"/>
            <w:noWrap/>
          </w:tcPr>
          <w:p w14:paraId="3208B980">
            <w:pPr>
              <w:pStyle w:val="270"/>
              <w:tabs>
                <w:tab w:val="left" w:pos="423"/>
              </w:tabs>
              <w:autoSpaceDE w:val="0"/>
              <w:autoSpaceDN w:val="0"/>
              <w:spacing w:before="128" w:line="360" w:lineRule="exact"/>
              <w:jc w:val="left"/>
              <w:rPr>
                <w:rFonts w:ascii="宋体" w:hAnsi="宋体" w:cs="宋体"/>
                <w:color w:val="auto"/>
                <w:kern w:val="0"/>
                <w:sz w:val="24"/>
                <w:szCs w:val="24"/>
                <w:lang w:val="zh-CN" w:eastAsia="en-US" w:bidi="zh-CN"/>
              </w:rPr>
            </w:pPr>
            <w:r>
              <w:rPr>
                <w:rFonts w:ascii="宋体" w:hAnsi="宋体" w:cs="宋体"/>
                <w:color w:val="auto"/>
                <w:kern w:val="0"/>
                <w:sz w:val="24"/>
                <w:szCs w:val="24"/>
                <w:u w:val="single"/>
                <w:lang w:val="zh-CN" w:eastAsia="en-US" w:bidi="zh-CN"/>
              </w:rPr>
              <w:t xml:space="preserve"> </w:t>
            </w:r>
            <w:r>
              <w:rPr>
                <w:rFonts w:hint="eastAsia" w:ascii="宋体" w:hAnsi="宋体" w:cs="宋体"/>
                <w:color w:val="auto"/>
                <w:kern w:val="0"/>
                <w:sz w:val="24"/>
                <w:szCs w:val="24"/>
                <w:u w:val="single"/>
                <w:lang w:val="en-US" w:eastAsia="en-US" w:bidi="zh-CN"/>
              </w:rPr>
              <w:t xml:space="preserve">   </w:t>
            </w:r>
            <w:r>
              <w:rPr>
                <w:rFonts w:hint="eastAsia" w:ascii="宋体" w:hAnsi="宋体" w:cs="宋体"/>
                <w:color w:val="auto"/>
                <w:sz w:val="24"/>
                <w:szCs w:val="24"/>
                <w:u w:val="single"/>
                <w:lang w:val="zh-CN" w:eastAsia="en-US"/>
              </w:rPr>
              <w:t>%</w:t>
            </w:r>
            <w:r>
              <w:rPr>
                <w:rFonts w:hint="eastAsia" w:ascii="宋体" w:hAnsi="宋体" w:cs="宋体"/>
                <w:color w:val="auto"/>
                <w:sz w:val="24"/>
                <w:szCs w:val="24"/>
                <w:lang w:val="zh-CN" w:eastAsia="en-US"/>
              </w:rPr>
              <w:t>签约合同价</w:t>
            </w:r>
          </w:p>
        </w:tc>
        <w:tc>
          <w:tcPr>
            <w:tcW w:w="749" w:type="dxa"/>
            <w:noWrap/>
          </w:tcPr>
          <w:p w14:paraId="156887FD">
            <w:pPr>
              <w:pStyle w:val="270"/>
              <w:autoSpaceDE w:val="0"/>
              <w:autoSpaceDN w:val="0"/>
              <w:spacing w:line="360" w:lineRule="exact"/>
              <w:jc w:val="left"/>
              <w:rPr>
                <w:rFonts w:ascii="宋体" w:hAnsi="宋体" w:cs="宋体"/>
                <w:color w:val="auto"/>
                <w:kern w:val="0"/>
                <w:sz w:val="24"/>
                <w:szCs w:val="24"/>
                <w:lang w:val="zh-CN" w:eastAsia="en-US" w:bidi="zh-CN"/>
              </w:rPr>
            </w:pPr>
          </w:p>
        </w:tc>
      </w:tr>
      <w:tr w14:paraId="7833A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976" w:type="dxa"/>
            <w:noWrap/>
            <w:vAlign w:val="center"/>
          </w:tcPr>
          <w:p w14:paraId="713194E6">
            <w:pPr>
              <w:pStyle w:val="270"/>
              <w:autoSpaceDE w:val="0"/>
              <w:autoSpaceDN w:val="0"/>
              <w:spacing w:line="360" w:lineRule="exact"/>
              <w:jc w:val="center"/>
              <w:rPr>
                <w:rFonts w:ascii="宋体" w:hAnsi="宋体" w:cs="宋体"/>
                <w:color w:val="auto"/>
                <w:kern w:val="0"/>
                <w:sz w:val="24"/>
                <w:szCs w:val="24"/>
                <w:lang w:val="zh-CN" w:eastAsia="en-US" w:bidi="zh-CN"/>
              </w:rPr>
            </w:pPr>
            <w:r>
              <w:rPr>
                <w:rFonts w:hint="eastAsia" w:ascii="宋体" w:hAnsi="宋体" w:cs="宋体"/>
                <w:color w:val="auto"/>
                <w:kern w:val="0"/>
                <w:sz w:val="24"/>
                <w:szCs w:val="24"/>
                <w:lang w:val="zh-CN" w:eastAsia="en-US" w:bidi="zh-CN"/>
              </w:rPr>
              <w:t>8</w:t>
            </w:r>
          </w:p>
        </w:tc>
        <w:tc>
          <w:tcPr>
            <w:tcW w:w="2399" w:type="dxa"/>
            <w:noWrap/>
            <w:vAlign w:val="center"/>
          </w:tcPr>
          <w:p w14:paraId="4027A119">
            <w:pPr>
              <w:pStyle w:val="270"/>
              <w:autoSpaceDE w:val="0"/>
              <w:autoSpaceDN w:val="0"/>
              <w:spacing w:line="360" w:lineRule="exact"/>
              <w:ind w:right="276"/>
              <w:jc w:val="center"/>
              <w:rPr>
                <w:rFonts w:ascii="宋体" w:hAnsi="宋体" w:cs="宋体"/>
                <w:color w:val="auto"/>
                <w:kern w:val="0"/>
                <w:sz w:val="24"/>
                <w:szCs w:val="24"/>
                <w:lang w:val="zh-CN" w:bidi="zh-CN"/>
              </w:rPr>
            </w:pPr>
            <w:r>
              <w:rPr>
                <w:rFonts w:hint="eastAsia" w:ascii="宋体" w:hAnsi="宋体" w:cs="宋体"/>
                <w:color w:val="auto"/>
                <w:kern w:val="0"/>
                <w:sz w:val="24"/>
                <w:szCs w:val="24"/>
                <w:lang w:val="zh-CN" w:bidi="zh-CN"/>
              </w:rPr>
              <w:t>材料、设备预</w:t>
            </w:r>
          </w:p>
          <w:p w14:paraId="6F99D113">
            <w:pPr>
              <w:pStyle w:val="270"/>
              <w:autoSpaceDE w:val="0"/>
              <w:autoSpaceDN w:val="0"/>
              <w:spacing w:line="360" w:lineRule="exact"/>
              <w:ind w:right="276"/>
              <w:jc w:val="center"/>
              <w:rPr>
                <w:rFonts w:ascii="宋体" w:hAnsi="宋体" w:cs="宋体"/>
                <w:color w:val="auto"/>
                <w:kern w:val="0"/>
                <w:sz w:val="24"/>
                <w:szCs w:val="24"/>
                <w:lang w:val="zh-CN" w:bidi="zh-CN"/>
              </w:rPr>
            </w:pPr>
            <w:r>
              <w:rPr>
                <w:rFonts w:hint="eastAsia" w:ascii="宋体" w:hAnsi="宋体" w:cs="宋体"/>
                <w:color w:val="auto"/>
                <w:kern w:val="0"/>
                <w:sz w:val="24"/>
                <w:szCs w:val="24"/>
                <w:lang w:val="zh-CN" w:bidi="zh-CN"/>
              </w:rPr>
              <w:t>付款比例</w:t>
            </w:r>
          </w:p>
        </w:tc>
        <w:tc>
          <w:tcPr>
            <w:tcW w:w="1441" w:type="dxa"/>
            <w:noWrap/>
            <w:vAlign w:val="center"/>
          </w:tcPr>
          <w:p w14:paraId="6B84969E">
            <w:pPr>
              <w:pStyle w:val="283"/>
              <w:autoSpaceDE w:val="0"/>
              <w:autoSpaceDN w:val="0"/>
              <w:ind w:left="90"/>
              <w:jc w:val="center"/>
              <w:rPr>
                <w:rFonts w:ascii="宋体" w:hAnsi="宋体" w:cs="宋体"/>
                <w:color w:val="auto"/>
                <w:kern w:val="0"/>
                <w:sz w:val="24"/>
                <w:szCs w:val="24"/>
                <w:lang w:val="zh-CN" w:eastAsia="en-US" w:bidi="zh-CN"/>
              </w:rPr>
            </w:pPr>
            <w:r>
              <w:rPr>
                <w:rFonts w:hint="eastAsia" w:ascii="宋体" w:hAnsi="宋体" w:cs="宋体"/>
                <w:color w:val="auto"/>
                <w:kern w:val="0"/>
                <w:sz w:val="24"/>
                <w:szCs w:val="24"/>
                <w:lang w:val="zh-CN" w:eastAsia="en-US" w:bidi="zh-CN"/>
              </w:rPr>
              <w:t>17.2.1（2）</w:t>
            </w:r>
          </w:p>
        </w:tc>
        <w:tc>
          <w:tcPr>
            <w:tcW w:w="3379" w:type="dxa"/>
            <w:noWrap/>
            <w:vAlign w:val="center"/>
          </w:tcPr>
          <w:p w14:paraId="57D24AA7">
            <w:pPr>
              <w:pStyle w:val="270"/>
              <w:tabs>
                <w:tab w:val="left" w:pos="528"/>
                <w:tab w:val="left" w:pos="634"/>
              </w:tabs>
              <w:autoSpaceDE w:val="0"/>
              <w:autoSpaceDN w:val="0"/>
              <w:spacing w:line="360" w:lineRule="exact"/>
              <w:ind w:right="101"/>
              <w:rPr>
                <w:rFonts w:ascii="宋体" w:hAnsi="宋体" w:cs="宋体"/>
                <w:color w:val="auto"/>
                <w:kern w:val="0"/>
                <w:sz w:val="24"/>
                <w:szCs w:val="24"/>
                <w:lang w:bidi="zh-CN"/>
              </w:rPr>
            </w:pPr>
            <w:r>
              <w:rPr>
                <w:rFonts w:ascii="宋体" w:hAnsi="宋体" w:cs="宋体"/>
                <w:color w:val="auto"/>
                <w:kern w:val="0"/>
                <w:sz w:val="24"/>
                <w:szCs w:val="24"/>
                <w:u w:val="single"/>
                <w:lang w:val="zh-CN" w:eastAsia="en-US" w:bidi="zh-CN"/>
              </w:rPr>
              <w:t xml:space="preserve"> </w:t>
            </w:r>
            <w:r>
              <w:rPr>
                <w:rFonts w:hint="eastAsia" w:ascii="宋体" w:hAnsi="宋体" w:cs="宋体"/>
                <w:color w:val="auto"/>
                <w:kern w:val="0"/>
                <w:sz w:val="24"/>
                <w:szCs w:val="24"/>
                <w:u w:val="single"/>
                <w:lang w:val="en-US" w:eastAsia="en-US" w:bidi="zh-CN"/>
              </w:rPr>
              <w:t xml:space="preserve">   </w:t>
            </w:r>
            <w:r>
              <w:rPr>
                <w:rFonts w:ascii="宋体" w:hAnsi="宋体" w:cs="宋体"/>
                <w:color w:val="auto"/>
                <w:kern w:val="0"/>
                <w:sz w:val="24"/>
                <w:szCs w:val="24"/>
                <w:lang w:val="zh-CN" w:bidi="zh-CN"/>
              </w:rPr>
              <w:t>等主要材料、设备单据所列费用的</w:t>
            </w:r>
            <w:r>
              <w:rPr>
                <w:rFonts w:hint="eastAsia" w:ascii="宋体" w:hAnsi="宋体" w:cs="宋体"/>
                <w:color w:val="auto"/>
                <w:kern w:val="0"/>
                <w:sz w:val="24"/>
                <w:szCs w:val="24"/>
                <w:u w:val="single"/>
                <w:lang w:bidi="zh-CN"/>
              </w:rPr>
              <w:t xml:space="preserve"> %</w:t>
            </w:r>
          </w:p>
        </w:tc>
        <w:tc>
          <w:tcPr>
            <w:tcW w:w="749" w:type="dxa"/>
            <w:noWrap/>
          </w:tcPr>
          <w:p w14:paraId="03B16DDE">
            <w:pPr>
              <w:pStyle w:val="270"/>
              <w:autoSpaceDE w:val="0"/>
              <w:autoSpaceDN w:val="0"/>
              <w:spacing w:line="360" w:lineRule="exact"/>
              <w:jc w:val="left"/>
              <w:rPr>
                <w:rFonts w:ascii="宋体" w:hAnsi="宋体" w:cs="宋体"/>
                <w:color w:val="auto"/>
                <w:kern w:val="0"/>
                <w:sz w:val="24"/>
                <w:szCs w:val="24"/>
                <w:lang w:val="zh-CN" w:bidi="zh-CN"/>
              </w:rPr>
            </w:pPr>
          </w:p>
        </w:tc>
      </w:tr>
      <w:tr w14:paraId="106A9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976" w:type="dxa"/>
            <w:noWrap/>
            <w:vAlign w:val="center"/>
          </w:tcPr>
          <w:p w14:paraId="782DABC8">
            <w:pPr>
              <w:pStyle w:val="270"/>
              <w:autoSpaceDE w:val="0"/>
              <w:autoSpaceDN w:val="0"/>
              <w:spacing w:before="151" w:line="360" w:lineRule="exact"/>
              <w:ind w:left="109" w:right="100"/>
              <w:jc w:val="center"/>
              <w:rPr>
                <w:rFonts w:ascii="宋体" w:hAnsi="宋体" w:cs="宋体"/>
                <w:color w:val="auto"/>
                <w:kern w:val="0"/>
                <w:sz w:val="24"/>
                <w:szCs w:val="24"/>
                <w:lang w:val="zh-CN" w:eastAsia="en-US" w:bidi="zh-CN"/>
              </w:rPr>
            </w:pPr>
            <w:r>
              <w:rPr>
                <w:rFonts w:hint="eastAsia" w:ascii="宋体" w:hAnsi="宋体" w:cs="宋体"/>
                <w:color w:val="auto"/>
                <w:kern w:val="0"/>
                <w:sz w:val="24"/>
                <w:szCs w:val="24"/>
                <w:lang w:val="zh-CN" w:eastAsia="en-US" w:bidi="zh-CN"/>
              </w:rPr>
              <w:t>10</w:t>
            </w:r>
          </w:p>
        </w:tc>
        <w:tc>
          <w:tcPr>
            <w:tcW w:w="2399" w:type="dxa"/>
            <w:noWrap/>
            <w:vAlign w:val="center"/>
          </w:tcPr>
          <w:p w14:paraId="1DCB5061">
            <w:pPr>
              <w:pStyle w:val="270"/>
              <w:autoSpaceDE w:val="0"/>
              <w:autoSpaceDN w:val="0"/>
              <w:spacing w:before="128" w:line="360" w:lineRule="exact"/>
              <w:ind w:left="285" w:right="276"/>
              <w:jc w:val="center"/>
              <w:rPr>
                <w:rFonts w:ascii="宋体" w:hAnsi="宋体" w:cs="宋体"/>
                <w:color w:val="auto"/>
                <w:kern w:val="0"/>
                <w:sz w:val="24"/>
                <w:szCs w:val="24"/>
                <w:lang w:val="zh-CN" w:bidi="zh-CN"/>
              </w:rPr>
            </w:pPr>
            <w:r>
              <w:rPr>
                <w:rFonts w:hint="eastAsia" w:ascii="宋体" w:hAnsi="宋体" w:cs="宋体"/>
                <w:color w:val="auto"/>
                <w:kern w:val="0"/>
                <w:sz w:val="24"/>
                <w:szCs w:val="24"/>
                <w:lang w:val="zh-CN" w:bidi="zh-CN"/>
              </w:rPr>
              <w:t>逾期付款违约金的利率</w:t>
            </w:r>
          </w:p>
        </w:tc>
        <w:tc>
          <w:tcPr>
            <w:tcW w:w="1441" w:type="dxa"/>
            <w:noWrap/>
            <w:vAlign w:val="center"/>
          </w:tcPr>
          <w:p w14:paraId="6AAB2FEE">
            <w:pPr>
              <w:spacing w:line="360" w:lineRule="exact"/>
              <w:jc w:val="center"/>
              <w:rPr>
                <w:rFonts w:ascii="宋体" w:hAnsi="宋体" w:cs="宋体"/>
                <w:color w:val="auto"/>
                <w:kern w:val="0"/>
                <w:sz w:val="24"/>
                <w:lang w:val="zh-CN" w:eastAsia="en-US" w:bidi="zh-CN"/>
              </w:rPr>
            </w:pPr>
            <w:r>
              <w:rPr>
                <w:rFonts w:hint="eastAsia" w:ascii="宋体" w:hAnsi="宋体" w:cs="宋体"/>
                <w:color w:val="auto"/>
                <w:kern w:val="0"/>
                <w:sz w:val="24"/>
                <w:lang w:val="zh-CN" w:eastAsia="en-US" w:bidi="zh-CN"/>
              </w:rPr>
              <w:t>17.3.3（2）</w:t>
            </w:r>
          </w:p>
        </w:tc>
        <w:tc>
          <w:tcPr>
            <w:tcW w:w="3379" w:type="dxa"/>
            <w:noWrap/>
          </w:tcPr>
          <w:p w14:paraId="1CE1FC0D">
            <w:pPr>
              <w:pStyle w:val="270"/>
              <w:tabs>
                <w:tab w:val="left" w:pos="632"/>
              </w:tabs>
              <w:autoSpaceDE w:val="0"/>
              <w:autoSpaceDN w:val="0"/>
              <w:spacing w:before="128" w:line="360" w:lineRule="exact"/>
              <w:jc w:val="left"/>
              <w:rPr>
                <w:rFonts w:ascii="宋体" w:hAnsi="宋体" w:cs="宋体"/>
                <w:color w:val="auto"/>
                <w:kern w:val="0"/>
                <w:sz w:val="24"/>
                <w:szCs w:val="24"/>
                <w:lang w:eastAsia="en-US" w:bidi="zh-CN"/>
              </w:rPr>
            </w:pPr>
            <w:r>
              <w:rPr>
                <w:rFonts w:ascii="宋体" w:hAnsi="宋体" w:cs="宋体"/>
                <w:color w:val="auto"/>
                <w:kern w:val="0"/>
                <w:sz w:val="24"/>
                <w:szCs w:val="24"/>
                <w:u w:val="single"/>
                <w:lang w:val="zh-CN" w:eastAsia="en-US" w:bidi="zh-CN"/>
              </w:rPr>
              <w:t xml:space="preserve"> </w:t>
            </w:r>
            <w:r>
              <w:rPr>
                <w:rFonts w:hint="eastAsia" w:ascii="宋体" w:hAnsi="宋体" w:cs="宋体"/>
                <w:color w:val="auto"/>
                <w:kern w:val="0"/>
                <w:sz w:val="24"/>
                <w:szCs w:val="24"/>
                <w:u w:val="single"/>
                <w:lang w:val="en-US" w:eastAsia="en-US" w:bidi="zh-CN"/>
              </w:rPr>
              <w:t xml:space="preserve">  </w:t>
            </w:r>
            <w:r>
              <w:rPr>
                <w:rFonts w:hint="eastAsia" w:ascii="宋体" w:hAnsi="宋体" w:cs="宋体"/>
                <w:color w:val="auto"/>
                <w:kern w:val="0"/>
                <w:sz w:val="24"/>
                <w:szCs w:val="24"/>
                <w:lang w:val="zh-CN" w:eastAsia="en-US" w:bidi="zh-CN"/>
              </w:rPr>
              <w:t>‰/天</w:t>
            </w:r>
          </w:p>
        </w:tc>
        <w:tc>
          <w:tcPr>
            <w:tcW w:w="749" w:type="dxa"/>
            <w:noWrap/>
          </w:tcPr>
          <w:p w14:paraId="11A6BE59">
            <w:pPr>
              <w:pStyle w:val="270"/>
              <w:autoSpaceDE w:val="0"/>
              <w:autoSpaceDN w:val="0"/>
              <w:spacing w:line="360" w:lineRule="exact"/>
              <w:jc w:val="left"/>
              <w:rPr>
                <w:rFonts w:ascii="宋体" w:hAnsi="宋体" w:cs="宋体"/>
                <w:color w:val="auto"/>
                <w:kern w:val="0"/>
                <w:sz w:val="24"/>
                <w:szCs w:val="24"/>
                <w:lang w:val="zh-CN" w:eastAsia="en-US" w:bidi="zh-CN"/>
              </w:rPr>
            </w:pPr>
          </w:p>
        </w:tc>
      </w:tr>
      <w:tr w14:paraId="12060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976" w:type="dxa"/>
            <w:noWrap/>
            <w:vAlign w:val="center"/>
          </w:tcPr>
          <w:p w14:paraId="14C6738C">
            <w:pPr>
              <w:pStyle w:val="270"/>
              <w:autoSpaceDE w:val="0"/>
              <w:autoSpaceDN w:val="0"/>
              <w:spacing w:line="360" w:lineRule="exact"/>
              <w:ind w:right="98"/>
              <w:jc w:val="center"/>
              <w:rPr>
                <w:rFonts w:ascii="宋体" w:hAnsi="宋体" w:cs="宋体"/>
                <w:color w:val="auto"/>
                <w:kern w:val="0"/>
                <w:sz w:val="24"/>
                <w:szCs w:val="24"/>
                <w:lang w:val="zh-CN" w:eastAsia="en-US" w:bidi="zh-CN"/>
              </w:rPr>
            </w:pPr>
            <w:r>
              <w:rPr>
                <w:rFonts w:hint="eastAsia" w:ascii="宋体" w:hAnsi="宋体" w:cs="宋体"/>
                <w:color w:val="auto"/>
                <w:kern w:val="0"/>
                <w:sz w:val="24"/>
                <w:szCs w:val="24"/>
                <w:lang w:eastAsia="en-US" w:bidi="zh-CN"/>
              </w:rPr>
              <w:t>11</w:t>
            </w:r>
          </w:p>
        </w:tc>
        <w:tc>
          <w:tcPr>
            <w:tcW w:w="2399" w:type="dxa"/>
            <w:noWrap/>
            <w:vAlign w:val="center"/>
          </w:tcPr>
          <w:p w14:paraId="757E6CB1">
            <w:pPr>
              <w:pStyle w:val="270"/>
              <w:autoSpaceDE w:val="0"/>
              <w:autoSpaceDN w:val="0"/>
              <w:spacing w:before="159" w:line="360" w:lineRule="exact"/>
              <w:ind w:right="275"/>
              <w:jc w:val="center"/>
              <w:rPr>
                <w:rFonts w:ascii="宋体" w:hAnsi="宋体" w:cs="宋体"/>
                <w:color w:val="auto"/>
                <w:kern w:val="0"/>
                <w:sz w:val="24"/>
                <w:szCs w:val="24"/>
                <w:lang w:val="zh-CN" w:eastAsia="en-US" w:bidi="zh-CN"/>
              </w:rPr>
            </w:pPr>
            <w:r>
              <w:rPr>
                <w:rFonts w:hint="eastAsia" w:ascii="宋体" w:hAnsi="宋体" w:cs="宋体"/>
                <w:color w:val="auto"/>
                <w:kern w:val="0"/>
                <w:sz w:val="24"/>
                <w:szCs w:val="24"/>
                <w:lang w:val="zh-CN" w:eastAsia="en-US" w:bidi="zh-CN"/>
              </w:rPr>
              <w:t>质量保证金金额</w:t>
            </w:r>
          </w:p>
        </w:tc>
        <w:tc>
          <w:tcPr>
            <w:tcW w:w="1441" w:type="dxa"/>
            <w:noWrap/>
            <w:vAlign w:val="center"/>
          </w:tcPr>
          <w:p w14:paraId="49FCA351">
            <w:pPr>
              <w:spacing w:line="360" w:lineRule="exact"/>
              <w:jc w:val="center"/>
              <w:rPr>
                <w:rFonts w:ascii="宋体" w:hAnsi="宋体" w:cs="宋体"/>
                <w:color w:val="auto"/>
                <w:kern w:val="0"/>
                <w:sz w:val="24"/>
                <w:lang w:val="zh-CN" w:eastAsia="en-US" w:bidi="zh-CN"/>
              </w:rPr>
            </w:pPr>
            <w:r>
              <w:rPr>
                <w:rFonts w:hint="eastAsia" w:ascii="宋体" w:hAnsi="宋体" w:cs="宋体"/>
                <w:color w:val="auto"/>
                <w:kern w:val="0"/>
                <w:sz w:val="24"/>
                <w:lang w:val="zh-CN" w:eastAsia="en-US" w:bidi="zh-CN"/>
              </w:rPr>
              <w:t>17.4.1</w:t>
            </w:r>
          </w:p>
        </w:tc>
        <w:tc>
          <w:tcPr>
            <w:tcW w:w="3379" w:type="dxa"/>
            <w:noWrap/>
            <w:vAlign w:val="center"/>
          </w:tcPr>
          <w:p w14:paraId="712BED9A">
            <w:pPr>
              <w:pStyle w:val="270"/>
              <w:autoSpaceDE w:val="0"/>
              <w:autoSpaceDN w:val="0"/>
              <w:spacing w:before="128" w:line="360" w:lineRule="exact"/>
              <w:ind w:left="106" w:right="96"/>
              <w:jc w:val="left"/>
              <w:rPr>
                <w:rFonts w:ascii="宋体" w:hAnsi="宋体" w:cs="宋体"/>
                <w:color w:val="auto"/>
                <w:kern w:val="0"/>
                <w:sz w:val="24"/>
                <w:szCs w:val="24"/>
                <w:lang w:val="zh-CN" w:eastAsia="en-US" w:bidi="zh-CN"/>
              </w:rPr>
            </w:pPr>
            <w:r>
              <w:rPr>
                <w:rFonts w:ascii="宋体" w:hAnsi="宋体" w:cs="宋体"/>
                <w:color w:val="auto"/>
                <w:kern w:val="0"/>
                <w:sz w:val="24"/>
                <w:szCs w:val="24"/>
                <w:u w:val="single"/>
                <w:lang w:val="zh-CN" w:eastAsia="en-US" w:bidi="zh-CN"/>
              </w:rPr>
              <w:t xml:space="preserve"> </w:t>
            </w:r>
            <w:r>
              <w:rPr>
                <w:rFonts w:hint="eastAsia" w:ascii="宋体" w:hAnsi="宋体" w:cs="宋体"/>
                <w:color w:val="auto"/>
                <w:kern w:val="0"/>
                <w:sz w:val="24"/>
                <w:szCs w:val="24"/>
                <w:u w:val="single"/>
                <w:lang w:val="en-US" w:eastAsia="en-US" w:bidi="zh-CN"/>
              </w:rPr>
              <w:t xml:space="preserve">   </w:t>
            </w:r>
            <w:r>
              <w:rPr>
                <w:rFonts w:ascii="宋体" w:hAnsi="宋体" w:cs="宋体"/>
                <w:color w:val="auto"/>
                <w:kern w:val="0"/>
                <w:sz w:val="24"/>
                <w:szCs w:val="24"/>
                <w:lang w:val="zh-CN" w:eastAsia="en-US" w:bidi="zh-CN"/>
              </w:rPr>
              <w:t>%合同价格</w:t>
            </w:r>
            <w:r>
              <w:rPr>
                <w:rFonts w:hint="eastAsia" w:ascii="宋体" w:hAnsi="宋体" w:cs="宋体"/>
                <w:color w:val="auto"/>
                <w:kern w:val="0"/>
                <w:sz w:val="24"/>
                <w:szCs w:val="24"/>
                <w:lang w:val="zh-CN" w:eastAsia="en-US" w:bidi="zh-CN"/>
              </w:rPr>
              <w:t>。</w:t>
            </w:r>
          </w:p>
        </w:tc>
        <w:tc>
          <w:tcPr>
            <w:tcW w:w="749" w:type="dxa"/>
            <w:noWrap/>
          </w:tcPr>
          <w:p w14:paraId="1DE4A208">
            <w:pPr>
              <w:pStyle w:val="270"/>
              <w:autoSpaceDE w:val="0"/>
              <w:autoSpaceDN w:val="0"/>
              <w:spacing w:line="360" w:lineRule="exact"/>
              <w:jc w:val="left"/>
              <w:rPr>
                <w:rFonts w:ascii="宋体" w:hAnsi="宋体" w:cs="宋体"/>
                <w:color w:val="auto"/>
                <w:kern w:val="0"/>
                <w:sz w:val="24"/>
                <w:szCs w:val="24"/>
                <w:lang w:val="zh-CN" w:eastAsia="en-US" w:bidi="zh-CN"/>
              </w:rPr>
            </w:pPr>
          </w:p>
        </w:tc>
      </w:tr>
      <w:tr w14:paraId="3BFED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976" w:type="dxa"/>
            <w:noWrap/>
            <w:vAlign w:val="center"/>
          </w:tcPr>
          <w:p w14:paraId="1EB8A558">
            <w:pPr>
              <w:pStyle w:val="270"/>
              <w:autoSpaceDE w:val="0"/>
              <w:autoSpaceDN w:val="0"/>
              <w:spacing w:line="360" w:lineRule="exact"/>
              <w:ind w:right="98"/>
              <w:jc w:val="center"/>
              <w:rPr>
                <w:rFonts w:ascii="宋体" w:hAnsi="宋体" w:cs="宋体"/>
                <w:color w:val="auto"/>
                <w:kern w:val="0"/>
                <w:sz w:val="24"/>
                <w:szCs w:val="24"/>
                <w:lang w:eastAsia="en-US" w:bidi="zh-CN"/>
              </w:rPr>
            </w:pPr>
            <w:r>
              <w:rPr>
                <w:rFonts w:hint="eastAsia" w:ascii="宋体" w:hAnsi="宋体" w:cs="宋体"/>
                <w:color w:val="auto"/>
                <w:kern w:val="0"/>
                <w:sz w:val="24"/>
                <w:szCs w:val="24"/>
                <w:lang w:eastAsia="en-US" w:bidi="zh-CN"/>
              </w:rPr>
              <w:t>12</w:t>
            </w:r>
          </w:p>
        </w:tc>
        <w:tc>
          <w:tcPr>
            <w:tcW w:w="2399" w:type="dxa"/>
            <w:noWrap/>
            <w:vAlign w:val="center"/>
          </w:tcPr>
          <w:p w14:paraId="31FA733A">
            <w:pPr>
              <w:pStyle w:val="270"/>
              <w:autoSpaceDE w:val="0"/>
              <w:autoSpaceDN w:val="0"/>
              <w:spacing w:before="159" w:line="360" w:lineRule="exact"/>
              <w:ind w:right="275"/>
              <w:jc w:val="center"/>
              <w:rPr>
                <w:rFonts w:ascii="宋体" w:hAnsi="宋体" w:cs="宋体"/>
                <w:color w:val="auto"/>
                <w:kern w:val="0"/>
                <w:sz w:val="24"/>
                <w:szCs w:val="24"/>
                <w:lang w:val="zh-CN" w:eastAsia="en-US" w:bidi="zh-CN"/>
              </w:rPr>
            </w:pPr>
            <w:r>
              <w:rPr>
                <w:rFonts w:hint="eastAsia" w:ascii="宋体" w:hAnsi="宋体" w:cs="宋体"/>
                <w:color w:val="auto"/>
                <w:kern w:val="0"/>
                <w:sz w:val="24"/>
                <w:szCs w:val="24"/>
                <w:lang w:val="zh-CN" w:eastAsia="en-US" w:bidi="zh-CN"/>
              </w:rPr>
              <w:t>保修期</w:t>
            </w:r>
          </w:p>
        </w:tc>
        <w:tc>
          <w:tcPr>
            <w:tcW w:w="1441" w:type="dxa"/>
            <w:noWrap/>
            <w:vAlign w:val="center"/>
          </w:tcPr>
          <w:p w14:paraId="6CCCB426">
            <w:pPr>
              <w:spacing w:line="360" w:lineRule="exact"/>
              <w:jc w:val="center"/>
              <w:rPr>
                <w:rFonts w:ascii="宋体" w:hAnsi="宋体" w:cs="宋体"/>
                <w:color w:val="auto"/>
                <w:sz w:val="24"/>
              </w:rPr>
            </w:pPr>
            <w:r>
              <w:rPr>
                <w:rFonts w:hint="eastAsia" w:ascii="宋体" w:hAnsi="宋体" w:cs="宋体"/>
                <w:color w:val="auto"/>
                <w:sz w:val="24"/>
              </w:rPr>
              <w:t>19.7（1）</w:t>
            </w:r>
          </w:p>
        </w:tc>
        <w:tc>
          <w:tcPr>
            <w:tcW w:w="3379" w:type="dxa"/>
            <w:noWrap/>
            <w:vAlign w:val="center"/>
          </w:tcPr>
          <w:p w14:paraId="4E959A3E">
            <w:pPr>
              <w:pStyle w:val="270"/>
              <w:autoSpaceDE w:val="0"/>
              <w:autoSpaceDN w:val="0"/>
              <w:spacing w:before="128" w:line="360" w:lineRule="exact"/>
              <w:ind w:left="106" w:right="96"/>
              <w:jc w:val="left"/>
              <w:rPr>
                <w:rFonts w:ascii="宋体" w:hAnsi="宋体" w:cs="宋体"/>
                <w:color w:val="auto"/>
                <w:kern w:val="0"/>
                <w:sz w:val="24"/>
                <w:szCs w:val="24"/>
                <w:lang w:val="zh-CN" w:bidi="zh-CN"/>
              </w:rPr>
            </w:pPr>
            <w:r>
              <w:rPr>
                <w:rFonts w:hint="eastAsia" w:ascii="宋体" w:hAnsi="宋体" w:cs="宋体"/>
                <w:color w:val="auto"/>
                <w:kern w:val="0"/>
                <w:sz w:val="24"/>
                <w:szCs w:val="24"/>
                <w:lang w:bidi="zh-CN"/>
              </w:rPr>
              <w:t>自实际竣工日期起计算</w:t>
            </w:r>
            <w:r>
              <w:rPr>
                <w:rFonts w:ascii="宋体" w:hAnsi="宋体" w:cs="宋体"/>
                <w:color w:val="auto"/>
                <w:kern w:val="0"/>
                <w:sz w:val="24"/>
                <w:szCs w:val="24"/>
                <w:u w:val="single"/>
                <w:lang w:val="zh-CN" w:eastAsia="en-US" w:bidi="zh-CN"/>
              </w:rPr>
              <w:t xml:space="preserve"> </w:t>
            </w:r>
            <w:r>
              <w:rPr>
                <w:rFonts w:hint="eastAsia" w:ascii="宋体" w:hAnsi="宋体" w:cs="宋体"/>
                <w:color w:val="auto"/>
                <w:kern w:val="0"/>
                <w:sz w:val="24"/>
                <w:szCs w:val="24"/>
                <w:u w:val="single"/>
                <w:lang w:val="en-US" w:eastAsia="en-US" w:bidi="zh-CN"/>
              </w:rPr>
              <w:t xml:space="preserve">   </w:t>
            </w:r>
            <w:r>
              <w:rPr>
                <w:rFonts w:hint="eastAsia" w:ascii="宋体" w:hAnsi="宋体" w:cs="宋体"/>
                <w:color w:val="auto"/>
                <w:kern w:val="0"/>
                <w:sz w:val="24"/>
                <w:szCs w:val="24"/>
                <w:lang w:val="zh-CN" w:bidi="zh-CN"/>
              </w:rPr>
              <w:t xml:space="preserve">年 </w:t>
            </w:r>
          </w:p>
        </w:tc>
        <w:tc>
          <w:tcPr>
            <w:tcW w:w="749" w:type="dxa"/>
            <w:noWrap/>
          </w:tcPr>
          <w:p w14:paraId="68C8C0DD">
            <w:pPr>
              <w:pStyle w:val="270"/>
              <w:autoSpaceDE w:val="0"/>
              <w:autoSpaceDN w:val="0"/>
              <w:spacing w:line="360" w:lineRule="exact"/>
              <w:jc w:val="left"/>
              <w:rPr>
                <w:rFonts w:ascii="宋体" w:hAnsi="宋体" w:cs="宋体"/>
                <w:color w:val="auto"/>
                <w:kern w:val="0"/>
                <w:sz w:val="24"/>
                <w:szCs w:val="24"/>
                <w:lang w:val="zh-CN" w:bidi="zh-CN"/>
              </w:rPr>
            </w:pPr>
          </w:p>
        </w:tc>
      </w:tr>
    </w:tbl>
    <w:p w14:paraId="16BA2095">
      <w:pPr>
        <w:pStyle w:val="270"/>
        <w:autoSpaceDE w:val="0"/>
        <w:autoSpaceDN w:val="0"/>
        <w:spacing w:line="440" w:lineRule="exact"/>
        <w:jc w:val="left"/>
        <w:rPr>
          <w:rFonts w:ascii="宋体" w:hAnsi="宋体" w:cs="宋体"/>
          <w:color w:val="auto"/>
          <w:kern w:val="0"/>
          <w:sz w:val="20"/>
          <w:lang w:val="zh-CN" w:bidi="zh-CN"/>
        </w:rPr>
      </w:pPr>
    </w:p>
    <w:p w14:paraId="773E8FD9">
      <w:pPr>
        <w:spacing w:line="440" w:lineRule="exact"/>
        <w:ind w:right="-817" w:rightChars="-389"/>
        <w:contextualSpacing/>
        <w:rPr>
          <w:rFonts w:ascii="宋体" w:hAnsi="宋体" w:cs="宋体"/>
          <w:color w:val="auto"/>
          <w:szCs w:val="21"/>
          <w:lang w:val="zh-CN"/>
        </w:rPr>
      </w:pPr>
      <w:r>
        <w:rPr>
          <w:rFonts w:hint="eastAsia" w:ascii="宋体" w:hAnsi="宋体" w:cs="宋体"/>
          <w:color w:val="auto"/>
          <w:szCs w:val="21"/>
          <w:lang w:val="zh-CN"/>
        </w:rPr>
        <w:t>注：供应商应结合磋商文件第七章《合同条款及格式》第四节《专用合同条款》中的《项目专用合同条款数据表》中的要求进行填写。</w:t>
      </w:r>
    </w:p>
    <w:p w14:paraId="49F04D79">
      <w:pPr>
        <w:spacing w:line="440" w:lineRule="exact"/>
        <w:ind w:right="-817" w:rightChars="-389" w:firstLine="2640" w:firstLineChars="1100"/>
        <w:contextualSpacing/>
        <w:rPr>
          <w:rFonts w:ascii="宋体" w:hAnsi="宋体" w:cs="宋体"/>
          <w:color w:val="auto"/>
          <w:sz w:val="24"/>
        </w:rPr>
      </w:pPr>
      <w:r>
        <w:rPr>
          <w:rFonts w:hint="eastAsia" w:ascii="宋体" w:hAnsi="宋体" w:cs="宋体"/>
          <w:color w:val="auto"/>
          <w:sz w:val="24"/>
        </w:rPr>
        <w:t xml:space="preserve">法定代表人或者委托代理人（签字或者电子签名）：                    </w:t>
      </w:r>
    </w:p>
    <w:p w14:paraId="643BF3A8">
      <w:pPr>
        <w:spacing w:line="440" w:lineRule="exact"/>
        <w:ind w:right="-817" w:rightChars="-389" w:firstLine="2640" w:firstLineChars="1100"/>
        <w:contextualSpacing/>
        <w:rPr>
          <w:rFonts w:ascii="宋体" w:hAnsi="宋体" w:cs="宋体"/>
          <w:color w:val="auto"/>
          <w:sz w:val="24"/>
        </w:rPr>
      </w:pPr>
      <w:r>
        <w:rPr>
          <w:rFonts w:hint="eastAsia" w:ascii="宋体" w:hAnsi="宋体" w:cs="宋体"/>
          <w:color w:val="auto"/>
          <w:sz w:val="24"/>
        </w:rPr>
        <w:t xml:space="preserve">供应商（电子签章）：      </w:t>
      </w:r>
    </w:p>
    <w:p w14:paraId="40D5D707">
      <w:pPr>
        <w:spacing w:line="440" w:lineRule="exact"/>
        <w:jc w:val="center"/>
        <w:rPr>
          <w:rFonts w:ascii="宋体" w:hAnsi="宋体" w:cs="宋体"/>
          <w:color w:val="auto"/>
          <w:sz w:val="24"/>
        </w:rPr>
      </w:pPr>
      <w:r>
        <w:rPr>
          <w:rFonts w:hint="eastAsia" w:ascii="宋体" w:hAnsi="宋体" w:cs="宋体"/>
          <w:color w:val="auto"/>
          <w:sz w:val="24"/>
        </w:rPr>
        <w:t>日期：   年   月   日</w:t>
      </w:r>
    </w:p>
    <w:p w14:paraId="2CCA3978">
      <w:pPr>
        <w:spacing w:line="440" w:lineRule="exact"/>
        <w:rPr>
          <w:rFonts w:ascii="宋体" w:hAnsi="宋体" w:cs="宋体"/>
          <w:bCs/>
          <w:color w:val="auto"/>
          <w:sz w:val="32"/>
          <w:szCs w:val="32"/>
        </w:rPr>
      </w:pPr>
      <w:r>
        <w:rPr>
          <w:rFonts w:hint="eastAsia" w:ascii="宋体" w:hAnsi="宋体" w:cs="宋体"/>
          <w:color w:val="auto"/>
          <w:sz w:val="24"/>
        </w:rPr>
        <w:br w:type="page"/>
      </w:r>
      <w:r>
        <w:rPr>
          <w:rFonts w:hint="eastAsia" w:ascii="宋体" w:hAnsi="宋体" w:cs="宋体"/>
          <w:color w:val="auto"/>
          <w:sz w:val="24"/>
          <w:lang w:val="en-US" w:eastAsia="zh-CN"/>
        </w:rPr>
        <w:t xml:space="preserve">                                  </w:t>
      </w:r>
      <w:r>
        <w:rPr>
          <w:rFonts w:hint="eastAsia" w:ascii="宋体" w:hAnsi="宋体" w:cs="宋体"/>
          <w:b/>
          <w:bCs/>
          <w:color w:val="auto"/>
          <w:sz w:val="32"/>
          <w:szCs w:val="32"/>
        </w:rPr>
        <w:t>竞标报价表</w:t>
      </w:r>
    </w:p>
    <w:p w14:paraId="307E330A">
      <w:pPr>
        <w:spacing w:line="440" w:lineRule="exact"/>
        <w:contextualSpacing/>
        <w:rPr>
          <w:rFonts w:ascii="宋体" w:hAnsi="宋体" w:cs="宋体"/>
          <w:color w:val="auto"/>
          <w:sz w:val="24"/>
        </w:rPr>
      </w:pPr>
      <w:r>
        <w:rPr>
          <w:rFonts w:hint="eastAsia" w:ascii="宋体" w:hAnsi="宋体" w:cs="宋体"/>
          <w:color w:val="auto"/>
          <w:sz w:val="24"/>
        </w:rPr>
        <w:t>项目名称：</w:t>
      </w:r>
    </w:p>
    <w:p w14:paraId="3F701314">
      <w:pPr>
        <w:spacing w:line="440" w:lineRule="exact"/>
        <w:contextualSpacing/>
        <w:rPr>
          <w:rFonts w:ascii="宋体" w:hAnsi="宋体" w:cs="宋体"/>
          <w:color w:val="auto"/>
          <w:sz w:val="24"/>
        </w:rPr>
      </w:pPr>
      <w:r>
        <w:rPr>
          <w:rFonts w:hint="eastAsia" w:ascii="宋体" w:hAnsi="宋体" w:cs="宋体"/>
          <w:color w:val="auto"/>
          <w:sz w:val="24"/>
        </w:rPr>
        <w:t>项目编号：</w:t>
      </w:r>
    </w:p>
    <w:p w14:paraId="3549020C">
      <w:pPr>
        <w:spacing w:line="440" w:lineRule="exact"/>
        <w:contextualSpacing/>
        <w:rPr>
          <w:rFonts w:ascii="宋体" w:hAnsi="宋体" w:cs="宋体"/>
          <w:color w:val="auto"/>
          <w:sz w:val="24"/>
          <w:u w:val="single"/>
        </w:rPr>
      </w:pPr>
      <w:r>
        <w:rPr>
          <w:rFonts w:hint="eastAsia" w:ascii="宋体" w:hAnsi="宋体" w:cs="宋体"/>
          <w:color w:val="auto"/>
          <w:sz w:val="24"/>
        </w:rPr>
        <w:t>分标（如有）：</w:t>
      </w:r>
    </w:p>
    <w:p w14:paraId="0EF5E2ED">
      <w:pPr>
        <w:spacing w:line="440" w:lineRule="exact"/>
        <w:contextualSpacing/>
        <w:rPr>
          <w:rFonts w:ascii="宋体" w:hAnsi="宋体" w:cs="宋体"/>
          <w:color w:val="auto"/>
          <w:sz w:val="24"/>
        </w:rPr>
      </w:pPr>
      <w:r>
        <w:rPr>
          <w:rFonts w:hint="eastAsia" w:ascii="宋体" w:hAnsi="宋体" w:cs="宋体"/>
          <w:color w:val="auto"/>
          <w:sz w:val="24"/>
        </w:rPr>
        <w:t>供应商名称：</w:t>
      </w:r>
    </w:p>
    <w:p w14:paraId="3EFDF776">
      <w:pPr>
        <w:spacing w:line="440" w:lineRule="exact"/>
        <w:contextualSpacing/>
        <w:rPr>
          <w:rFonts w:ascii="宋体" w:hAnsi="宋体" w:cs="宋体"/>
          <w:color w:val="auto"/>
          <w:sz w:val="24"/>
        </w:rPr>
      </w:pPr>
      <w:r>
        <w:rPr>
          <w:rFonts w:hint="eastAsia" w:ascii="宋体" w:hAnsi="宋体" w:cs="宋体"/>
          <w:color w:val="auto"/>
          <w:sz w:val="24"/>
        </w:rPr>
        <w:t>单位：元</w:t>
      </w:r>
    </w:p>
    <w:tbl>
      <w:tblPr>
        <w:tblStyle w:val="47"/>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2398"/>
        <w:gridCol w:w="1505"/>
        <w:gridCol w:w="3107"/>
        <w:gridCol w:w="1184"/>
      </w:tblGrid>
      <w:tr w14:paraId="28CD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1" w:type="dxa"/>
            <w:tcBorders>
              <w:top w:val="single" w:color="auto" w:sz="4" w:space="0"/>
              <w:left w:val="single" w:color="auto" w:sz="4" w:space="0"/>
              <w:bottom w:val="single" w:color="auto" w:sz="4" w:space="0"/>
              <w:right w:val="single" w:color="auto" w:sz="4" w:space="0"/>
            </w:tcBorders>
            <w:vAlign w:val="center"/>
          </w:tcPr>
          <w:p w14:paraId="39ADF851">
            <w:pPr>
              <w:spacing w:line="440" w:lineRule="exact"/>
              <w:contextualSpacing/>
              <w:jc w:val="center"/>
              <w:rPr>
                <w:rFonts w:ascii="宋体" w:hAnsi="宋体" w:cs="宋体"/>
                <w:color w:val="auto"/>
                <w:sz w:val="24"/>
              </w:rPr>
            </w:pPr>
            <w:r>
              <w:rPr>
                <w:rFonts w:hint="eastAsia" w:ascii="宋体" w:hAnsi="宋体" w:cs="宋体"/>
                <w:color w:val="auto"/>
                <w:sz w:val="24"/>
              </w:rPr>
              <w:t>序号</w:t>
            </w:r>
          </w:p>
        </w:tc>
        <w:tc>
          <w:tcPr>
            <w:tcW w:w="2398" w:type="dxa"/>
            <w:tcBorders>
              <w:top w:val="single" w:color="auto" w:sz="4" w:space="0"/>
              <w:left w:val="single" w:color="auto" w:sz="4" w:space="0"/>
              <w:bottom w:val="single" w:color="auto" w:sz="4" w:space="0"/>
              <w:right w:val="single" w:color="auto" w:sz="4" w:space="0"/>
            </w:tcBorders>
            <w:vAlign w:val="center"/>
          </w:tcPr>
          <w:p w14:paraId="0D49CF68">
            <w:pPr>
              <w:spacing w:line="440" w:lineRule="exact"/>
              <w:contextualSpacing/>
              <w:jc w:val="center"/>
              <w:rPr>
                <w:rFonts w:ascii="宋体" w:hAnsi="宋体" w:cs="宋体"/>
                <w:color w:val="auto"/>
                <w:sz w:val="24"/>
              </w:rPr>
            </w:pPr>
            <w:r>
              <w:rPr>
                <w:rFonts w:hint="eastAsia" w:ascii="宋体" w:hAnsi="宋体" w:cs="宋体"/>
                <w:color w:val="auto"/>
                <w:sz w:val="24"/>
              </w:rPr>
              <w:t>标的的名称</w:t>
            </w:r>
          </w:p>
        </w:tc>
        <w:tc>
          <w:tcPr>
            <w:tcW w:w="1505" w:type="dxa"/>
            <w:tcBorders>
              <w:top w:val="single" w:color="auto" w:sz="4" w:space="0"/>
              <w:left w:val="single" w:color="auto" w:sz="4" w:space="0"/>
              <w:bottom w:val="single" w:color="auto" w:sz="4" w:space="0"/>
              <w:right w:val="single" w:color="auto" w:sz="4" w:space="0"/>
            </w:tcBorders>
            <w:vAlign w:val="center"/>
          </w:tcPr>
          <w:p w14:paraId="504DCE1B">
            <w:pPr>
              <w:spacing w:line="440" w:lineRule="exact"/>
              <w:contextualSpacing/>
              <w:jc w:val="center"/>
              <w:rPr>
                <w:rFonts w:ascii="宋体" w:hAnsi="宋体" w:cs="宋体"/>
                <w:color w:val="auto"/>
                <w:sz w:val="24"/>
              </w:rPr>
            </w:pPr>
            <w:r>
              <w:rPr>
                <w:rFonts w:hint="eastAsia" w:ascii="宋体" w:hAnsi="宋体" w:cs="宋体"/>
                <w:color w:val="auto"/>
                <w:sz w:val="24"/>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52D7C842">
            <w:pPr>
              <w:spacing w:line="440" w:lineRule="exact"/>
              <w:contextualSpacing/>
              <w:jc w:val="center"/>
              <w:rPr>
                <w:rFonts w:ascii="宋体" w:hAnsi="宋体" w:cs="宋体"/>
                <w:color w:val="auto"/>
                <w:sz w:val="24"/>
              </w:rPr>
            </w:pPr>
            <w:r>
              <w:rPr>
                <w:rFonts w:hint="eastAsia" w:ascii="宋体" w:hAnsi="宋体" w:cs="宋体"/>
                <w:color w:val="auto"/>
                <w:sz w:val="24"/>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27F2A540">
            <w:pPr>
              <w:spacing w:line="440" w:lineRule="exact"/>
              <w:contextualSpacing/>
              <w:jc w:val="center"/>
              <w:rPr>
                <w:rFonts w:ascii="宋体" w:hAnsi="宋体" w:cs="宋体"/>
                <w:color w:val="auto"/>
                <w:sz w:val="24"/>
              </w:rPr>
            </w:pPr>
            <w:r>
              <w:rPr>
                <w:rFonts w:hint="eastAsia" w:ascii="宋体" w:hAnsi="宋体" w:cs="宋体"/>
                <w:color w:val="auto"/>
                <w:sz w:val="24"/>
              </w:rPr>
              <w:t>备注</w:t>
            </w:r>
          </w:p>
        </w:tc>
      </w:tr>
      <w:tr w14:paraId="31B0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1" w:type="dxa"/>
            <w:tcBorders>
              <w:top w:val="single" w:color="auto" w:sz="4" w:space="0"/>
              <w:left w:val="single" w:color="auto" w:sz="4" w:space="0"/>
              <w:bottom w:val="single" w:color="auto" w:sz="4" w:space="0"/>
              <w:right w:val="single" w:color="auto" w:sz="4" w:space="0"/>
            </w:tcBorders>
            <w:vAlign w:val="center"/>
          </w:tcPr>
          <w:p w14:paraId="44BB740E">
            <w:pPr>
              <w:spacing w:line="440" w:lineRule="exact"/>
              <w:contextualSpacing/>
              <w:jc w:val="center"/>
              <w:rPr>
                <w:rFonts w:ascii="宋体" w:hAnsi="宋体" w:cs="宋体"/>
                <w:color w:val="auto"/>
                <w:sz w:val="24"/>
              </w:rPr>
            </w:pPr>
            <w:r>
              <w:rPr>
                <w:rFonts w:hint="eastAsia" w:ascii="宋体" w:hAnsi="宋体" w:cs="宋体"/>
                <w:color w:val="auto"/>
                <w:sz w:val="24"/>
              </w:rPr>
              <w:t>1</w:t>
            </w:r>
          </w:p>
        </w:tc>
        <w:tc>
          <w:tcPr>
            <w:tcW w:w="2398" w:type="dxa"/>
            <w:tcBorders>
              <w:top w:val="single" w:color="auto" w:sz="4" w:space="0"/>
              <w:left w:val="single" w:color="auto" w:sz="4" w:space="0"/>
              <w:bottom w:val="single" w:color="auto" w:sz="4" w:space="0"/>
              <w:right w:val="single" w:color="auto" w:sz="4" w:space="0"/>
            </w:tcBorders>
            <w:vAlign w:val="center"/>
          </w:tcPr>
          <w:p w14:paraId="2AEB19FE">
            <w:pPr>
              <w:spacing w:line="440" w:lineRule="exact"/>
              <w:contextualSpacing/>
              <w:jc w:val="center"/>
              <w:rPr>
                <w:rFonts w:ascii="宋体" w:hAnsi="宋体" w:cs="宋体"/>
                <w:color w:val="auto"/>
                <w:sz w:val="24"/>
              </w:rPr>
            </w:pPr>
          </w:p>
        </w:tc>
        <w:tc>
          <w:tcPr>
            <w:tcW w:w="1505" w:type="dxa"/>
            <w:tcBorders>
              <w:top w:val="single" w:color="auto" w:sz="4" w:space="0"/>
              <w:left w:val="single" w:color="auto" w:sz="4" w:space="0"/>
              <w:bottom w:val="single" w:color="auto" w:sz="4" w:space="0"/>
              <w:right w:val="single" w:color="auto" w:sz="4" w:space="0"/>
            </w:tcBorders>
            <w:vAlign w:val="center"/>
          </w:tcPr>
          <w:p w14:paraId="205C963B">
            <w:pPr>
              <w:spacing w:line="440" w:lineRule="exact"/>
              <w:contextualSpacing/>
              <w:jc w:val="center"/>
              <w:rPr>
                <w:rFonts w:ascii="宋体" w:hAnsi="宋体" w:cs="宋体"/>
                <w:color w:val="auto"/>
                <w:sz w:val="24"/>
              </w:rPr>
            </w:pPr>
            <w:r>
              <w:rPr>
                <w:rFonts w:hint="eastAsia" w:ascii="宋体" w:hAnsi="宋体" w:cs="宋体"/>
                <w:color w:val="auto"/>
                <w:sz w:val="24"/>
              </w:rPr>
              <w:t>1项</w:t>
            </w:r>
          </w:p>
        </w:tc>
        <w:tc>
          <w:tcPr>
            <w:tcW w:w="3107" w:type="dxa"/>
            <w:tcBorders>
              <w:top w:val="single" w:color="auto" w:sz="4" w:space="0"/>
              <w:left w:val="single" w:color="auto" w:sz="4" w:space="0"/>
              <w:bottom w:val="single" w:color="auto" w:sz="4" w:space="0"/>
              <w:right w:val="single" w:color="auto" w:sz="4" w:space="0"/>
            </w:tcBorders>
          </w:tcPr>
          <w:p w14:paraId="1C6FF898">
            <w:pPr>
              <w:spacing w:line="440" w:lineRule="exact"/>
              <w:contextualSpacing/>
              <w:rPr>
                <w:rFonts w:ascii="宋体" w:hAnsi="宋体" w:cs="宋体"/>
                <w:color w:val="auto"/>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4546846A">
            <w:pPr>
              <w:spacing w:line="440" w:lineRule="exact"/>
              <w:contextualSpacing/>
              <w:rPr>
                <w:rFonts w:ascii="宋体" w:hAnsi="宋体" w:cs="宋体"/>
                <w:color w:val="auto"/>
                <w:sz w:val="24"/>
              </w:rPr>
            </w:pPr>
          </w:p>
        </w:tc>
      </w:tr>
      <w:tr w14:paraId="278B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11127203">
            <w:pPr>
              <w:spacing w:line="440" w:lineRule="exact"/>
              <w:contextualSpacing/>
              <w:rPr>
                <w:rFonts w:ascii="宋体" w:hAnsi="宋体" w:cs="宋体"/>
                <w:color w:val="auto"/>
                <w:sz w:val="24"/>
              </w:rPr>
            </w:pPr>
            <w:r>
              <w:rPr>
                <w:rFonts w:hint="eastAsia" w:ascii="宋体" w:hAnsi="宋体" w:cs="宋体"/>
                <w:color w:val="auto"/>
                <w:sz w:val="24"/>
              </w:rPr>
              <w:t>竞标总价：大写             （¥：                   ）</w:t>
            </w:r>
          </w:p>
        </w:tc>
      </w:tr>
      <w:tr w14:paraId="405A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75D64264">
            <w:pPr>
              <w:spacing w:line="440" w:lineRule="exact"/>
              <w:contextualSpacing/>
              <w:rPr>
                <w:rFonts w:ascii="宋体" w:hAnsi="宋体" w:cs="宋体"/>
                <w:color w:val="auto"/>
                <w:sz w:val="24"/>
              </w:rPr>
            </w:pPr>
            <w:r>
              <w:rPr>
                <w:rFonts w:hint="eastAsia" w:ascii="宋体" w:hAnsi="宋体" w:cs="宋体"/>
                <w:color w:val="auto"/>
                <w:sz w:val="24"/>
              </w:rPr>
              <w:t>质量标准：</w:t>
            </w:r>
          </w:p>
        </w:tc>
      </w:tr>
      <w:tr w14:paraId="2C7F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7DDDA31C">
            <w:pPr>
              <w:spacing w:line="440" w:lineRule="exact"/>
              <w:contextualSpacing/>
              <w:rPr>
                <w:rFonts w:ascii="宋体" w:hAnsi="宋体" w:cs="宋体"/>
                <w:color w:val="auto"/>
                <w:sz w:val="24"/>
              </w:rPr>
            </w:pPr>
            <w:r>
              <w:rPr>
                <w:rFonts w:hint="eastAsia" w:ascii="宋体" w:hAnsi="宋体" w:cs="宋体"/>
                <w:color w:val="auto"/>
                <w:sz w:val="24"/>
              </w:rPr>
              <w:t>项目经理及证书编号：</w:t>
            </w:r>
          </w:p>
        </w:tc>
      </w:tr>
      <w:tr w14:paraId="378F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42ECBD0C">
            <w:pPr>
              <w:spacing w:line="440" w:lineRule="exact"/>
              <w:contextualSpacing/>
              <w:rPr>
                <w:rFonts w:ascii="宋体" w:hAnsi="宋体" w:cs="宋体"/>
                <w:color w:val="auto"/>
                <w:sz w:val="24"/>
              </w:rPr>
            </w:pPr>
            <w:r>
              <w:rPr>
                <w:rFonts w:hint="eastAsia" w:ascii="宋体" w:hAnsi="宋体" w:cs="宋体"/>
                <w:color w:val="auto"/>
                <w:sz w:val="24"/>
              </w:rPr>
              <w:t>合同工期履行期限：</w:t>
            </w:r>
          </w:p>
        </w:tc>
      </w:tr>
    </w:tbl>
    <w:p w14:paraId="0BF03504">
      <w:pPr>
        <w:spacing w:line="440" w:lineRule="exact"/>
        <w:contextualSpacing/>
        <w:jc w:val="left"/>
        <w:rPr>
          <w:rFonts w:ascii="宋体" w:hAnsi="宋体" w:cs="宋体"/>
          <w:color w:val="auto"/>
          <w:sz w:val="24"/>
        </w:rPr>
      </w:pPr>
      <w:r>
        <w:rPr>
          <w:rFonts w:hint="eastAsia" w:ascii="宋体" w:hAnsi="宋体" w:cs="宋体"/>
          <w:color w:val="auto"/>
          <w:sz w:val="24"/>
        </w:rPr>
        <w:t>注：</w:t>
      </w:r>
    </w:p>
    <w:p w14:paraId="4B68D360">
      <w:pPr>
        <w:spacing w:line="440" w:lineRule="exact"/>
        <w:ind w:firstLine="480" w:firstLineChars="200"/>
        <w:contextualSpacing/>
        <w:jc w:val="left"/>
        <w:rPr>
          <w:rFonts w:ascii="宋体" w:hAnsi="宋体" w:cs="宋体"/>
          <w:color w:val="auto"/>
          <w:sz w:val="24"/>
        </w:rPr>
      </w:pPr>
      <w:r>
        <w:rPr>
          <w:rFonts w:hint="eastAsia" w:ascii="宋体" w:hAnsi="宋体" w:cs="宋体"/>
          <w:color w:val="auto"/>
          <w:sz w:val="24"/>
        </w:rPr>
        <w:t>1. 供应商的报价表必须加盖供应商电子签章并由法定代表人或者委托代理人签字或者电子签名，</w:t>
      </w:r>
      <w:r>
        <w:rPr>
          <w:rFonts w:hint="eastAsia" w:ascii="宋体" w:hAnsi="宋体" w:cs="宋体"/>
          <w:b/>
          <w:color w:val="auto"/>
          <w:sz w:val="24"/>
        </w:rPr>
        <w:t>否则其响应文件按无效处理</w:t>
      </w:r>
      <w:r>
        <w:rPr>
          <w:rFonts w:hint="eastAsia" w:ascii="宋体" w:hAnsi="宋体" w:cs="宋体"/>
          <w:color w:val="auto"/>
          <w:sz w:val="24"/>
        </w:rPr>
        <w:t>。</w:t>
      </w:r>
    </w:p>
    <w:p w14:paraId="63A7E950">
      <w:pPr>
        <w:spacing w:line="440" w:lineRule="exact"/>
        <w:ind w:firstLine="480" w:firstLineChars="200"/>
        <w:contextualSpacing/>
        <w:jc w:val="left"/>
        <w:rPr>
          <w:rFonts w:ascii="宋体" w:hAnsi="宋体" w:cs="宋体"/>
          <w:b/>
          <w:color w:val="auto"/>
          <w:sz w:val="24"/>
        </w:rPr>
      </w:pPr>
      <w:r>
        <w:rPr>
          <w:rFonts w:hint="eastAsia" w:ascii="宋体" w:hAnsi="宋体" w:cs="宋体"/>
          <w:bCs/>
          <w:color w:val="auto"/>
          <w:sz w:val="24"/>
        </w:rPr>
        <w:t>2.</w:t>
      </w:r>
      <w:r>
        <w:rPr>
          <w:rFonts w:hint="eastAsia" w:ascii="宋体" w:hAnsi="宋体" w:cs="宋体"/>
          <w:color w:val="auto"/>
          <w:sz w:val="24"/>
        </w:rPr>
        <w:t xml:space="preserve"> 报价一经涂改，应在涂改处加盖供应商公章或者加盖电子签章或者由法定代表人或者授权委托人签字（或者电子签名）</w:t>
      </w:r>
      <w:r>
        <w:rPr>
          <w:rFonts w:hint="eastAsia" w:ascii="宋体" w:hAnsi="宋体" w:cs="宋体"/>
          <w:b/>
          <w:color w:val="auto"/>
          <w:sz w:val="24"/>
        </w:rPr>
        <w:t>，否则其响应文件按无效处理。</w:t>
      </w:r>
    </w:p>
    <w:p w14:paraId="32CDAEA0">
      <w:pPr>
        <w:spacing w:line="440" w:lineRule="exact"/>
        <w:ind w:firstLine="480" w:firstLineChars="200"/>
        <w:contextualSpacing/>
        <w:jc w:val="left"/>
        <w:rPr>
          <w:rFonts w:ascii="宋体" w:hAnsi="宋体" w:cs="宋体"/>
          <w:b/>
          <w:color w:val="auto"/>
          <w:sz w:val="24"/>
        </w:rPr>
      </w:pPr>
      <w:r>
        <w:rPr>
          <w:rFonts w:hint="eastAsia" w:ascii="宋体" w:hAnsi="宋体" w:cs="宋体"/>
          <w:bCs/>
          <w:color w:val="auto"/>
          <w:sz w:val="24"/>
        </w:rPr>
        <w:t>3.磋商报价表须后附已标价的工程量清单及预算资料，清单格式详见采购人或采购代理机构提供的工程量清单（加盖供应商公章的扫描件），否则其响应文件按无效响应处理。</w:t>
      </w:r>
    </w:p>
    <w:p w14:paraId="431E2425">
      <w:pPr>
        <w:spacing w:line="440" w:lineRule="exact"/>
        <w:ind w:firstLine="480" w:firstLineChars="200"/>
        <w:contextualSpacing/>
        <w:rPr>
          <w:rFonts w:ascii="宋体" w:hAnsi="宋体" w:cs="宋体"/>
          <w:strike/>
          <w:color w:val="auto"/>
          <w:sz w:val="24"/>
        </w:rPr>
      </w:pPr>
    </w:p>
    <w:p w14:paraId="596FEB96">
      <w:pPr>
        <w:spacing w:line="440" w:lineRule="exact"/>
        <w:ind w:right="-817" w:rightChars="-389" w:firstLine="2640" w:firstLineChars="1100"/>
        <w:contextualSpacing/>
        <w:rPr>
          <w:rFonts w:ascii="宋体" w:hAnsi="宋体" w:cs="宋体"/>
          <w:color w:val="auto"/>
          <w:sz w:val="24"/>
        </w:rPr>
      </w:pPr>
    </w:p>
    <w:p w14:paraId="594DAEF5">
      <w:pPr>
        <w:spacing w:line="440" w:lineRule="exact"/>
        <w:ind w:right="-817" w:rightChars="-389" w:firstLine="2640" w:firstLineChars="1100"/>
        <w:contextualSpacing/>
        <w:rPr>
          <w:rFonts w:ascii="宋体" w:hAnsi="宋体" w:cs="宋体"/>
          <w:color w:val="auto"/>
          <w:sz w:val="24"/>
        </w:rPr>
      </w:pPr>
      <w:r>
        <w:rPr>
          <w:rFonts w:hint="eastAsia" w:ascii="宋体" w:hAnsi="宋体" w:cs="宋体"/>
          <w:color w:val="auto"/>
          <w:sz w:val="24"/>
        </w:rPr>
        <w:t xml:space="preserve">法定代表人或者委托代理人（签字或者电子签名）：                    </w:t>
      </w:r>
    </w:p>
    <w:p w14:paraId="78BEAF4B">
      <w:pPr>
        <w:spacing w:line="440" w:lineRule="exact"/>
        <w:ind w:right="-817" w:rightChars="-389" w:firstLine="2640" w:firstLineChars="1100"/>
        <w:contextualSpacing/>
        <w:rPr>
          <w:rFonts w:ascii="宋体" w:hAnsi="宋体" w:cs="宋体"/>
          <w:color w:val="auto"/>
          <w:sz w:val="24"/>
        </w:rPr>
      </w:pPr>
      <w:r>
        <w:rPr>
          <w:rFonts w:hint="eastAsia" w:ascii="宋体" w:hAnsi="宋体" w:cs="宋体"/>
          <w:color w:val="auto"/>
          <w:sz w:val="24"/>
        </w:rPr>
        <w:t xml:space="preserve">供应商（电子签章）：      </w:t>
      </w:r>
    </w:p>
    <w:p w14:paraId="0C8A7A8A">
      <w:pPr>
        <w:spacing w:line="440" w:lineRule="exact"/>
        <w:ind w:right="-817" w:rightChars="-389" w:firstLine="4080" w:firstLineChars="1700"/>
        <w:contextualSpacing/>
        <w:rPr>
          <w:rFonts w:ascii="宋体" w:hAnsi="宋体" w:cs="宋体"/>
          <w:color w:val="auto"/>
          <w:sz w:val="24"/>
        </w:rPr>
      </w:pPr>
      <w:r>
        <w:rPr>
          <w:rFonts w:hint="eastAsia" w:ascii="宋体" w:hAnsi="宋体" w:cs="宋体"/>
          <w:color w:val="auto"/>
          <w:sz w:val="24"/>
        </w:rPr>
        <w:t>日期：   年   月   日</w:t>
      </w:r>
    </w:p>
    <w:p w14:paraId="67725B4E">
      <w:pPr>
        <w:spacing w:line="440" w:lineRule="exact"/>
        <w:contextualSpacing/>
        <w:jc w:val="center"/>
        <w:rPr>
          <w:rFonts w:ascii="宋体" w:hAnsi="宋体" w:cs="宋体"/>
          <w:b/>
          <w:color w:val="auto"/>
          <w:sz w:val="32"/>
          <w:szCs w:val="32"/>
        </w:rPr>
      </w:pPr>
      <w:r>
        <w:rPr>
          <w:rFonts w:hint="eastAsia" w:ascii="宋体" w:hAnsi="宋体" w:cs="宋体"/>
          <w:color w:val="auto"/>
          <w:sz w:val="24"/>
        </w:rPr>
        <w:br w:type="page"/>
      </w:r>
      <w:r>
        <w:rPr>
          <w:rFonts w:hint="eastAsia" w:ascii="宋体" w:hAnsi="宋体" w:cs="宋体"/>
          <w:b/>
          <w:color w:val="auto"/>
          <w:sz w:val="32"/>
          <w:szCs w:val="32"/>
        </w:rPr>
        <w:t>已标价工程量清单</w:t>
      </w:r>
    </w:p>
    <w:p w14:paraId="27373E34">
      <w:pPr>
        <w:spacing w:line="440" w:lineRule="exact"/>
        <w:ind w:firstLine="420" w:firstLineChars="200"/>
        <w:rPr>
          <w:rFonts w:ascii="宋体" w:hAnsi="宋体" w:cs="宋体"/>
          <w:color w:val="auto"/>
        </w:rPr>
      </w:pPr>
      <w:r>
        <w:rPr>
          <w:rFonts w:hint="eastAsia" w:ascii="宋体" w:hAnsi="宋体" w:cs="宋体"/>
          <w:color w:val="auto"/>
        </w:rPr>
        <w:t>已标价工程量清单应按第五章“工程量清单及图纸”中的相关表格及竞标报价说明填写。构成合同文件的已标价工程量清单包括第五章“工程量清单及图纸”有关工程量清单、竞标报价以及其他说明的内容。</w:t>
      </w:r>
    </w:p>
    <w:p w14:paraId="6F666E1D">
      <w:pPr>
        <w:spacing w:line="440" w:lineRule="exact"/>
        <w:ind w:right="420"/>
        <w:contextualSpacing/>
        <w:jc w:val="center"/>
        <w:rPr>
          <w:rFonts w:ascii="宋体" w:hAnsi="宋体" w:cs="宋体"/>
          <w:b/>
          <w:bCs/>
          <w:color w:val="auto"/>
          <w:sz w:val="32"/>
          <w:szCs w:val="32"/>
        </w:rPr>
      </w:pPr>
      <w:r>
        <w:rPr>
          <w:rFonts w:hint="eastAsia" w:ascii="宋体" w:hAnsi="宋体" w:cs="宋体"/>
          <w:b/>
          <w:bCs/>
          <w:color w:val="auto"/>
          <w:sz w:val="32"/>
          <w:szCs w:val="32"/>
        </w:rPr>
        <w:br w:type="page"/>
      </w:r>
    </w:p>
    <w:p w14:paraId="4754D958">
      <w:pPr>
        <w:spacing w:line="440" w:lineRule="exact"/>
        <w:contextualSpacing/>
        <w:outlineLvl w:val="1"/>
        <w:rPr>
          <w:rFonts w:ascii="宋体" w:hAnsi="宋体" w:cs="宋体"/>
          <w:b/>
          <w:color w:val="auto"/>
          <w:sz w:val="32"/>
          <w:szCs w:val="32"/>
        </w:rPr>
      </w:pPr>
      <w:bookmarkStart w:id="103" w:name="_Toc23427"/>
      <w:r>
        <w:rPr>
          <w:rFonts w:hint="eastAsia" w:ascii="宋体" w:hAnsi="宋体" w:cs="宋体"/>
          <w:b/>
          <w:bCs/>
          <w:color w:val="auto"/>
          <w:sz w:val="32"/>
          <w:szCs w:val="32"/>
        </w:rPr>
        <w:t>三、</w:t>
      </w:r>
      <w:r>
        <w:rPr>
          <w:rFonts w:hint="eastAsia" w:ascii="宋体" w:hAnsi="宋体" w:cs="宋体"/>
          <w:b/>
          <w:color w:val="auto"/>
          <w:sz w:val="32"/>
          <w:szCs w:val="32"/>
        </w:rPr>
        <w:t>商务技术文件格式</w:t>
      </w:r>
      <w:bookmarkEnd w:id="103"/>
    </w:p>
    <w:p w14:paraId="4AADEFA2">
      <w:pPr>
        <w:snapToGrid w:val="0"/>
        <w:spacing w:beforeLines="50" w:after="50" w:line="440" w:lineRule="exact"/>
        <w:jc w:val="left"/>
        <w:rPr>
          <w:rFonts w:ascii="宋体" w:hAnsi="宋体" w:cs="宋体"/>
          <w:b/>
          <w:color w:val="auto"/>
          <w:sz w:val="32"/>
          <w:szCs w:val="32"/>
        </w:rPr>
      </w:pPr>
      <w:r>
        <w:rPr>
          <w:rFonts w:hint="eastAsia" w:ascii="宋体" w:hAnsi="宋体" w:cs="宋体"/>
          <w:b/>
          <w:color w:val="auto"/>
          <w:sz w:val="32"/>
          <w:szCs w:val="32"/>
        </w:rPr>
        <w:t>1.商务技术文件封面格式</w:t>
      </w:r>
    </w:p>
    <w:p w14:paraId="67060163">
      <w:pPr>
        <w:snapToGrid w:val="0"/>
        <w:spacing w:beforeLines="50" w:after="50" w:line="440" w:lineRule="exact"/>
        <w:rPr>
          <w:rFonts w:ascii="宋体" w:hAnsi="宋体" w:cs="宋体"/>
          <w:bCs/>
          <w:color w:val="auto"/>
          <w:sz w:val="32"/>
          <w:szCs w:val="20"/>
        </w:rPr>
      </w:pPr>
    </w:p>
    <w:p w14:paraId="4254182D">
      <w:pPr>
        <w:snapToGrid w:val="0"/>
        <w:spacing w:beforeLines="50" w:after="50" w:line="440" w:lineRule="exact"/>
        <w:jc w:val="center"/>
        <w:rPr>
          <w:rFonts w:ascii="宋体" w:hAnsi="宋体" w:cs="宋体"/>
          <w:color w:val="auto"/>
          <w:sz w:val="24"/>
          <w:szCs w:val="20"/>
        </w:rPr>
      </w:pPr>
      <w:r>
        <w:rPr>
          <w:rFonts w:hint="eastAsia" w:ascii="宋体" w:hAnsi="宋体" w:cs="宋体"/>
          <w:color w:val="auto"/>
          <w:sz w:val="44"/>
          <w:szCs w:val="44"/>
        </w:rPr>
        <w:t>电 子 响 应 文 件</w:t>
      </w:r>
    </w:p>
    <w:p w14:paraId="1B969752">
      <w:pPr>
        <w:snapToGrid w:val="0"/>
        <w:spacing w:beforeLines="50" w:after="50" w:line="440" w:lineRule="exact"/>
        <w:rPr>
          <w:rFonts w:ascii="宋体" w:hAnsi="宋体" w:cs="宋体"/>
          <w:color w:val="auto"/>
          <w:sz w:val="24"/>
          <w:szCs w:val="20"/>
        </w:rPr>
      </w:pPr>
    </w:p>
    <w:p w14:paraId="35445FF0">
      <w:pPr>
        <w:snapToGrid w:val="0"/>
        <w:spacing w:beforeLines="50" w:after="50" w:line="440" w:lineRule="exact"/>
        <w:rPr>
          <w:rFonts w:ascii="宋体" w:hAnsi="宋体" w:cs="宋体"/>
          <w:color w:val="auto"/>
          <w:sz w:val="24"/>
          <w:szCs w:val="20"/>
        </w:rPr>
      </w:pPr>
    </w:p>
    <w:p w14:paraId="3DA7AA15">
      <w:pPr>
        <w:snapToGrid w:val="0"/>
        <w:spacing w:beforeLines="50" w:after="50" w:line="440" w:lineRule="exact"/>
        <w:jc w:val="center"/>
        <w:rPr>
          <w:rFonts w:ascii="宋体" w:hAnsi="宋体" w:cs="宋体"/>
          <w:bCs/>
          <w:color w:val="auto"/>
          <w:sz w:val="44"/>
          <w:szCs w:val="44"/>
        </w:rPr>
      </w:pPr>
      <w:r>
        <w:rPr>
          <w:rFonts w:hint="eastAsia" w:ascii="宋体" w:hAnsi="宋体" w:cs="宋体"/>
          <w:bCs/>
          <w:color w:val="auto"/>
          <w:sz w:val="44"/>
          <w:szCs w:val="44"/>
        </w:rPr>
        <w:t>商  务  技  术  文  件</w:t>
      </w:r>
    </w:p>
    <w:p w14:paraId="0CF86C46">
      <w:pPr>
        <w:snapToGrid w:val="0"/>
        <w:spacing w:beforeLines="50" w:after="50" w:line="440" w:lineRule="exact"/>
        <w:rPr>
          <w:rFonts w:ascii="宋体" w:hAnsi="宋体" w:cs="宋体"/>
          <w:bCs/>
          <w:color w:val="auto"/>
          <w:sz w:val="24"/>
          <w:szCs w:val="20"/>
        </w:rPr>
      </w:pPr>
    </w:p>
    <w:p w14:paraId="29776D3D">
      <w:pPr>
        <w:snapToGrid w:val="0"/>
        <w:spacing w:beforeLines="50" w:after="50" w:line="440" w:lineRule="exact"/>
        <w:rPr>
          <w:rFonts w:ascii="宋体" w:hAnsi="宋体" w:cs="宋体"/>
          <w:bCs/>
          <w:color w:val="auto"/>
          <w:sz w:val="24"/>
          <w:szCs w:val="20"/>
        </w:rPr>
      </w:pPr>
    </w:p>
    <w:p w14:paraId="608E26F5">
      <w:pPr>
        <w:snapToGrid w:val="0"/>
        <w:spacing w:beforeLines="50" w:after="50" w:line="440" w:lineRule="exact"/>
        <w:ind w:firstLine="640" w:firstLineChars="200"/>
        <w:rPr>
          <w:rFonts w:ascii="宋体" w:hAnsi="宋体" w:cs="宋体"/>
          <w:bCs/>
          <w:color w:val="auto"/>
          <w:sz w:val="32"/>
          <w:szCs w:val="32"/>
        </w:rPr>
      </w:pPr>
      <w:r>
        <w:rPr>
          <w:rFonts w:hint="eastAsia" w:ascii="宋体" w:hAnsi="宋体" w:cs="宋体"/>
          <w:bCs/>
          <w:color w:val="auto"/>
          <w:sz w:val="32"/>
          <w:szCs w:val="32"/>
        </w:rPr>
        <w:t>项目名称：</w:t>
      </w:r>
    </w:p>
    <w:p w14:paraId="298B4B2C">
      <w:pPr>
        <w:snapToGrid w:val="0"/>
        <w:spacing w:beforeLines="50" w:after="50" w:line="440" w:lineRule="exact"/>
        <w:ind w:firstLine="720" w:firstLineChars="225"/>
        <w:rPr>
          <w:rFonts w:ascii="宋体" w:hAnsi="宋体" w:cs="宋体"/>
          <w:bCs/>
          <w:color w:val="auto"/>
          <w:sz w:val="32"/>
          <w:szCs w:val="32"/>
        </w:rPr>
      </w:pPr>
    </w:p>
    <w:p w14:paraId="4C36DB37">
      <w:pPr>
        <w:snapToGrid w:val="0"/>
        <w:spacing w:beforeLines="50" w:after="50" w:line="440" w:lineRule="exact"/>
        <w:ind w:firstLine="640" w:firstLineChars="200"/>
        <w:rPr>
          <w:rFonts w:ascii="宋体" w:hAnsi="宋体" w:cs="宋体"/>
          <w:bCs/>
          <w:color w:val="auto"/>
          <w:sz w:val="32"/>
          <w:szCs w:val="32"/>
        </w:rPr>
      </w:pPr>
      <w:r>
        <w:rPr>
          <w:rFonts w:hint="eastAsia" w:ascii="宋体" w:hAnsi="宋体" w:cs="宋体"/>
          <w:bCs/>
          <w:color w:val="auto"/>
          <w:sz w:val="32"/>
          <w:szCs w:val="32"/>
        </w:rPr>
        <w:t>项目编号：</w:t>
      </w:r>
    </w:p>
    <w:p w14:paraId="35074F53">
      <w:pPr>
        <w:snapToGrid w:val="0"/>
        <w:spacing w:beforeLines="50" w:after="50" w:line="440" w:lineRule="exact"/>
        <w:ind w:firstLine="720" w:firstLineChars="225"/>
        <w:rPr>
          <w:rFonts w:ascii="宋体" w:hAnsi="宋体" w:cs="宋体"/>
          <w:bCs/>
          <w:color w:val="auto"/>
          <w:sz w:val="32"/>
          <w:szCs w:val="32"/>
        </w:rPr>
      </w:pPr>
    </w:p>
    <w:p w14:paraId="7537AC95">
      <w:pPr>
        <w:snapToGrid w:val="0"/>
        <w:spacing w:beforeLines="50" w:after="50" w:line="440" w:lineRule="exact"/>
        <w:ind w:firstLine="640" w:firstLineChars="200"/>
        <w:rPr>
          <w:rFonts w:ascii="宋体" w:hAnsi="宋体" w:cs="宋体"/>
          <w:bCs/>
          <w:color w:val="auto"/>
          <w:sz w:val="32"/>
          <w:szCs w:val="32"/>
        </w:rPr>
      </w:pPr>
      <w:r>
        <w:rPr>
          <w:rFonts w:hint="eastAsia" w:ascii="宋体" w:hAnsi="宋体" w:cs="宋体"/>
          <w:bCs/>
          <w:color w:val="auto"/>
          <w:sz w:val="32"/>
          <w:szCs w:val="32"/>
        </w:rPr>
        <w:t>所竞分标（如有则填写，无分标时填写“无”或者留空）：</w:t>
      </w:r>
    </w:p>
    <w:p w14:paraId="35DD6F42">
      <w:pPr>
        <w:snapToGrid w:val="0"/>
        <w:spacing w:beforeLines="50" w:after="50" w:line="440" w:lineRule="exact"/>
        <w:ind w:firstLine="720" w:firstLineChars="225"/>
        <w:rPr>
          <w:rFonts w:ascii="宋体" w:hAnsi="宋体" w:cs="宋体"/>
          <w:bCs/>
          <w:color w:val="auto"/>
          <w:sz w:val="32"/>
          <w:szCs w:val="32"/>
        </w:rPr>
      </w:pPr>
    </w:p>
    <w:p w14:paraId="08DBDD79">
      <w:pPr>
        <w:pStyle w:val="7"/>
        <w:snapToGrid w:val="0"/>
        <w:spacing w:before="50" w:after="50" w:line="440" w:lineRule="exact"/>
        <w:ind w:firstLine="640" w:firstLineChars="200"/>
        <w:rPr>
          <w:rFonts w:ascii="宋体" w:hAnsi="宋体" w:cs="宋体"/>
          <w:bCs/>
          <w:color w:val="auto"/>
          <w:sz w:val="32"/>
          <w:szCs w:val="32"/>
        </w:rPr>
      </w:pPr>
      <w:r>
        <w:rPr>
          <w:rFonts w:hint="eastAsia" w:ascii="宋体" w:hAnsi="宋体" w:cs="宋体"/>
          <w:bCs/>
          <w:color w:val="auto"/>
          <w:sz w:val="32"/>
          <w:szCs w:val="32"/>
        </w:rPr>
        <w:t>供应商名称：</w:t>
      </w:r>
    </w:p>
    <w:p w14:paraId="6272EF5E">
      <w:pPr>
        <w:pStyle w:val="7"/>
        <w:snapToGrid w:val="0"/>
        <w:spacing w:before="50" w:after="50" w:line="440" w:lineRule="exact"/>
        <w:ind w:firstLine="640" w:firstLineChars="200"/>
        <w:rPr>
          <w:rFonts w:ascii="宋体" w:hAnsi="宋体" w:cs="宋体"/>
          <w:bCs/>
          <w:color w:val="auto"/>
          <w:sz w:val="32"/>
          <w:szCs w:val="32"/>
        </w:rPr>
      </w:pPr>
    </w:p>
    <w:p w14:paraId="7084BE23">
      <w:pPr>
        <w:pStyle w:val="7"/>
        <w:snapToGrid w:val="0"/>
        <w:spacing w:before="50" w:after="50" w:line="440" w:lineRule="exact"/>
        <w:ind w:firstLine="0"/>
        <w:rPr>
          <w:rFonts w:ascii="宋体" w:hAnsi="宋体" w:cs="宋体"/>
          <w:bCs/>
          <w:color w:val="auto"/>
          <w:sz w:val="32"/>
          <w:szCs w:val="32"/>
        </w:rPr>
      </w:pPr>
    </w:p>
    <w:p w14:paraId="05B78921">
      <w:pPr>
        <w:pStyle w:val="7"/>
        <w:snapToGrid w:val="0"/>
        <w:spacing w:before="50" w:after="50" w:line="440" w:lineRule="exact"/>
        <w:ind w:firstLine="1280" w:firstLineChars="400"/>
        <w:rPr>
          <w:rFonts w:ascii="宋体" w:hAnsi="宋体" w:cs="宋体"/>
          <w:bCs/>
          <w:color w:val="auto"/>
          <w:sz w:val="32"/>
          <w:szCs w:val="32"/>
        </w:rPr>
      </w:pPr>
    </w:p>
    <w:p w14:paraId="6F6E7D84">
      <w:pPr>
        <w:snapToGrid w:val="0"/>
        <w:spacing w:beforeLines="50" w:after="50" w:line="440" w:lineRule="exact"/>
        <w:jc w:val="center"/>
        <w:rPr>
          <w:rFonts w:ascii="宋体" w:hAnsi="宋体" w:cs="宋体"/>
          <w:color w:val="auto"/>
          <w:sz w:val="32"/>
          <w:szCs w:val="32"/>
        </w:rPr>
      </w:pPr>
      <w:r>
        <w:rPr>
          <w:rFonts w:hint="eastAsia" w:ascii="宋体" w:hAnsi="宋体" w:cs="宋体"/>
          <w:color w:val="auto"/>
          <w:sz w:val="32"/>
          <w:szCs w:val="32"/>
        </w:rPr>
        <w:t>年    月    日</w:t>
      </w:r>
    </w:p>
    <w:p w14:paraId="0156FB70">
      <w:pPr>
        <w:snapToGrid w:val="0"/>
        <w:spacing w:beforeLines="50" w:after="50" w:line="440" w:lineRule="exact"/>
        <w:ind w:right="480" w:firstLine="240" w:firstLineChars="100"/>
        <w:jc w:val="left"/>
        <w:rPr>
          <w:rFonts w:ascii="宋体" w:hAnsi="宋体" w:cs="宋体"/>
          <w:b/>
          <w:bCs/>
          <w:color w:val="auto"/>
          <w:sz w:val="24"/>
        </w:rPr>
      </w:pPr>
      <w:r>
        <w:rPr>
          <w:rFonts w:hint="eastAsia" w:ascii="宋体" w:hAnsi="宋体" w:cs="宋体"/>
          <w:color w:val="auto"/>
          <w:sz w:val="24"/>
        </w:rPr>
        <w:br w:type="page"/>
      </w:r>
      <w:r>
        <w:rPr>
          <w:rFonts w:hint="eastAsia" w:ascii="宋体" w:hAnsi="宋体" w:cs="宋体"/>
          <w:b/>
          <w:bCs/>
          <w:color w:val="auto"/>
          <w:sz w:val="32"/>
          <w:szCs w:val="32"/>
        </w:rPr>
        <w:t>2.商务技术文件目录</w:t>
      </w:r>
    </w:p>
    <w:p w14:paraId="17EEEC72">
      <w:pPr>
        <w:snapToGrid w:val="0"/>
        <w:spacing w:beforeLines="50" w:after="50" w:line="440" w:lineRule="exact"/>
        <w:ind w:firstLine="640" w:firstLineChars="200"/>
        <w:rPr>
          <w:rFonts w:ascii="宋体" w:hAnsi="宋体" w:cs="宋体"/>
          <w:color w:val="auto"/>
          <w:sz w:val="32"/>
          <w:szCs w:val="32"/>
        </w:rPr>
      </w:pPr>
      <w:r>
        <w:rPr>
          <w:rFonts w:hint="eastAsia" w:ascii="宋体" w:hAnsi="宋体" w:cs="宋体"/>
          <w:color w:val="auto"/>
          <w:sz w:val="32"/>
          <w:szCs w:val="32"/>
        </w:rPr>
        <w:t>根据磋商文件规定及供应商提供的材料自行编写目录（部分格式后附）。</w:t>
      </w:r>
    </w:p>
    <w:p w14:paraId="47002172">
      <w:pPr>
        <w:spacing w:line="440" w:lineRule="exact"/>
        <w:rPr>
          <w:rFonts w:ascii="宋体" w:hAnsi="宋体" w:cs="宋体"/>
          <w:color w:val="auto"/>
          <w:sz w:val="32"/>
          <w:szCs w:val="32"/>
        </w:rPr>
      </w:pPr>
    </w:p>
    <w:p w14:paraId="553B962B">
      <w:pPr>
        <w:spacing w:line="440" w:lineRule="exact"/>
        <w:jc w:val="center"/>
        <w:rPr>
          <w:rFonts w:ascii="宋体" w:hAnsi="宋体" w:cs="宋体"/>
          <w:color w:val="auto"/>
          <w:sz w:val="32"/>
          <w:szCs w:val="32"/>
        </w:rPr>
      </w:pPr>
      <w:r>
        <w:rPr>
          <w:rFonts w:hint="eastAsia" w:ascii="宋体" w:hAnsi="宋体" w:cs="宋体"/>
          <w:color w:val="auto"/>
          <w:sz w:val="44"/>
          <w:szCs w:val="44"/>
        </w:rPr>
        <w:br w:type="page"/>
      </w:r>
      <w:r>
        <w:rPr>
          <w:rFonts w:hint="eastAsia" w:ascii="宋体" w:hAnsi="宋体" w:cs="宋体"/>
          <w:b/>
          <w:bCs/>
          <w:color w:val="auto"/>
          <w:sz w:val="32"/>
          <w:szCs w:val="32"/>
        </w:rPr>
        <w:t>无串通竞标行为的承诺函</w:t>
      </w:r>
    </w:p>
    <w:p w14:paraId="13944FF9">
      <w:pPr>
        <w:spacing w:line="440" w:lineRule="exact"/>
        <w:ind w:firstLine="482" w:firstLineChars="200"/>
        <w:contextualSpacing/>
        <w:rPr>
          <w:rFonts w:ascii="宋体" w:hAnsi="宋体" w:cs="宋体"/>
          <w:b/>
          <w:bCs/>
          <w:color w:val="auto"/>
          <w:sz w:val="24"/>
        </w:rPr>
      </w:pPr>
    </w:p>
    <w:p w14:paraId="64E71380">
      <w:pPr>
        <w:spacing w:line="440" w:lineRule="exact"/>
        <w:ind w:firstLine="482" w:firstLineChars="200"/>
        <w:contextualSpacing/>
        <w:rPr>
          <w:rFonts w:ascii="宋体" w:hAnsi="宋体" w:cs="宋体"/>
          <w:b/>
          <w:bCs/>
          <w:color w:val="auto"/>
          <w:sz w:val="24"/>
        </w:rPr>
      </w:pPr>
      <w:r>
        <w:rPr>
          <w:rFonts w:hint="eastAsia" w:ascii="宋体" w:hAnsi="宋体" w:cs="宋体"/>
          <w:b/>
          <w:bCs/>
          <w:color w:val="auto"/>
          <w:sz w:val="24"/>
        </w:rPr>
        <w:t>一、我方承诺无下列相互串通竞标的情形：</w:t>
      </w:r>
    </w:p>
    <w:p w14:paraId="6DDBDB23">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1.不同供应商的响应文件由同一单位或者个人编制；</w:t>
      </w:r>
      <w:r>
        <w:rPr>
          <w:rFonts w:hint="eastAsia" w:ascii="宋体" w:hAnsi="宋体" w:cs="宋体"/>
          <w:color w:val="auto"/>
          <w:sz w:val="24"/>
          <w:lang w:val="zh-CN"/>
        </w:rPr>
        <w:t>或者不同供应商报名的IP地址一致的；</w:t>
      </w:r>
    </w:p>
    <w:p w14:paraId="300FE41B">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2.不同供应商委托同一单位或者个人办理竞标事宜；</w:t>
      </w:r>
    </w:p>
    <w:p w14:paraId="3530FF63">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3.不同供应商的响应文件载明的项目管理员为同一个人；</w:t>
      </w:r>
    </w:p>
    <w:p w14:paraId="1B7540FA">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4.不</w:t>
      </w:r>
      <w:r>
        <w:rPr>
          <w:rFonts w:hint="eastAsia" w:ascii="宋体" w:hAnsi="宋体" w:cs="宋体"/>
          <w:color w:val="auto"/>
          <w:spacing w:val="-6"/>
          <w:sz w:val="24"/>
        </w:rPr>
        <w:t>同供应商的响应文件异常一致或者竞标报价呈规律性差异；</w:t>
      </w:r>
    </w:p>
    <w:p w14:paraId="4C0C5E1A">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5.不同供应商的响应文件相互混装；</w:t>
      </w:r>
    </w:p>
    <w:p w14:paraId="44218A3D">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6.不同供应商的磋商保证金从同一单位或者个人账户转出。</w:t>
      </w:r>
    </w:p>
    <w:p w14:paraId="07DB91EE">
      <w:pPr>
        <w:spacing w:line="440" w:lineRule="exact"/>
        <w:ind w:firstLine="482" w:firstLineChars="200"/>
        <w:contextualSpacing/>
        <w:rPr>
          <w:rFonts w:ascii="宋体" w:hAnsi="宋体" w:cs="宋体"/>
          <w:b/>
          <w:bCs/>
          <w:color w:val="auto"/>
          <w:sz w:val="24"/>
        </w:rPr>
      </w:pPr>
      <w:r>
        <w:rPr>
          <w:rFonts w:hint="eastAsia" w:ascii="宋体" w:hAnsi="宋体" w:cs="宋体"/>
          <w:b/>
          <w:bCs/>
          <w:color w:val="auto"/>
          <w:sz w:val="24"/>
        </w:rPr>
        <w:t>二、我方承诺无下列恶意串通的情形：</w:t>
      </w:r>
    </w:p>
    <w:p w14:paraId="06940D65">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1.供应商直接或者间接从采购人或者采购代理机构处获得其他供应商的相关信息并修改其响应文件；</w:t>
      </w:r>
    </w:p>
    <w:p w14:paraId="6CBC4557">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2.供应商按照采购人或者采购代理机构的授意撤换、修改响应文件；</w:t>
      </w:r>
    </w:p>
    <w:p w14:paraId="103B3A76">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3.供</w:t>
      </w:r>
      <w:r>
        <w:rPr>
          <w:rFonts w:hint="eastAsia" w:ascii="宋体" w:hAnsi="宋体" w:cs="宋体"/>
          <w:color w:val="auto"/>
          <w:spacing w:val="-6"/>
          <w:sz w:val="24"/>
        </w:rPr>
        <w:t>应商之间协商报价、技术方案等响应文件的实质性内容；</w:t>
      </w:r>
    </w:p>
    <w:p w14:paraId="61836955">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4.属于同一集团、协会、商会等组织成员的供应商按照该组织要求协同参加政府采购活动；</w:t>
      </w:r>
    </w:p>
    <w:p w14:paraId="0B39FE85">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5.供应商之间事先约定一致抬高或者压低竞标报价，或者在竞争性磋商项目中事先约定轮流以高价位或者低价位成交，或者事先约定由某一特定供应商成交，然后再参加竞标；</w:t>
      </w:r>
    </w:p>
    <w:p w14:paraId="38D82FB4">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6.供应商之间商定部分供应商放弃参加政府采购活动或者放弃成交；</w:t>
      </w:r>
    </w:p>
    <w:p w14:paraId="307FED9F">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7.供应商与采购人或者采购代理机构之间、供应商相互之间，为</w:t>
      </w:r>
      <w:r>
        <w:rPr>
          <w:rFonts w:hint="eastAsia" w:ascii="宋体" w:hAnsi="宋体" w:cs="宋体"/>
          <w:color w:val="auto"/>
          <w:spacing w:val="-6"/>
          <w:sz w:val="24"/>
        </w:rPr>
        <w:t>谋求特定供应商成交或者排斥其他供应商的其他串通行为。</w:t>
      </w:r>
    </w:p>
    <w:p w14:paraId="5F3B5109">
      <w:pPr>
        <w:spacing w:line="440" w:lineRule="exact"/>
        <w:ind w:firstLine="482" w:firstLineChars="200"/>
        <w:contextualSpacing/>
        <w:rPr>
          <w:rFonts w:ascii="宋体" w:hAnsi="宋体" w:cs="宋体"/>
          <w:b/>
          <w:bCs/>
          <w:color w:val="auto"/>
          <w:sz w:val="24"/>
        </w:rPr>
      </w:pPr>
      <w:r>
        <w:rPr>
          <w:rFonts w:hint="eastAsia" w:ascii="宋体" w:hAnsi="宋体" w:cs="宋体"/>
          <w:b/>
          <w:bCs/>
          <w:color w:val="auto"/>
          <w:sz w:val="24"/>
        </w:rPr>
        <w:t>以上情形一经核查属实，我方愿意承担一切后果，并不再寻求任何旨在减轻或者免除法律责任的辩解。</w:t>
      </w:r>
    </w:p>
    <w:p w14:paraId="6409D895">
      <w:pPr>
        <w:spacing w:line="440" w:lineRule="exact"/>
        <w:contextualSpacing/>
        <w:rPr>
          <w:rFonts w:ascii="宋体" w:hAnsi="宋体" w:cs="宋体"/>
          <w:color w:val="auto"/>
          <w:sz w:val="24"/>
        </w:rPr>
      </w:pPr>
    </w:p>
    <w:p w14:paraId="5C230244">
      <w:pPr>
        <w:spacing w:line="440" w:lineRule="exact"/>
        <w:ind w:firstLine="3600" w:firstLineChars="1500"/>
        <w:contextualSpacing/>
        <w:rPr>
          <w:rFonts w:ascii="宋体" w:hAnsi="宋体" w:cs="宋体"/>
          <w:color w:val="auto"/>
          <w:sz w:val="24"/>
        </w:rPr>
      </w:pPr>
      <w:r>
        <w:rPr>
          <w:rFonts w:hint="eastAsia" w:ascii="宋体" w:hAnsi="宋体" w:cs="宋体"/>
          <w:color w:val="auto"/>
          <w:sz w:val="24"/>
        </w:rPr>
        <w:t>供应商（电子签章）：</w:t>
      </w:r>
    </w:p>
    <w:p w14:paraId="6B692875">
      <w:pPr>
        <w:spacing w:line="440" w:lineRule="exact"/>
        <w:ind w:firstLine="480" w:firstLineChars="200"/>
        <w:contextualSpacing/>
        <w:jc w:val="center"/>
        <w:rPr>
          <w:rFonts w:ascii="宋体" w:hAnsi="宋体" w:cs="宋体"/>
          <w:color w:val="auto"/>
          <w:sz w:val="24"/>
        </w:rPr>
      </w:pPr>
      <w:r>
        <w:rPr>
          <w:rFonts w:hint="eastAsia" w:ascii="宋体" w:hAnsi="宋体" w:cs="宋体"/>
          <w:color w:val="auto"/>
          <w:sz w:val="24"/>
        </w:rPr>
        <w:t xml:space="preserve">                               年   月   日</w:t>
      </w:r>
    </w:p>
    <w:p w14:paraId="6BFCEF44">
      <w:pPr>
        <w:jc w:val="left"/>
        <w:rPr>
          <w:rFonts w:ascii="宋体" w:hAnsi="宋体" w:cs="宋体"/>
          <w:color w:val="auto"/>
          <w:sz w:val="24"/>
        </w:rPr>
      </w:pPr>
      <w:r>
        <w:rPr>
          <w:rFonts w:hint="eastAsia" w:ascii="宋体" w:hAnsi="宋体" w:cs="宋体"/>
          <w:color w:val="auto"/>
          <w:sz w:val="24"/>
        </w:rPr>
        <w:br w:type="page"/>
      </w:r>
    </w:p>
    <w:p w14:paraId="03C4E0EE">
      <w:pPr>
        <w:widowControl/>
        <w:snapToGrid w:val="0"/>
        <w:spacing w:beforeLines="50" w:after="50" w:line="360" w:lineRule="auto"/>
        <w:jc w:val="center"/>
        <w:rPr>
          <w:rFonts w:ascii="宋体" w:hAnsi="宋体" w:cs="宋体"/>
          <w:b/>
          <w:color w:val="auto"/>
          <w:sz w:val="32"/>
          <w:szCs w:val="32"/>
        </w:rPr>
      </w:pPr>
      <w:r>
        <w:rPr>
          <w:rFonts w:hint="eastAsia" w:ascii="宋体" w:hAnsi="宋体" w:cs="宋体"/>
          <w:b/>
          <w:color w:val="auto"/>
          <w:sz w:val="32"/>
          <w:szCs w:val="32"/>
        </w:rPr>
        <w:t>施工单位廉洁承诺书</w:t>
      </w:r>
    </w:p>
    <w:p w14:paraId="6437359C">
      <w:pPr>
        <w:wordWrap w:val="0"/>
        <w:spacing w:line="400" w:lineRule="exact"/>
        <w:ind w:firstLine="480" w:firstLineChars="200"/>
        <w:rPr>
          <w:rFonts w:ascii="宋体" w:hAnsi="宋体" w:cs="宋体"/>
          <w:color w:val="auto"/>
          <w:sz w:val="24"/>
        </w:rPr>
      </w:pPr>
      <w:r>
        <w:rPr>
          <w:rFonts w:hint="eastAsia" w:ascii="宋体" w:hAnsi="宋体" w:cs="宋体"/>
          <w:color w:val="auto"/>
          <w:sz w:val="24"/>
        </w:rPr>
        <w:t>我公司作为</w:t>
      </w:r>
      <w:r>
        <w:rPr>
          <w:rFonts w:hint="eastAsia" w:ascii="宋体" w:hAnsi="宋体" w:cs="宋体"/>
          <w:b/>
          <w:bCs/>
          <w:color w:val="auto"/>
          <w:sz w:val="24"/>
          <w:u w:val="single"/>
        </w:rPr>
        <w:t>（项目名称）</w:t>
      </w:r>
      <w:r>
        <w:rPr>
          <w:rFonts w:hint="eastAsia" w:ascii="宋体" w:hAnsi="宋体" w:cs="宋体"/>
          <w:color w:val="auto"/>
          <w:sz w:val="24"/>
        </w:rPr>
        <w:t>竞标人，我公司承诺：</w:t>
      </w:r>
    </w:p>
    <w:p w14:paraId="24C7F7C8">
      <w:pPr>
        <w:wordWrap w:val="0"/>
        <w:spacing w:line="400" w:lineRule="exact"/>
        <w:ind w:firstLine="480" w:firstLineChars="200"/>
        <w:rPr>
          <w:rFonts w:ascii="宋体" w:hAnsi="宋体" w:cs="宋体"/>
          <w:color w:val="auto"/>
          <w:sz w:val="24"/>
        </w:rPr>
      </w:pPr>
      <w:r>
        <w:rPr>
          <w:rFonts w:hint="eastAsia" w:ascii="宋体" w:hAnsi="宋体" w:cs="宋体"/>
          <w:color w:val="auto"/>
          <w:sz w:val="24"/>
        </w:rPr>
        <w:t>1、严格遵守党和国家有关法律法规及廉政规定。</w:t>
      </w:r>
    </w:p>
    <w:p w14:paraId="189398AE">
      <w:pPr>
        <w:wordWrap w:val="0"/>
        <w:spacing w:line="400" w:lineRule="exact"/>
        <w:ind w:firstLine="480" w:firstLineChars="200"/>
        <w:rPr>
          <w:rFonts w:ascii="宋体" w:hAnsi="宋体" w:cs="宋体"/>
          <w:color w:val="auto"/>
          <w:sz w:val="24"/>
        </w:rPr>
      </w:pPr>
      <w:r>
        <w:rPr>
          <w:rFonts w:hint="eastAsia" w:ascii="宋体" w:hAnsi="宋体" w:cs="宋体"/>
          <w:color w:val="auto"/>
          <w:sz w:val="24"/>
        </w:rPr>
        <w:t>2、严格执行合同文件，自觉按合同办事。</w:t>
      </w:r>
    </w:p>
    <w:p w14:paraId="1D819BCA">
      <w:pPr>
        <w:wordWrap w:val="0"/>
        <w:spacing w:line="400" w:lineRule="exact"/>
        <w:ind w:firstLine="480" w:firstLineChars="200"/>
        <w:rPr>
          <w:rFonts w:ascii="宋体" w:hAnsi="宋体" w:cs="宋体"/>
          <w:color w:val="auto"/>
          <w:sz w:val="24"/>
        </w:rPr>
      </w:pPr>
      <w:r>
        <w:rPr>
          <w:rFonts w:hint="eastAsia" w:ascii="宋体" w:hAnsi="宋体" w:cs="宋体"/>
          <w:color w:val="auto"/>
          <w:sz w:val="24"/>
        </w:rPr>
        <w:t>3、业务活动坚持公开、公正、诚信、透明的原则(法.律认定的商业秘密和合同文件另有规定的除外)，不损害国家和集体的利益，不违反工程招磋商、建设管理的各种规章制度,在竞标过程中不互相串通、结盟，或以任何方式影响其它竞标人参与正当竞标。</w:t>
      </w:r>
    </w:p>
    <w:p w14:paraId="7A12FF2B">
      <w:pPr>
        <w:wordWrap w:val="0"/>
        <w:spacing w:line="400" w:lineRule="exact"/>
        <w:ind w:firstLine="480" w:firstLineChars="200"/>
        <w:rPr>
          <w:rFonts w:ascii="宋体" w:hAnsi="宋体" w:cs="宋体"/>
          <w:color w:val="auto"/>
          <w:sz w:val="24"/>
        </w:rPr>
      </w:pPr>
      <w:r>
        <w:rPr>
          <w:rFonts w:hint="eastAsia" w:ascii="宋体" w:hAnsi="宋体" w:cs="宋体"/>
          <w:color w:val="auto"/>
          <w:sz w:val="24"/>
        </w:rPr>
        <w:t>4、建立健全各项廉政制度，积极开展廉政教育，在建设工程施工场地设立廉政公示牌，公示内容包括廉政责任人、廉政保证有关条款及廉政标语(打造廉洁工程、确保工程质量；规范高效、清正廉洁;拒腐倡廉、诚信透明)、廉政监督单位、廉政举报电话等。</w:t>
      </w:r>
    </w:p>
    <w:p w14:paraId="02A1AAC1">
      <w:pPr>
        <w:wordWrap w:val="0"/>
        <w:spacing w:line="400" w:lineRule="exact"/>
        <w:ind w:firstLine="480" w:firstLineChars="200"/>
        <w:rPr>
          <w:rFonts w:ascii="宋体" w:hAnsi="宋体" w:cs="宋体"/>
          <w:color w:val="auto"/>
          <w:sz w:val="24"/>
        </w:rPr>
      </w:pPr>
      <w:r>
        <w:rPr>
          <w:rFonts w:hint="eastAsia" w:ascii="宋体" w:hAnsi="宋体" w:cs="宋体"/>
          <w:color w:val="auto"/>
          <w:sz w:val="24"/>
        </w:rPr>
        <w:t>5、不以任何名义向参与招标、评标工作的有关人员、建设单位及其工作人员馈赠礼金、有价证券、贵重物品。</w:t>
      </w:r>
    </w:p>
    <w:p w14:paraId="5994E1E9">
      <w:pPr>
        <w:wordWrap w:val="0"/>
        <w:spacing w:line="400" w:lineRule="exact"/>
        <w:ind w:firstLine="480" w:firstLineChars="200"/>
        <w:rPr>
          <w:rFonts w:ascii="宋体" w:hAnsi="宋体" w:cs="宋体"/>
          <w:color w:val="auto"/>
          <w:sz w:val="24"/>
        </w:rPr>
      </w:pPr>
      <w:r>
        <w:rPr>
          <w:rFonts w:hint="eastAsia" w:ascii="宋体" w:hAnsi="宋体" w:cs="宋体"/>
          <w:color w:val="auto"/>
          <w:sz w:val="24"/>
        </w:rPr>
        <w:t>6、不以任何名义为参与招标、评标工作的有关人员、建设单位及其工作人员报销应由参与招标、评招工作的有关人员、建设单位及其工作人员支付的任何费用。</w:t>
      </w:r>
    </w:p>
    <w:p w14:paraId="71147C9A">
      <w:pPr>
        <w:wordWrap w:val="0"/>
        <w:spacing w:line="400" w:lineRule="exact"/>
        <w:ind w:firstLine="480" w:firstLineChars="200"/>
        <w:rPr>
          <w:rFonts w:ascii="宋体" w:hAnsi="宋体" w:cs="宋体"/>
          <w:color w:val="auto"/>
          <w:sz w:val="24"/>
        </w:rPr>
      </w:pPr>
      <w:r>
        <w:rPr>
          <w:rFonts w:hint="eastAsia" w:ascii="宋体" w:hAnsi="宋体" w:cs="宋体"/>
          <w:color w:val="auto"/>
          <w:sz w:val="24"/>
        </w:rPr>
        <w:t>7、不以任何理由安排参与招标、评标工作的有关人员、建设单位及其工作人员参加高消费宴请及娱乐活动。</w:t>
      </w:r>
    </w:p>
    <w:p w14:paraId="397276F1">
      <w:pPr>
        <w:wordWrap w:val="0"/>
        <w:spacing w:line="400" w:lineRule="exact"/>
        <w:ind w:firstLine="480" w:firstLineChars="200"/>
        <w:rPr>
          <w:rFonts w:ascii="宋体" w:hAnsi="宋体" w:cs="宋体"/>
          <w:color w:val="auto"/>
          <w:sz w:val="24"/>
        </w:rPr>
      </w:pPr>
      <w:r>
        <w:rPr>
          <w:rFonts w:hint="eastAsia" w:ascii="宋体" w:hAnsi="宋体" w:cs="宋体"/>
          <w:color w:val="auto"/>
          <w:sz w:val="24"/>
        </w:rPr>
        <w:t>8、不为参与招标、评标工作的有关人员、建设单位及其工作人员购置或提供通讯工具、交通工具和高档办公用.品。</w:t>
      </w:r>
    </w:p>
    <w:p w14:paraId="7E5B6D27">
      <w:pPr>
        <w:wordWrap w:val="0"/>
        <w:spacing w:line="400" w:lineRule="exact"/>
        <w:ind w:firstLine="480" w:firstLineChars="200"/>
        <w:rPr>
          <w:rFonts w:ascii="宋体" w:hAnsi="宋体" w:cs="宋体"/>
          <w:color w:val="auto"/>
          <w:sz w:val="24"/>
        </w:rPr>
      </w:pPr>
      <w:r>
        <w:rPr>
          <w:rFonts w:hint="eastAsia" w:ascii="宋体" w:hAnsi="宋体" w:cs="宋体"/>
          <w:color w:val="auto"/>
          <w:sz w:val="24"/>
        </w:rPr>
        <w:t>9、不为建设单位工作人员住房装修、婚丧嫁娶活动、配偶子女的工作安排以及出国出境、旅游等提供方便。</w:t>
      </w:r>
    </w:p>
    <w:p w14:paraId="29B42614">
      <w:pPr>
        <w:wordWrap w:val="0"/>
        <w:spacing w:line="400" w:lineRule="exact"/>
        <w:ind w:firstLine="480" w:firstLineChars="200"/>
        <w:rPr>
          <w:rFonts w:ascii="宋体" w:hAnsi="宋体" w:cs="宋体"/>
          <w:color w:val="auto"/>
          <w:sz w:val="24"/>
        </w:rPr>
      </w:pPr>
      <w:r>
        <w:rPr>
          <w:rFonts w:hint="eastAsia" w:ascii="宋体" w:hAnsi="宋体" w:cs="宋体"/>
          <w:color w:val="auto"/>
          <w:sz w:val="24"/>
        </w:rPr>
        <w:t>10、不安排建设单位工作人员的配偶子女从事与工程有关的材料设备供应、工程分包、劳务等经济活动。</w:t>
      </w:r>
    </w:p>
    <w:p w14:paraId="01CF3EF9">
      <w:pPr>
        <w:wordWrap w:val="0"/>
        <w:spacing w:line="400" w:lineRule="exact"/>
        <w:ind w:firstLine="480" w:firstLineChars="200"/>
        <w:rPr>
          <w:rFonts w:ascii="宋体" w:hAnsi="宋体" w:cs="宋体"/>
          <w:color w:val="auto"/>
          <w:sz w:val="24"/>
        </w:rPr>
      </w:pPr>
      <w:r>
        <w:rPr>
          <w:rFonts w:hint="eastAsia" w:ascii="宋体" w:hAnsi="宋体" w:cs="宋体"/>
          <w:color w:val="auto"/>
          <w:sz w:val="24"/>
        </w:rPr>
        <w:t>11、其它需要保证的事项。</w:t>
      </w:r>
    </w:p>
    <w:p w14:paraId="320EC565">
      <w:pPr>
        <w:wordWrap w:val="0"/>
        <w:spacing w:line="400" w:lineRule="exact"/>
        <w:ind w:firstLine="480" w:firstLineChars="200"/>
        <w:rPr>
          <w:rFonts w:ascii="宋体" w:hAnsi="宋体" w:cs="宋体"/>
          <w:color w:val="auto"/>
          <w:sz w:val="24"/>
        </w:rPr>
      </w:pPr>
      <w:r>
        <w:rPr>
          <w:rFonts w:hint="eastAsia" w:ascii="宋体" w:hAnsi="宋体" w:cs="宋体"/>
          <w:color w:val="auto"/>
          <w:sz w:val="24"/>
        </w:rPr>
        <w:t>上述廉政保证期限为本廉洁保证书签订之日起至建设工程项目竣工验收后止。我单位愿就上述廉政保证接受项目招磋商监督小组的监督检查，如我单位及其工作人员违反本保证规定的，按管理权限，接受党、政纪处分或组织处理;给建设单位造成经济损失的，予以赔偿，并接受建设行政主管部门做出的一定期限内不得进入建设市场的处罚。</w:t>
      </w:r>
    </w:p>
    <w:p w14:paraId="15F7996B">
      <w:pPr>
        <w:wordWrap w:val="0"/>
        <w:spacing w:line="400" w:lineRule="exact"/>
        <w:rPr>
          <w:rFonts w:ascii="宋体" w:hAnsi="宋体" w:cs="宋体"/>
          <w:color w:val="auto"/>
          <w:sz w:val="24"/>
        </w:rPr>
      </w:pPr>
    </w:p>
    <w:p w14:paraId="6F80ABB9">
      <w:pPr>
        <w:spacing w:line="440" w:lineRule="exact"/>
        <w:ind w:right="-817" w:rightChars="-389" w:firstLine="2640" w:firstLineChars="1100"/>
        <w:contextualSpacing/>
        <w:rPr>
          <w:rFonts w:ascii="宋体" w:hAnsi="宋体" w:cs="宋体"/>
          <w:color w:val="auto"/>
          <w:sz w:val="24"/>
        </w:rPr>
      </w:pPr>
      <w:r>
        <w:rPr>
          <w:rFonts w:hint="eastAsia" w:ascii="宋体" w:hAnsi="宋体" w:cs="宋体"/>
          <w:color w:val="auto"/>
          <w:sz w:val="24"/>
        </w:rPr>
        <w:t xml:space="preserve">法定代表人（签字或者电子签名）：                    </w:t>
      </w:r>
    </w:p>
    <w:p w14:paraId="500EE5D1">
      <w:pPr>
        <w:spacing w:line="440" w:lineRule="exact"/>
        <w:ind w:right="-817" w:rightChars="-389" w:firstLine="2640" w:firstLineChars="1100"/>
        <w:contextualSpacing/>
        <w:rPr>
          <w:rFonts w:ascii="宋体" w:hAnsi="宋体" w:cs="宋体"/>
          <w:color w:val="auto"/>
          <w:sz w:val="24"/>
        </w:rPr>
      </w:pPr>
      <w:r>
        <w:rPr>
          <w:rFonts w:hint="eastAsia" w:ascii="宋体" w:hAnsi="宋体" w:cs="宋体"/>
          <w:color w:val="auto"/>
          <w:sz w:val="24"/>
        </w:rPr>
        <w:t xml:space="preserve">供应商（电子签章）：      </w:t>
      </w:r>
    </w:p>
    <w:p w14:paraId="51FF9471">
      <w:pPr>
        <w:spacing w:line="440" w:lineRule="exact"/>
        <w:ind w:right="-817" w:rightChars="-389" w:firstLine="2640" w:firstLineChars="1100"/>
        <w:contextualSpacing/>
        <w:rPr>
          <w:rFonts w:ascii="宋体" w:hAnsi="宋体" w:cs="宋体"/>
          <w:color w:val="auto"/>
          <w:sz w:val="24"/>
        </w:rPr>
      </w:pPr>
      <w:r>
        <w:rPr>
          <w:rFonts w:hint="eastAsia" w:ascii="宋体" w:hAnsi="宋体" w:cs="宋体"/>
          <w:color w:val="auto"/>
          <w:sz w:val="24"/>
        </w:rPr>
        <w:t>日期：   年   月   日</w:t>
      </w:r>
    </w:p>
    <w:p w14:paraId="5301DCDF">
      <w:pPr>
        <w:spacing w:line="440" w:lineRule="exact"/>
        <w:jc w:val="center"/>
        <w:rPr>
          <w:rFonts w:ascii="宋体" w:hAnsi="宋体" w:cs="宋体"/>
          <w:b/>
          <w:color w:val="auto"/>
          <w:sz w:val="32"/>
          <w:szCs w:val="32"/>
        </w:rPr>
      </w:pPr>
      <w:r>
        <w:rPr>
          <w:rFonts w:hint="eastAsia" w:ascii="宋体" w:hAnsi="宋体" w:cs="宋体"/>
          <w:bCs/>
          <w:color w:val="auto"/>
          <w:sz w:val="44"/>
          <w:szCs w:val="44"/>
        </w:rPr>
        <w:br w:type="page"/>
      </w:r>
      <w:r>
        <w:rPr>
          <w:rFonts w:hint="eastAsia" w:ascii="宋体" w:hAnsi="宋体" w:cs="宋体"/>
          <w:b/>
          <w:color w:val="auto"/>
          <w:sz w:val="32"/>
          <w:szCs w:val="32"/>
        </w:rPr>
        <w:t>法定代表人证明书</w:t>
      </w:r>
    </w:p>
    <w:p w14:paraId="272E99C9">
      <w:pPr>
        <w:spacing w:line="440" w:lineRule="exact"/>
        <w:ind w:left="540"/>
        <w:contextualSpacing/>
        <w:rPr>
          <w:rFonts w:ascii="宋体" w:hAnsi="宋体" w:cs="宋体"/>
          <w:color w:val="auto"/>
          <w:sz w:val="32"/>
          <w:szCs w:val="32"/>
        </w:rPr>
      </w:pPr>
    </w:p>
    <w:p w14:paraId="3E7915B5">
      <w:pPr>
        <w:spacing w:line="440" w:lineRule="exact"/>
        <w:ind w:left="540"/>
        <w:contextualSpacing/>
        <w:rPr>
          <w:rFonts w:ascii="宋体" w:hAnsi="宋体" w:cs="宋体"/>
          <w:color w:val="auto"/>
          <w:sz w:val="24"/>
        </w:rPr>
      </w:pPr>
      <w:r>
        <w:rPr>
          <w:rFonts w:hint="eastAsia" w:ascii="宋体" w:hAnsi="宋体" w:cs="宋体"/>
          <w:color w:val="auto"/>
          <w:sz w:val="24"/>
        </w:rPr>
        <w:t>供应商名称：</w:t>
      </w:r>
    </w:p>
    <w:p w14:paraId="38A540C0">
      <w:pPr>
        <w:spacing w:line="440" w:lineRule="exact"/>
        <w:ind w:left="540"/>
        <w:contextualSpacing/>
        <w:rPr>
          <w:rFonts w:ascii="宋体" w:hAnsi="宋体" w:cs="宋体"/>
          <w:color w:val="auto"/>
          <w:sz w:val="24"/>
        </w:rPr>
      </w:pPr>
      <w:r>
        <w:rPr>
          <w:rFonts w:hint="eastAsia" w:ascii="宋体" w:hAnsi="宋体" w:cs="宋体"/>
          <w:color w:val="auto"/>
          <w:sz w:val="24"/>
        </w:rPr>
        <w:t>地    址：</w:t>
      </w:r>
    </w:p>
    <w:p w14:paraId="518ED2FA">
      <w:pPr>
        <w:spacing w:line="440" w:lineRule="exact"/>
        <w:ind w:left="540"/>
        <w:contextualSpacing/>
        <w:rPr>
          <w:rFonts w:ascii="宋体" w:hAnsi="宋体" w:cs="宋体"/>
          <w:color w:val="auto"/>
          <w:sz w:val="24"/>
        </w:rPr>
      </w:pPr>
      <w:r>
        <w:rPr>
          <w:rFonts w:hint="eastAsia" w:ascii="宋体" w:hAnsi="宋体" w:cs="宋体"/>
          <w:color w:val="auto"/>
          <w:sz w:val="24"/>
        </w:rPr>
        <w:t>姓    名：</w:t>
      </w:r>
      <w:r>
        <w:rPr>
          <w:rFonts w:hint="eastAsia" w:ascii="宋体" w:hAnsi="宋体" w:cs="宋体"/>
          <w:color w:val="auto"/>
          <w:sz w:val="24"/>
          <w:lang w:val="en-US" w:eastAsia="zh-CN"/>
        </w:rPr>
        <w:t xml:space="preserve">     </w:t>
      </w:r>
      <w:r>
        <w:rPr>
          <w:rFonts w:hint="eastAsia" w:ascii="宋体" w:hAnsi="宋体" w:cs="宋体"/>
          <w:color w:val="auto"/>
          <w:sz w:val="24"/>
        </w:rPr>
        <w:t>性     别：</w:t>
      </w:r>
    </w:p>
    <w:p w14:paraId="3A101336">
      <w:pPr>
        <w:spacing w:line="440" w:lineRule="exact"/>
        <w:ind w:left="540"/>
        <w:contextualSpacing/>
        <w:rPr>
          <w:rFonts w:ascii="宋体" w:hAnsi="宋体" w:cs="宋体"/>
          <w:color w:val="auto"/>
          <w:sz w:val="24"/>
          <w:u w:val="single"/>
        </w:rPr>
      </w:pPr>
      <w:r>
        <w:rPr>
          <w:rFonts w:hint="eastAsia" w:ascii="宋体" w:hAnsi="宋体" w:cs="宋体"/>
          <w:color w:val="auto"/>
          <w:sz w:val="24"/>
        </w:rPr>
        <w:t>年    龄：</w:t>
      </w:r>
      <w:r>
        <w:rPr>
          <w:rFonts w:hint="eastAsia" w:ascii="宋体" w:hAnsi="宋体" w:cs="宋体"/>
          <w:color w:val="auto"/>
          <w:sz w:val="24"/>
          <w:lang w:val="en-US" w:eastAsia="zh-CN"/>
        </w:rPr>
        <w:t xml:space="preserve">     </w:t>
      </w:r>
      <w:r>
        <w:rPr>
          <w:rFonts w:hint="eastAsia" w:ascii="宋体" w:hAnsi="宋体" w:cs="宋体"/>
          <w:color w:val="auto"/>
          <w:sz w:val="24"/>
        </w:rPr>
        <w:t>职     务：</w:t>
      </w:r>
    </w:p>
    <w:p w14:paraId="554029FB">
      <w:pPr>
        <w:spacing w:line="440" w:lineRule="exact"/>
        <w:ind w:left="540"/>
        <w:contextualSpacing/>
        <w:rPr>
          <w:rFonts w:ascii="宋体" w:hAnsi="宋体" w:cs="宋体"/>
          <w:color w:val="auto"/>
          <w:sz w:val="24"/>
        </w:rPr>
      </w:pPr>
      <w:r>
        <w:rPr>
          <w:rFonts w:hint="eastAsia" w:ascii="宋体" w:hAnsi="宋体" w:cs="宋体"/>
          <w:color w:val="auto"/>
          <w:sz w:val="24"/>
        </w:rPr>
        <w:t>身份证号码：</w:t>
      </w:r>
    </w:p>
    <w:p w14:paraId="38A3886B">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（供应商名称）</w:t>
      </w:r>
      <w:r>
        <w:rPr>
          <w:rFonts w:hint="eastAsia" w:ascii="宋体" w:hAnsi="宋体" w:cs="宋体"/>
          <w:color w:val="auto"/>
          <w:sz w:val="24"/>
        </w:rPr>
        <w:t>的法定代表人。</w:t>
      </w:r>
    </w:p>
    <w:p w14:paraId="3712BC64">
      <w:pPr>
        <w:spacing w:line="440" w:lineRule="exact"/>
        <w:ind w:left="540"/>
        <w:contextualSpacing/>
        <w:rPr>
          <w:rFonts w:ascii="宋体" w:hAnsi="宋体" w:cs="宋体"/>
          <w:color w:val="auto"/>
          <w:sz w:val="24"/>
        </w:rPr>
      </w:pPr>
      <w:r>
        <w:rPr>
          <w:rFonts w:hint="eastAsia" w:ascii="宋体" w:hAnsi="宋体" w:cs="宋体"/>
          <w:color w:val="auto"/>
          <w:sz w:val="24"/>
        </w:rPr>
        <w:t>特此证明。</w:t>
      </w:r>
    </w:p>
    <w:p w14:paraId="7D92C5BA">
      <w:pPr>
        <w:spacing w:line="440" w:lineRule="exact"/>
        <w:ind w:left="540"/>
        <w:contextualSpacing/>
        <w:rPr>
          <w:rFonts w:ascii="宋体" w:hAnsi="宋体" w:cs="宋体"/>
          <w:color w:val="auto"/>
          <w:sz w:val="24"/>
        </w:rPr>
      </w:pPr>
    </w:p>
    <w:p w14:paraId="09226536">
      <w:pPr>
        <w:spacing w:line="440" w:lineRule="exact"/>
        <w:ind w:left="540"/>
        <w:contextualSpacing/>
        <w:rPr>
          <w:rFonts w:ascii="宋体" w:hAnsi="宋体" w:cs="宋体"/>
          <w:color w:val="auto"/>
          <w:sz w:val="24"/>
        </w:rPr>
      </w:pPr>
      <w:r>
        <w:rPr>
          <w:rFonts w:hint="eastAsia" w:ascii="宋体" w:hAnsi="宋体" w:cs="宋体"/>
          <w:color w:val="auto"/>
          <w:sz w:val="24"/>
        </w:rPr>
        <w:t>附件：法定代表人有效身份证正反面扫描件</w:t>
      </w:r>
    </w:p>
    <w:p w14:paraId="105E92DF">
      <w:pPr>
        <w:spacing w:line="440" w:lineRule="exact"/>
        <w:ind w:left="540"/>
        <w:contextualSpacing/>
        <w:rPr>
          <w:rFonts w:ascii="宋体" w:hAnsi="宋体" w:cs="宋体"/>
          <w:color w:val="auto"/>
          <w:sz w:val="24"/>
        </w:rPr>
      </w:pPr>
    </w:p>
    <w:p w14:paraId="5DA3961A">
      <w:pPr>
        <w:spacing w:line="440" w:lineRule="exact"/>
        <w:ind w:left="540" w:firstLine="3000" w:firstLineChars="1250"/>
        <w:contextualSpacing/>
        <w:jc w:val="left"/>
        <w:rPr>
          <w:rFonts w:ascii="宋体" w:hAnsi="宋体" w:cs="宋体"/>
          <w:color w:val="auto"/>
          <w:sz w:val="24"/>
        </w:rPr>
      </w:pPr>
      <w:r>
        <w:rPr>
          <w:rFonts w:hint="eastAsia" w:ascii="宋体" w:hAnsi="宋体" w:cs="宋体"/>
          <w:color w:val="auto"/>
          <w:sz w:val="24"/>
        </w:rPr>
        <w:t>供应商（电子签章）：</w:t>
      </w:r>
    </w:p>
    <w:p w14:paraId="18D8CEA6">
      <w:pPr>
        <w:spacing w:line="440" w:lineRule="exact"/>
        <w:ind w:firstLine="4080" w:firstLineChars="1700"/>
        <w:contextualSpacing/>
        <w:rPr>
          <w:rFonts w:ascii="宋体" w:hAnsi="宋体" w:cs="宋体"/>
          <w:color w:val="auto"/>
          <w:sz w:val="24"/>
        </w:rPr>
      </w:pPr>
      <w:r>
        <w:rPr>
          <w:rFonts w:hint="eastAsia" w:ascii="宋体" w:hAnsi="宋体" w:cs="宋体"/>
          <w:color w:val="auto"/>
          <w:sz w:val="24"/>
        </w:rPr>
        <w:t xml:space="preserve">    年  月  日</w:t>
      </w:r>
    </w:p>
    <w:p w14:paraId="20D6550F">
      <w:pPr>
        <w:spacing w:line="440" w:lineRule="exact"/>
        <w:contextualSpacing/>
        <w:jc w:val="center"/>
        <w:rPr>
          <w:rFonts w:ascii="宋体" w:hAnsi="宋体" w:cs="宋体"/>
          <w:b/>
          <w:color w:val="auto"/>
          <w:sz w:val="24"/>
        </w:rPr>
      </w:pPr>
    </w:p>
    <w:p w14:paraId="7E0D8D45">
      <w:pPr>
        <w:spacing w:line="440" w:lineRule="exact"/>
        <w:contextualSpacing/>
        <w:jc w:val="left"/>
        <w:rPr>
          <w:rFonts w:ascii="宋体" w:hAnsi="宋体" w:cs="宋体"/>
          <w:color w:val="auto"/>
          <w:sz w:val="24"/>
        </w:rPr>
      </w:pPr>
    </w:p>
    <w:p w14:paraId="09C657C4">
      <w:pPr>
        <w:spacing w:line="440" w:lineRule="exact"/>
        <w:ind w:firstLine="480" w:firstLineChars="200"/>
        <w:contextualSpacing/>
        <w:jc w:val="left"/>
        <w:rPr>
          <w:rFonts w:ascii="宋体" w:hAnsi="宋体" w:cs="宋体"/>
          <w:color w:val="auto"/>
          <w:sz w:val="24"/>
        </w:rPr>
      </w:pPr>
      <w:r>
        <w:rPr>
          <w:rFonts w:hint="eastAsia" w:ascii="宋体" w:hAnsi="宋体" w:cs="宋体"/>
          <w:color w:val="auto"/>
          <w:sz w:val="24"/>
        </w:rPr>
        <w:t>注：联合体竞标的只需牵头人出具。</w:t>
      </w:r>
    </w:p>
    <w:p w14:paraId="50B246E0">
      <w:pPr>
        <w:adjustRightInd w:val="0"/>
        <w:snapToGrid w:val="0"/>
        <w:spacing w:line="440" w:lineRule="exact"/>
        <w:jc w:val="left"/>
        <w:rPr>
          <w:rFonts w:ascii="宋体" w:hAnsi="宋体" w:cs="宋体"/>
          <w:b/>
          <w:color w:val="auto"/>
          <w:szCs w:val="21"/>
        </w:rPr>
      </w:pPr>
    </w:p>
    <w:p w14:paraId="3F5598C3">
      <w:pPr>
        <w:spacing w:line="440" w:lineRule="exact"/>
        <w:jc w:val="center"/>
        <w:rPr>
          <w:rFonts w:ascii="宋体" w:hAnsi="宋体" w:cs="宋体"/>
          <w:color w:val="auto"/>
          <w:sz w:val="44"/>
          <w:szCs w:val="44"/>
        </w:rPr>
      </w:pPr>
      <w:r>
        <w:rPr>
          <w:rFonts w:hint="eastAsia" w:ascii="宋体" w:hAnsi="宋体" w:cs="宋体"/>
          <w:color w:val="auto"/>
          <w:sz w:val="44"/>
          <w:szCs w:val="44"/>
        </w:rPr>
        <w:br w:type="page"/>
      </w:r>
    </w:p>
    <w:p w14:paraId="204EC2AF">
      <w:pPr>
        <w:spacing w:line="440" w:lineRule="exact"/>
        <w:jc w:val="center"/>
        <w:rPr>
          <w:rFonts w:ascii="宋体" w:hAnsi="宋体" w:cs="宋体"/>
          <w:b/>
          <w:bCs/>
          <w:color w:val="auto"/>
          <w:sz w:val="32"/>
          <w:szCs w:val="32"/>
        </w:rPr>
      </w:pPr>
      <w:bookmarkStart w:id="104" w:name="_Hlk65853643"/>
      <w:r>
        <w:rPr>
          <w:rFonts w:hint="eastAsia" w:ascii="宋体" w:hAnsi="宋体" w:cs="宋体"/>
          <w:b/>
          <w:bCs/>
          <w:color w:val="auto"/>
          <w:sz w:val="32"/>
          <w:szCs w:val="32"/>
        </w:rPr>
        <w:t>授权委托书</w:t>
      </w:r>
    </w:p>
    <w:p w14:paraId="38346DDD">
      <w:pPr>
        <w:spacing w:line="440" w:lineRule="exact"/>
        <w:jc w:val="center"/>
        <w:rPr>
          <w:rFonts w:ascii="宋体" w:hAnsi="宋体" w:cs="宋体"/>
          <w:color w:val="auto"/>
          <w:sz w:val="32"/>
          <w:szCs w:val="32"/>
        </w:rPr>
      </w:pPr>
      <w:r>
        <w:rPr>
          <w:rFonts w:hint="eastAsia" w:ascii="宋体" w:hAnsi="宋体" w:cs="宋体"/>
          <w:color w:val="auto"/>
          <w:sz w:val="32"/>
          <w:szCs w:val="32"/>
        </w:rPr>
        <w:t>（非联合体竞标格式）</w:t>
      </w:r>
    </w:p>
    <w:p w14:paraId="3868FC8D">
      <w:pPr>
        <w:spacing w:line="440" w:lineRule="exact"/>
        <w:jc w:val="center"/>
        <w:rPr>
          <w:rFonts w:ascii="宋体" w:hAnsi="宋体" w:cs="宋体"/>
          <w:color w:val="auto"/>
          <w:sz w:val="44"/>
          <w:szCs w:val="44"/>
        </w:rPr>
      </w:pPr>
      <w:r>
        <w:rPr>
          <w:rFonts w:hint="eastAsia" w:ascii="宋体" w:hAnsi="宋体" w:cs="宋体"/>
          <w:color w:val="auto"/>
          <w:sz w:val="32"/>
          <w:szCs w:val="32"/>
        </w:rPr>
        <w:t>（如有委托时）</w:t>
      </w:r>
    </w:p>
    <w:p w14:paraId="1C1AC740">
      <w:pPr>
        <w:spacing w:line="440" w:lineRule="exact"/>
        <w:rPr>
          <w:rFonts w:ascii="宋体" w:hAnsi="宋体" w:cs="宋体"/>
          <w:color w:val="auto"/>
          <w:sz w:val="32"/>
          <w:szCs w:val="32"/>
        </w:rPr>
      </w:pPr>
    </w:p>
    <w:p w14:paraId="46346A31">
      <w:pPr>
        <w:spacing w:line="440" w:lineRule="exac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14:paraId="6B3F7EE3">
      <w:pPr>
        <w:spacing w:line="440" w:lineRule="exact"/>
        <w:ind w:firstLine="480" w:firstLineChars="200"/>
        <w:rPr>
          <w:rFonts w:ascii="宋体" w:hAnsi="宋体" w:cs="宋体"/>
          <w:color w:val="auto"/>
          <w:sz w:val="24"/>
        </w:rPr>
      </w:pPr>
      <w:r>
        <w:rPr>
          <w:rFonts w:hint="eastAsia" w:ascii="宋体" w:hAnsi="宋体" w:cs="宋体"/>
          <w:color w:val="auto"/>
          <w:sz w:val="24"/>
        </w:rPr>
        <w:t>我</w:t>
      </w:r>
      <w:r>
        <w:rPr>
          <w:rFonts w:hint="eastAsia" w:ascii="宋体" w:hAnsi="宋体" w:cs="宋体"/>
          <w:color w:val="auto"/>
          <w:sz w:val="24"/>
          <w:u w:val="single"/>
        </w:rPr>
        <w:t xml:space="preserve">  （姓名）  </w:t>
      </w:r>
      <w:r>
        <w:rPr>
          <w:rFonts w:hint="eastAsia" w:ascii="宋体" w:hAnsi="宋体" w:cs="宋体"/>
          <w:color w:val="auto"/>
          <w:sz w:val="24"/>
        </w:rPr>
        <w:t>系</w:t>
      </w:r>
      <w:r>
        <w:rPr>
          <w:rFonts w:hint="eastAsia" w:ascii="宋体" w:hAnsi="宋体" w:cs="宋体"/>
          <w:color w:val="auto"/>
          <w:sz w:val="24"/>
          <w:u w:val="single"/>
        </w:rPr>
        <w:t xml:space="preserve">  （供应商名称）  </w:t>
      </w:r>
      <w:r>
        <w:rPr>
          <w:rFonts w:hint="eastAsia" w:ascii="宋体" w:hAnsi="宋体" w:cs="宋体"/>
          <w:color w:val="auto"/>
          <w:sz w:val="24"/>
        </w:rPr>
        <w:t>的（</w:t>
      </w:r>
      <w:r>
        <w:rPr>
          <w:rFonts w:hint="eastAsia" w:ascii="宋体" w:hAnsi="宋体" w:cs="宋体"/>
          <w:color w:val="auto"/>
          <w:sz w:val="24"/>
          <w:u w:val="single"/>
        </w:rPr>
        <w:t>□法定代表人/□负责人</w:t>
      </w:r>
      <w:r>
        <w:rPr>
          <w:rFonts w:hint="eastAsia" w:ascii="宋体" w:hAnsi="宋体" w:cs="宋体"/>
          <w:color w:val="auto"/>
          <w:sz w:val="24"/>
        </w:rPr>
        <w:t>），现授权</w:t>
      </w:r>
      <w:r>
        <w:rPr>
          <w:rFonts w:hint="eastAsia" w:ascii="宋体" w:hAnsi="宋体" w:cs="宋体"/>
          <w:color w:val="auto"/>
          <w:sz w:val="24"/>
          <w:u w:val="single"/>
        </w:rPr>
        <w:t xml:space="preserve"> （姓名） </w:t>
      </w:r>
      <w:r>
        <w:rPr>
          <w:rFonts w:hint="eastAsia" w:ascii="宋体" w:hAnsi="宋体" w:cs="宋体"/>
          <w:color w:val="auto"/>
          <w:sz w:val="24"/>
        </w:rPr>
        <w:t>以我方的名义参加项目的竞标活动，并代表我方全权办理针对上述项目的所有采购程序和环节的具体事务和签署相关文件。</w:t>
      </w:r>
    </w:p>
    <w:p w14:paraId="77FF88E4">
      <w:pPr>
        <w:spacing w:line="440" w:lineRule="exact"/>
        <w:rPr>
          <w:rFonts w:ascii="宋体" w:hAnsi="宋体" w:cs="宋体"/>
          <w:color w:val="auto"/>
          <w:sz w:val="24"/>
        </w:rPr>
      </w:pPr>
      <w:r>
        <w:rPr>
          <w:rFonts w:hint="eastAsia" w:ascii="宋体" w:hAnsi="宋体" w:cs="宋体"/>
          <w:color w:val="auto"/>
          <w:sz w:val="24"/>
        </w:rPr>
        <w:t xml:space="preserve">    我方对委托代理人的签字或者电子签名事项负全部责任。</w:t>
      </w:r>
    </w:p>
    <w:p w14:paraId="6FFEE914">
      <w:pPr>
        <w:spacing w:line="440" w:lineRule="exact"/>
        <w:ind w:firstLine="480" w:firstLineChars="200"/>
        <w:rPr>
          <w:rFonts w:ascii="宋体" w:hAnsi="宋体" w:cs="宋体"/>
          <w:color w:val="auto"/>
          <w:sz w:val="24"/>
        </w:rPr>
      </w:pPr>
      <w:r>
        <w:rPr>
          <w:rFonts w:hint="eastAsia" w:ascii="宋体" w:hAnsi="宋体" w:cs="宋体"/>
          <w:color w:val="auto"/>
          <w:sz w:val="24"/>
        </w:rPr>
        <w:t>本授权书自签署之日起生效，在撤销授权的书面通知以前，本授权书一直有效。委托代理人在授权书有效期内签署的所有文件不因授权的撤销而失效。</w:t>
      </w:r>
    </w:p>
    <w:p w14:paraId="34550F6D">
      <w:pPr>
        <w:spacing w:line="440" w:lineRule="exact"/>
        <w:ind w:firstLine="480" w:firstLineChars="200"/>
        <w:rPr>
          <w:rFonts w:ascii="宋体" w:hAnsi="宋体" w:cs="宋体"/>
          <w:color w:val="auto"/>
          <w:sz w:val="24"/>
        </w:rPr>
      </w:pPr>
      <w:r>
        <w:rPr>
          <w:rFonts w:hint="eastAsia" w:ascii="宋体" w:hAnsi="宋体" w:cs="宋体"/>
          <w:color w:val="auto"/>
          <w:sz w:val="24"/>
        </w:rPr>
        <w:t>委托代理人无转委托权，特此委托。</w:t>
      </w:r>
    </w:p>
    <w:p w14:paraId="5DB2FD8C">
      <w:pPr>
        <w:spacing w:line="440" w:lineRule="exact"/>
        <w:ind w:firstLine="480" w:firstLineChars="200"/>
        <w:rPr>
          <w:rFonts w:ascii="宋体" w:hAnsi="宋体" w:cs="宋体"/>
          <w:color w:val="auto"/>
          <w:sz w:val="24"/>
        </w:rPr>
      </w:pPr>
      <w:r>
        <w:rPr>
          <w:rFonts w:hint="eastAsia" w:ascii="宋体" w:hAnsi="宋体" w:cs="宋体"/>
          <w:color w:val="auto"/>
          <w:sz w:val="24"/>
        </w:rPr>
        <w:t>附：法定代表人身份证明书及委托代理人有效身份证正反面扫描件</w:t>
      </w:r>
    </w:p>
    <w:p w14:paraId="0D32922F">
      <w:pPr>
        <w:spacing w:line="440" w:lineRule="exact"/>
        <w:rPr>
          <w:rFonts w:ascii="宋体" w:hAnsi="宋体" w:cs="宋体"/>
          <w:color w:val="auto"/>
          <w:sz w:val="24"/>
        </w:rPr>
      </w:pPr>
    </w:p>
    <w:p w14:paraId="3F764DB2">
      <w:pPr>
        <w:spacing w:line="440" w:lineRule="exact"/>
        <w:contextualSpacing/>
        <w:rPr>
          <w:rFonts w:ascii="宋体" w:hAnsi="宋体" w:cs="宋体"/>
          <w:color w:val="auto"/>
          <w:sz w:val="24"/>
        </w:rPr>
      </w:pPr>
      <w:r>
        <w:rPr>
          <w:rFonts w:hint="eastAsia" w:ascii="宋体" w:hAnsi="宋体" w:cs="宋体"/>
          <w:color w:val="auto"/>
          <w:sz w:val="24"/>
        </w:rPr>
        <w:t xml:space="preserve">委托代理人（签字或者电子签名）：     法定代表人（签字或者盖章或者电子签名）：                    </w:t>
      </w:r>
    </w:p>
    <w:p w14:paraId="26279349">
      <w:pPr>
        <w:spacing w:line="440" w:lineRule="exact"/>
        <w:contextualSpacing/>
        <w:rPr>
          <w:rFonts w:ascii="宋体" w:hAnsi="宋体" w:cs="宋体"/>
          <w:color w:val="auto"/>
          <w:sz w:val="24"/>
        </w:rPr>
      </w:pPr>
      <w:r>
        <w:rPr>
          <w:rFonts w:hint="eastAsia" w:ascii="宋体" w:hAnsi="宋体" w:cs="宋体"/>
          <w:color w:val="auto"/>
          <w:sz w:val="24"/>
        </w:rPr>
        <w:t xml:space="preserve">委托代理人身份证号码：                              </w:t>
      </w:r>
    </w:p>
    <w:p w14:paraId="5D5074FB">
      <w:pPr>
        <w:spacing w:line="440" w:lineRule="exact"/>
        <w:contextualSpacing/>
        <w:rPr>
          <w:rFonts w:ascii="宋体" w:hAnsi="宋体" w:cs="宋体"/>
          <w:color w:val="auto"/>
          <w:sz w:val="24"/>
        </w:rPr>
      </w:pPr>
    </w:p>
    <w:p w14:paraId="17F54C7A">
      <w:pPr>
        <w:spacing w:line="440" w:lineRule="exact"/>
        <w:rPr>
          <w:rFonts w:ascii="宋体" w:hAnsi="宋体" w:cs="宋体"/>
          <w:color w:val="auto"/>
          <w:sz w:val="24"/>
        </w:rPr>
      </w:pPr>
      <w:r>
        <w:rPr>
          <w:rFonts w:hint="eastAsia" w:ascii="宋体" w:hAnsi="宋体" w:cs="宋体"/>
          <w:color w:val="auto"/>
          <w:sz w:val="24"/>
        </w:rPr>
        <w:t xml:space="preserve">                         供应商（电子签章）：                      </w:t>
      </w:r>
    </w:p>
    <w:p w14:paraId="765F91EB">
      <w:pPr>
        <w:spacing w:line="440" w:lineRule="exact"/>
        <w:rPr>
          <w:rFonts w:ascii="宋体" w:hAnsi="宋体" w:cs="宋体"/>
          <w:color w:val="auto"/>
          <w:sz w:val="24"/>
        </w:rPr>
      </w:pPr>
      <w:r>
        <w:rPr>
          <w:rFonts w:hint="eastAsia" w:ascii="宋体" w:hAnsi="宋体" w:cs="宋体"/>
          <w:color w:val="auto"/>
          <w:sz w:val="24"/>
        </w:rPr>
        <w:t xml:space="preserve">                                         年    月    日</w:t>
      </w:r>
    </w:p>
    <w:p w14:paraId="0C8FA6BB">
      <w:pPr>
        <w:spacing w:line="440" w:lineRule="exact"/>
        <w:rPr>
          <w:rFonts w:ascii="宋体" w:hAnsi="宋体" w:cs="宋体"/>
          <w:color w:val="auto"/>
          <w:sz w:val="24"/>
        </w:rPr>
      </w:pPr>
    </w:p>
    <w:p w14:paraId="344DFF54">
      <w:pPr>
        <w:spacing w:line="440" w:lineRule="exact"/>
        <w:rPr>
          <w:rFonts w:ascii="宋体" w:hAnsi="宋体" w:cs="宋体"/>
          <w:color w:val="auto"/>
          <w:sz w:val="24"/>
        </w:rPr>
      </w:pPr>
      <w:r>
        <w:rPr>
          <w:rFonts w:hint="eastAsia" w:ascii="宋体" w:hAnsi="宋体" w:cs="宋体"/>
          <w:color w:val="auto"/>
          <w:sz w:val="24"/>
        </w:rPr>
        <w:t>注：法定代表人必须在授权委托书上签字或者盖章或者电子签名，委托代理人必须在授权委托书上签字或者电子签名，</w:t>
      </w:r>
      <w:r>
        <w:rPr>
          <w:rFonts w:hint="eastAsia" w:ascii="宋体" w:hAnsi="宋体" w:cs="宋体"/>
          <w:b/>
          <w:color w:val="auto"/>
          <w:sz w:val="24"/>
        </w:rPr>
        <w:t>否则其响应文件按无效处理。</w:t>
      </w:r>
    </w:p>
    <w:p w14:paraId="31A91A49">
      <w:pPr>
        <w:spacing w:line="440" w:lineRule="exact"/>
        <w:ind w:firstLine="420" w:firstLineChars="200"/>
        <w:jc w:val="left"/>
        <w:rPr>
          <w:rFonts w:ascii="宋体" w:hAnsi="宋体" w:cs="宋体"/>
          <w:color w:val="auto"/>
          <w:szCs w:val="21"/>
        </w:rPr>
      </w:pPr>
    </w:p>
    <w:p w14:paraId="78B0C226">
      <w:pPr>
        <w:spacing w:line="440" w:lineRule="exact"/>
        <w:jc w:val="center"/>
        <w:rPr>
          <w:rFonts w:ascii="宋体" w:hAnsi="宋体" w:cs="宋体"/>
          <w:b/>
          <w:bCs/>
          <w:color w:val="auto"/>
          <w:sz w:val="32"/>
          <w:szCs w:val="32"/>
        </w:rPr>
      </w:pPr>
      <w:r>
        <w:rPr>
          <w:rFonts w:hint="eastAsia" w:ascii="宋体" w:hAnsi="宋体" w:cs="宋体"/>
          <w:color w:val="auto"/>
          <w:szCs w:val="21"/>
        </w:rPr>
        <w:br w:type="page"/>
      </w:r>
      <w:r>
        <w:rPr>
          <w:rFonts w:hint="eastAsia" w:ascii="宋体" w:hAnsi="宋体" w:cs="宋体"/>
          <w:b/>
          <w:bCs/>
          <w:color w:val="auto"/>
          <w:sz w:val="32"/>
          <w:szCs w:val="32"/>
        </w:rPr>
        <w:t>授权委托书</w:t>
      </w:r>
    </w:p>
    <w:p w14:paraId="16EAC246">
      <w:pPr>
        <w:spacing w:line="440" w:lineRule="exact"/>
        <w:jc w:val="center"/>
        <w:rPr>
          <w:rFonts w:ascii="宋体" w:hAnsi="宋体" w:cs="宋体"/>
          <w:color w:val="auto"/>
          <w:sz w:val="32"/>
          <w:szCs w:val="32"/>
        </w:rPr>
      </w:pPr>
      <w:r>
        <w:rPr>
          <w:rFonts w:hint="eastAsia" w:ascii="宋体" w:hAnsi="宋体" w:cs="宋体"/>
          <w:color w:val="auto"/>
          <w:sz w:val="32"/>
          <w:szCs w:val="32"/>
        </w:rPr>
        <w:t>（联合体竞标格式）</w:t>
      </w:r>
    </w:p>
    <w:p w14:paraId="4F278EFE">
      <w:pPr>
        <w:spacing w:line="440" w:lineRule="exact"/>
        <w:jc w:val="center"/>
        <w:rPr>
          <w:rFonts w:ascii="宋体" w:hAnsi="宋体" w:cs="宋体"/>
          <w:color w:val="auto"/>
          <w:sz w:val="44"/>
          <w:szCs w:val="44"/>
        </w:rPr>
      </w:pPr>
      <w:r>
        <w:rPr>
          <w:rFonts w:hint="eastAsia" w:ascii="宋体" w:hAnsi="宋体" w:cs="宋体"/>
          <w:color w:val="auto"/>
          <w:sz w:val="32"/>
          <w:szCs w:val="32"/>
        </w:rPr>
        <w:t>（如有委托时）</w:t>
      </w:r>
    </w:p>
    <w:p w14:paraId="37C39C08">
      <w:pPr>
        <w:spacing w:line="440" w:lineRule="exact"/>
        <w:jc w:val="center"/>
        <w:rPr>
          <w:rFonts w:ascii="宋体" w:hAnsi="宋体" w:cs="宋体"/>
          <w:color w:val="auto"/>
          <w:sz w:val="32"/>
          <w:szCs w:val="32"/>
        </w:rPr>
      </w:pPr>
    </w:p>
    <w:p w14:paraId="4849C689">
      <w:pPr>
        <w:spacing w:line="440" w:lineRule="exact"/>
        <w:ind w:firstLine="480" w:firstLineChars="200"/>
        <w:jc w:val="left"/>
        <w:rPr>
          <w:rFonts w:ascii="宋体" w:hAnsi="宋体" w:cs="宋体"/>
          <w:color w:val="auto"/>
          <w:sz w:val="24"/>
        </w:rPr>
      </w:pPr>
      <w:r>
        <w:rPr>
          <w:rFonts w:hint="eastAsia" w:ascii="宋体" w:hAnsi="宋体" w:cs="宋体"/>
          <w:color w:val="auto"/>
          <w:sz w:val="24"/>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6A54E863">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我方对委托代理人的签字或者电子签名事项负全部责任。</w:t>
      </w:r>
    </w:p>
    <w:p w14:paraId="79B159CC">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本授权书自签署之日起生效，在撤销授权的书面通知以前，本授权书一直有效。委托代理人在授权书有效期内签署的所有文件不因授权的撤销而失效。</w:t>
      </w:r>
    </w:p>
    <w:p w14:paraId="1A897D59">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委托代理人无转委托权，特此委托。</w:t>
      </w:r>
    </w:p>
    <w:p w14:paraId="28A6A1F8">
      <w:pPr>
        <w:spacing w:line="440" w:lineRule="exact"/>
        <w:contextualSpacing/>
        <w:rPr>
          <w:rFonts w:ascii="宋体" w:hAnsi="宋体" w:cs="宋体"/>
          <w:color w:val="auto"/>
          <w:sz w:val="24"/>
        </w:rPr>
      </w:pPr>
      <w:r>
        <w:rPr>
          <w:rFonts w:hint="eastAsia" w:ascii="宋体" w:hAnsi="宋体" w:cs="宋体"/>
          <w:color w:val="auto"/>
          <w:sz w:val="24"/>
        </w:rPr>
        <w:t xml:space="preserve">    附：法定代表人身份证明书及委托代理人有效身份证正反面扫描件</w:t>
      </w:r>
    </w:p>
    <w:p w14:paraId="2571158B">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牵头人法定代表人（签字或者盖章或者电子签名）：</w:t>
      </w:r>
    </w:p>
    <w:p w14:paraId="7534DF16">
      <w:pPr>
        <w:spacing w:line="440" w:lineRule="exact"/>
        <w:ind w:firstLine="3120" w:firstLineChars="1300"/>
        <w:contextualSpacing/>
        <w:rPr>
          <w:rFonts w:ascii="宋体" w:hAnsi="宋体" w:cs="宋体"/>
          <w:color w:val="auto"/>
          <w:sz w:val="24"/>
        </w:rPr>
      </w:pPr>
      <w:r>
        <w:rPr>
          <w:rFonts w:hint="eastAsia" w:ascii="宋体" w:hAnsi="宋体" w:cs="宋体"/>
          <w:color w:val="auto"/>
          <w:sz w:val="24"/>
        </w:rPr>
        <w:t>牵头人（电子签章）：</w:t>
      </w:r>
    </w:p>
    <w:p w14:paraId="2311BA27">
      <w:pPr>
        <w:spacing w:line="440" w:lineRule="exact"/>
        <w:ind w:firstLine="3840" w:firstLineChars="1600"/>
        <w:contextualSpacing/>
        <w:rPr>
          <w:rFonts w:ascii="宋体" w:hAnsi="宋体" w:cs="宋体"/>
          <w:color w:val="auto"/>
          <w:sz w:val="24"/>
        </w:rPr>
      </w:pPr>
      <w:r>
        <w:rPr>
          <w:rFonts w:hint="eastAsia" w:ascii="宋体" w:hAnsi="宋体" w:cs="宋体"/>
          <w:color w:val="auto"/>
          <w:sz w:val="24"/>
        </w:rPr>
        <w:t>日期：    年   月   日</w:t>
      </w:r>
    </w:p>
    <w:p w14:paraId="3A5A7D81">
      <w:pPr>
        <w:spacing w:line="440" w:lineRule="exact"/>
        <w:contextualSpacing/>
        <w:rPr>
          <w:rFonts w:ascii="宋体" w:hAnsi="宋体" w:cs="宋体"/>
          <w:color w:val="auto"/>
          <w:sz w:val="24"/>
        </w:rPr>
      </w:pPr>
    </w:p>
    <w:p w14:paraId="43EC1B0C">
      <w:pPr>
        <w:spacing w:line="440" w:lineRule="exact"/>
        <w:ind w:firstLine="3120" w:firstLineChars="1300"/>
        <w:contextualSpacing/>
        <w:rPr>
          <w:rFonts w:ascii="宋体" w:hAnsi="宋体" w:cs="宋体"/>
          <w:color w:val="auto"/>
          <w:sz w:val="24"/>
        </w:rPr>
      </w:pPr>
      <w:r>
        <w:rPr>
          <w:rFonts w:hint="eastAsia" w:ascii="宋体" w:hAnsi="宋体" w:cs="宋体"/>
          <w:color w:val="auto"/>
          <w:sz w:val="24"/>
        </w:rPr>
        <w:t>被授权人（签字或者电子签名）：</w:t>
      </w:r>
    </w:p>
    <w:p w14:paraId="2ABE3698">
      <w:pPr>
        <w:spacing w:line="440" w:lineRule="exact"/>
        <w:ind w:firstLine="3840" w:firstLineChars="1600"/>
        <w:contextualSpacing/>
        <w:rPr>
          <w:rFonts w:ascii="宋体" w:hAnsi="宋体" w:cs="宋体"/>
          <w:color w:val="auto"/>
          <w:sz w:val="24"/>
        </w:rPr>
      </w:pPr>
      <w:r>
        <w:rPr>
          <w:rFonts w:hint="eastAsia" w:ascii="宋体" w:hAnsi="宋体" w:cs="宋体"/>
          <w:color w:val="auto"/>
          <w:sz w:val="24"/>
        </w:rPr>
        <w:t>日期：    年   月   日</w:t>
      </w:r>
    </w:p>
    <w:p w14:paraId="7742F39B">
      <w:pPr>
        <w:spacing w:line="440" w:lineRule="exact"/>
        <w:contextualSpacing/>
        <w:rPr>
          <w:rFonts w:ascii="宋体" w:hAnsi="宋体" w:cs="宋体"/>
          <w:color w:val="auto"/>
          <w:sz w:val="24"/>
        </w:rPr>
      </w:pPr>
    </w:p>
    <w:p w14:paraId="2B919BDF">
      <w:pPr>
        <w:spacing w:line="440" w:lineRule="exact"/>
        <w:contextualSpacing/>
        <w:rPr>
          <w:rFonts w:ascii="宋体" w:hAnsi="宋体" w:cs="宋体"/>
          <w:color w:val="auto"/>
          <w:sz w:val="24"/>
        </w:rPr>
      </w:pPr>
      <w:r>
        <w:rPr>
          <w:rFonts w:hint="eastAsia" w:ascii="宋体" w:hAnsi="宋体" w:cs="宋体"/>
          <w:color w:val="auto"/>
          <w:sz w:val="24"/>
        </w:rPr>
        <w:t>注：法定代表人必须在授权委托书上签字或者盖章或者电子签名，委托代理人必须在授权委托书上签字或者电子签名，</w:t>
      </w:r>
      <w:r>
        <w:rPr>
          <w:rFonts w:hint="eastAsia" w:ascii="宋体" w:hAnsi="宋体" w:cs="宋体"/>
          <w:b/>
          <w:color w:val="auto"/>
          <w:sz w:val="24"/>
        </w:rPr>
        <w:t>否则其响应文件按无效处理。</w:t>
      </w:r>
    </w:p>
    <w:bookmarkEnd w:id="104"/>
    <w:p w14:paraId="187517FB">
      <w:pPr>
        <w:spacing w:line="440" w:lineRule="exact"/>
        <w:jc w:val="center"/>
        <w:rPr>
          <w:rFonts w:ascii="宋体" w:hAnsi="宋体" w:cs="宋体"/>
          <w:bCs/>
          <w:color w:val="auto"/>
          <w:sz w:val="44"/>
          <w:szCs w:val="44"/>
        </w:rPr>
      </w:pPr>
      <w:r>
        <w:rPr>
          <w:rFonts w:hint="eastAsia" w:ascii="宋体" w:hAnsi="宋体" w:cs="宋体"/>
          <w:color w:val="auto"/>
          <w:sz w:val="32"/>
          <w:szCs w:val="32"/>
        </w:rPr>
        <w:br w:type="page"/>
      </w:r>
      <w:r>
        <w:rPr>
          <w:rFonts w:hint="eastAsia" w:ascii="宋体" w:hAnsi="宋体" w:cs="宋体"/>
          <w:b/>
          <w:color w:val="auto"/>
          <w:sz w:val="32"/>
          <w:szCs w:val="32"/>
        </w:rPr>
        <w:t>施工组织设计</w:t>
      </w:r>
    </w:p>
    <w:p w14:paraId="6D1CD0B4">
      <w:pPr>
        <w:spacing w:line="440" w:lineRule="exact"/>
        <w:rPr>
          <w:rFonts w:ascii="宋体" w:hAnsi="宋体" w:cs="宋体"/>
          <w:color w:val="auto"/>
          <w:sz w:val="24"/>
          <w:szCs w:val="32"/>
        </w:rPr>
      </w:pPr>
      <w:r>
        <w:rPr>
          <w:rFonts w:hint="eastAsia" w:ascii="宋体" w:hAnsi="宋体" w:cs="宋体"/>
          <w:color w:val="auto"/>
          <w:sz w:val="24"/>
          <w:szCs w:val="32"/>
        </w:rPr>
        <w:t xml:space="preserve">1. 供应商应按以下要点编制施工组织设计（文字宜精炼、内容具有针对性）： </w:t>
      </w:r>
    </w:p>
    <w:p w14:paraId="0EAA5A53">
      <w:pPr>
        <w:spacing w:line="360" w:lineRule="exact"/>
        <w:rPr>
          <w:rFonts w:ascii="宋体" w:hAnsi="宋体" w:cs="宋体"/>
          <w:color w:val="auto"/>
          <w:sz w:val="24"/>
          <w:szCs w:val="32"/>
        </w:rPr>
      </w:pPr>
      <w:r>
        <w:rPr>
          <w:rFonts w:hint="eastAsia" w:ascii="宋体" w:hAnsi="宋体" w:cs="宋体"/>
          <w:color w:val="auto"/>
          <w:sz w:val="24"/>
          <w:szCs w:val="32"/>
        </w:rPr>
        <w:t>（1）</w:t>
      </w:r>
      <w:r>
        <w:rPr>
          <w:rFonts w:hint="eastAsia" w:ascii="宋体" w:hAnsi="宋体" w:cs="宋体"/>
          <w:color w:val="auto"/>
          <w:kern w:val="0"/>
          <w:szCs w:val="21"/>
        </w:rPr>
        <w:t>主要施工方法</w:t>
      </w:r>
    </w:p>
    <w:p w14:paraId="0F3741C2">
      <w:pPr>
        <w:spacing w:line="440" w:lineRule="exact"/>
        <w:rPr>
          <w:rFonts w:ascii="宋体" w:hAnsi="宋体" w:cs="宋体"/>
          <w:color w:val="auto"/>
          <w:sz w:val="24"/>
          <w:szCs w:val="32"/>
        </w:rPr>
      </w:pPr>
      <w:r>
        <w:rPr>
          <w:rFonts w:hint="eastAsia" w:ascii="宋体" w:hAnsi="宋体" w:cs="宋体"/>
          <w:color w:val="auto"/>
          <w:sz w:val="24"/>
          <w:szCs w:val="32"/>
        </w:rPr>
        <w:t>（2）</w:t>
      </w:r>
      <w:r>
        <w:rPr>
          <w:rFonts w:hint="eastAsia" w:ascii="宋体" w:hAnsi="宋体" w:cs="宋体"/>
          <w:color w:val="auto"/>
          <w:kern w:val="0"/>
          <w:szCs w:val="21"/>
        </w:rPr>
        <w:t>拟投入的主要物资计划</w:t>
      </w:r>
    </w:p>
    <w:p w14:paraId="148A6253">
      <w:pPr>
        <w:spacing w:line="360" w:lineRule="exact"/>
        <w:rPr>
          <w:rFonts w:ascii="宋体" w:hAnsi="宋体" w:cs="宋体"/>
          <w:color w:val="auto"/>
          <w:kern w:val="0"/>
          <w:szCs w:val="21"/>
        </w:rPr>
      </w:pPr>
      <w:r>
        <w:rPr>
          <w:rFonts w:hint="eastAsia" w:ascii="宋体" w:hAnsi="宋体" w:cs="宋体"/>
          <w:color w:val="auto"/>
          <w:sz w:val="24"/>
          <w:szCs w:val="32"/>
        </w:rPr>
        <w:t>（3）</w:t>
      </w:r>
      <w:r>
        <w:rPr>
          <w:rFonts w:hint="eastAsia" w:ascii="宋体" w:hAnsi="宋体" w:cs="宋体"/>
          <w:color w:val="auto"/>
          <w:kern w:val="0"/>
          <w:szCs w:val="21"/>
        </w:rPr>
        <w:t>拟投入的主要施工机械、设备计划</w:t>
      </w:r>
    </w:p>
    <w:p w14:paraId="235EB4C6">
      <w:pPr>
        <w:spacing w:line="360" w:lineRule="exact"/>
        <w:rPr>
          <w:rFonts w:ascii="宋体" w:hAnsi="宋体" w:cs="宋体"/>
          <w:color w:val="auto"/>
          <w:kern w:val="0"/>
          <w:szCs w:val="21"/>
        </w:rPr>
      </w:pPr>
      <w:r>
        <w:rPr>
          <w:rFonts w:hint="eastAsia" w:ascii="宋体" w:hAnsi="宋体" w:cs="宋体"/>
          <w:color w:val="auto"/>
          <w:sz w:val="24"/>
          <w:szCs w:val="32"/>
        </w:rPr>
        <w:t>（4）</w:t>
      </w:r>
      <w:r>
        <w:rPr>
          <w:rFonts w:hint="eastAsia" w:ascii="宋体" w:hAnsi="宋体" w:cs="宋体"/>
          <w:color w:val="auto"/>
          <w:kern w:val="0"/>
          <w:szCs w:val="21"/>
        </w:rPr>
        <w:t>劳动力安排计划</w:t>
      </w:r>
    </w:p>
    <w:p w14:paraId="48BC9364">
      <w:pPr>
        <w:spacing w:line="440" w:lineRule="exact"/>
        <w:rPr>
          <w:rFonts w:ascii="宋体" w:hAnsi="宋体" w:cs="宋体"/>
          <w:color w:val="auto"/>
          <w:sz w:val="24"/>
          <w:szCs w:val="32"/>
        </w:rPr>
      </w:pPr>
      <w:r>
        <w:rPr>
          <w:rFonts w:hint="eastAsia" w:ascii="宋体" w:hAnsi="宋体" w:cs="宋体"/>
          <w:color w:val="auto"/>
          <w:sz w:val="24"/>
          <w:szCs w:val="32"/>
        </w:rPr>
        <w:t>（5）</w:t>
      </w:r>
      <w:r>
        <w:rPr>
          <w:rFonts w:hint="eastAsia" w:ascii="宋体" w:hAnsi="宋体" w:cs="宋体"/>
          <w:color w:val="auto"/>
          <w:kern w:val="0"/>
          <w:szCs w:val="21"/>
        </w:rPr>
        <w:t>确保工程质量的技术组织措施</w:t>
      </w:r>
    </w:p>
    <w:p w14:paraId="66FD8272">
      <w:pPr>
        <w:spacing w:line="360" w:lineRule="exact"/>
        <w:ind w:left="-210" w:firstLine="240" w:firstLineChars="100"/>
        <w:jc w:val="left"/>
        <w:rPr>
          <w:rFonts w:ascii="宋体" w:hAnsi="宋体" w:cs="宋体"/>
          <w:color w:val="auto"/>
          <w:szCs w:val="21"/>
        </w:rPr>
      </w:pPr>
      <w:r>
        <w:rPr>
          <w:rFonts w:hint="eastAsia" w:ascii="宋体" w:hAnsi="宋体" w:cs="宋体"/>
          <w:color w:val="auto"/>
          <w:sz w:val="24"/>
          <w:szCs w:val="32"/>
        </w:rPr>
        <w:t>（6）</w:t>
      </w:r>
      <w:r>
        <w:rPr>
          <w:rFonts w:hint="eastAsia" w:ascii="宋体" w:hAnsi="宋体" w:cs="宋体"/>
          <w:color w:val="auto"/>
          <w:szCs w:val="21"/>
        </w:rPr>
        <w:t>确保安全生产的技术组织措施</w:t>
      </w:r>
    </w:p>
    <w:p w14:paraId="1EEEF1FF">
      <w:pPr>
        <w:spacing w:line="440" w:lineRule="exact"/>
        <w:rPr>
          <w:rFonts w:ascii="宋体" w:hAnsi="宋体" w:cs="宋体"/>
          <w:color w:val="auto"/>
          <w:sz w:val="24"/>
          <w:szCs w:val="32"/>
        </w:rPr>
      </w:pPr>
      <w:r>
        <w:rPr>
          <w:rFonts w:hint="eastAsia" w:ascii="宋体" w:hAnsi="宋体" w:cs="宋体"/>
          <w:color w:val="auto"/>
          <w:sz w:val="24"/>
          <w:szCs w:val="32"/>
        </w:rPr>
        <w:t>（7）</w:t>
      </w:r>
      <w:r>
        <w:rPr>
          <w:rFonts w:hint="eastAsia" w:ascii="宋体" w:hAnsi="宋体" w:cs="宋体"/>
          <w:color w:val="auto"/>
          <w:szCs w:val="21"/>
        </w:rPr>
        <w:t>确保工期的技术组织措施</w:t>
      </w:r>
    </w:p>
    <w:p w14:paraId="756D0941">
      <w:pPr>
        <w:spacing w:line="440" w:lineRule="exact"/>
        <w:rPr>
          <w:rFonts w:ascii="宋体" w:hAnsi="宋体" w:cs="宋体"/>
          <w:color w:val="auto"/>
          <w:sz w:val="24"/>
          <w:szCs w:val="32"/>
        </w:rPr>
      </w:pPr>
      <w:r>
        <w:rPr>
          <w:rFonts w:hint="eastAsia" w:ascii="宋体" w:hAnsi="宋体" w:cs="宋体"/>
          <w:color w:val="auto"/>
          <w:sz w:val="24"/>
          <w:szCs w:val="32"/>
        </w:rPr>
        <w:t>（8）</w:t>
      </w:r>
      <w:r>
        <w:rPr>
          <w:rFonts w:hint="eastAsia" w:ascii="宋体" w:hAnsi="宋体" w:cs="宋体"/>
          <w:color w:val="auto"/>
          <w:szCs w:val="21"/>
        </w:rPr>
        <w:t>工程施工的重点和难点及保证措施</w:t>
      </w:r>
    </w:p>
    <w:p w14:paraId="5C6522B2">
      <w:pPr>
        <w:spacing w:line="440" w:lineRule="exact"/>
        <w:rPr>
          <w:rFonts w:ascii="宋体" w:hAnsi="宋体" w:cs="宋体"/>
          <w:color w:val="auto"/>
          <w:sz w:val="24"/>
          <w:szCs w:val="32"/>
        </w:rPr>
      </w:pPr>
      <w:r>
        <w:rPr>
          <w:rFonts w:hint="eastAsia" w:ascii="宋体" w:hAnsi="宋体" w:cs="宋体"/>
          <w:color w:val="auto"/>
          <w:sz w:val="24"/>
          <w:szCs w:val="32"/>
        </w:rPr>
        <w:t>（9）</w:t>
      </w:r>
      <w:r>
        <w:rPr>
          <w:rFonts w:hint="eastAsia" w:ascii="宋体" w:hAnsi="宋体" w:cs="宋体"/>
          <w:color w:val="auto"/>
          <w:szCs w:val="21"/>
        </w:rPr>
        <w:t>确保文明施工的技术组织措施</w:t>
      </w:r>
    </w:p>
    <w:p w14:paraId="10ED812E">
      <w:pPr>
        <w:spacing w:line="440" w:lineRule="exact"/>
        <w:rPr>
          <w:rFonts w:ascii="宋体" w:hAnsi="宋体" w:cs="宋体"/>
          <w:color w:val="auto"/>
          <w:sz w:val="24"/>
          <w:szCs w:val="32"/>
        </w:rPr>
      </w:pPr>
      <w:r>
        <w:rPr>
          <w:rFonts w:hint="eastAsia" w:ascii="宋体" w:hAnsi="宋体" w:cs="宋体"/>
          <w:color w:val="auto"/>
          <w:szCs w:val="21"/>
        </w:rPr>
        <w:t>（10）</w:t>
      </w:r>
      <w:r>
        <w:rPr>
          <w:rFonts w:hint="eastAsia" w:ascii="宋体" w:hAnsi="宋体" w:cs="宋体"/>
          <w:color w:val="auto"/>
          <w:sz w:val="24"/>
          <w:szCs w:val="32"/>
        </w:rPr>
        <w:t xml:space="preserve">其他应说明的事项 </w:t>
      </w:r>
    </w:p>
    <w:p w14:paraId="3B954067">
      <w:pPr>
        <w:spacing w:line="440" w:lineRule="exact"/>
        <w:rPr>
          <w:rFonts w:ascii="宋体" w:hAnsi="宋体" w:cs="宋体"/>
          <w:color w:val="auto"/>
          <w:sz w:val="24"/>
          <w:szCs w:val="32"/>
        </w:rPr>
      </w:pPr>
      <w:r>
        <w:rPr>
          <w:rFonts w:hint="eastAsia" w:ascii="宋体" w:hAnsi="宋体" w:cs="宋体"/>
          <w:color w:val="auto"/>
          <w:sz w:val="24"/>
          <w:szCs w:val="32"/>
        </w:rPr>
        <w:t xml:space="preserve">2. 施工组织设计除采用文字表述外可附下列图表，其他相关图表及格式要求可参考《公路工程标准施工招标文件》（2018年版）。 </w:t>
      </w:r>
    </w:p>
    <w:p w14:paraId="3AD3D7D9">
      <w:pPr>
        <w:spacing w:line="440" w:lineRule="exact"/>
        <w:rPr>
          <w:rFonts w:ascii="宋体" w:hAnsi="宋体" w:cs="宋体"/>
          <w:color w:val="auto"/>
          <w:szCs w:val="21"/>
        </w:rPr>
      </w:pPr>
      <w:r>
        <w:rPr>
          <w:rFonts w:hint="eastAsia" w:ascii="宋体" w:hAnsi="宋体" w:cs="宋体"/>
          <w:color w:val="auto"/>
          <w:szCs w:val="21"/>
        </w:rPr>
        <w:t>附表一  拟投入的主要施工设备表</w:t>
      </w:r>
    </w:p>
    <w:p w14:paraId="0108CE69">
      <w:pPr>
        <w:spacing w:line="440" w:lineRule="exact"/>
        <w:rPr>
          <w:rFonts w:ascii="宋体" w:hAnsi="宋体" w:cs="宋体"/>
          <w:color w:val="auto"/>
          <w:szCs w:val="21"/>
        </w:rPr>
      </w:pPr>
      <w:r>
        <w:rPr>
          <w:rFonts w:hint="eastAsia" w:ascii="宋体" w:hAnsi="宋体" w:cs="宋体"/>
          <w:color w:val="auto"/>
          <w:szCs w:val="21"/>
        </w:rPr>
        <w:t>附表二  劳动力计划表</w:t>
      </w:r>
    </w:p>
    <w:p w14:paraId="4F43F7A5">
      <w:pPr>
        <w:spacing w:line="440" w:lineRule="exact"/>
        <w:rPr>
          <w:rFonts w:ascii="宋体" w:hAnsi="宋体" w:cs="宋体"/>
          <w:color w:val="auto"/>
          <w:szCs w:val="21"/>
        </w:rPr>
      </w:pPr>
      <w:r>
        <w:rPr>
          <w:rFonts w:hint="eastAsia" w:ascii="宋体" w:hAnsi="宋体" w:cs="宋体"/>
          <w:color w:val="auto"/>
          <w:szCs w:val="21"/>
        </w:rPr>
        <w:t>附表三  计划开、竣工日期和施工进度网络图</w:t>
      </w:r>
    </w:p>
    <w:p w14:paraId="57349870">
      <w:pPr>
        <w:spacing w:line="440" w:lineRule="exact"/>
        <w:contextualSpacing/>
        <w:rPr>
          <w:rFonts w:ascii="宋体" w:hAnsi="宋体" w:cs="宋体"/>
          <w:color w:val="auto"/>
          <w:szCs w:val="21"/>
        </w:rPr>
      </w:pPr>
      <w:r>
        <w:rPr>
          <w:rFonts w:hint="eastAsia" w:ascii="宋体" w:hAnsi="宋体" w:cs="宋体"/>
          <w:color w:val="auto"/>
          <w:szCs w:val="21"/>
        </w:rPr>
        <w:t>附表四  临时用地表</w:t>
      </w:r>
      <w:bookmarkStart w:id="105" w:name="bookmark2270"/>
      <w:bookmarkStart w:id="106" w:name="_Toc27456"/>
      <w:bookmarkStart w:id="107" w:name="_Toc10281"/>
      <w:bookmarkStart w:id="108" w:name="bookmark2269"/>
      <w:bookmarkStart w:id="109" w:name="bookmark2271"/>
    </w:p>
    <w:p w14:paraId="464C64F3">
      <w:pPr>
        <w:spacing w:line="440" w:lineRule="exact"/>
        <w:ind w:left="540"/>
        <w:contextualSpacing/>
        <w:jc w:val="center"/>
        <w:rPr>
          <w:rFonts w:ascii="宋体" w:hAnsi="宋体" w:cs="宋体"/>
          <w:color w:val="auto"/>
          <w:sz w:val="24"/>
        </w:rPr>
      </w:pPr>
    </w:p>
    <w:p w14:paraId="671B7D2D">
      <w:pPr>
        <w:spacing w:line="440" w:lineRule="exact"/>
        <w:ind w:left="540"/>
        <w:contextualSpacing/>
        <w:jc w:val="center"/>
        <w:rPr>
          <w:rFonts w:ascii="宋体" w:hAnsi="宋体" w:cs="宋体"/>
          <w:color w:val="auto"/>
          <w:sz w:val="24"/>
        </w:rPr>
      </w:pPr>
      <w:r>
        <w:rPr>
          <w:rFonts w:hint="eastAsia" w:ascii="宋体" w:hAnsi="宋体" w:cs="宋体"/>
          <w:color w:val="auto"/>
          <w:sz w:val="24"/>
        </w:rPr>
        <w:t>供应商（电子签章）：</w:t>
      </w:r>
    </w:p>
    <w:p w14:paraId="5D85B73B">
      <w:pPr>
        <w:spacing w:line="440" w:lineRule="exact"/>
        <w:ind w:firstLine="4080" w:firstLineChars="1700"/>
        <w:contextualSpacing/>
        <w:jc w:val="center"/>
        <w:rPr>
          <w:rFonts w:ascii="宋体" w:hAnsi="宋体" w:cs="宋体"/>
          <w:color w:val="auto"/>
          <w:sz w:val="24"/>
        </w:rPr>
      </w:pPr>
      <w:r>
        <w:rPr>
          <w:rFonts w:hint="eastAsia" w:ascii="宋体" w:hAnsi="宋体" w:cs="宋体"/>
          <w:color w:val="auto"/>
          <w:sz w:val="24"/>
        </w:rPr>
        <w:t>年  月  日</w:t>
      </w:r>
    </w:p>
    <w:p w14:paraId="35D73651">
      <w:pPr>
        <w:spacing w:line="440" w:lineRule="exact"/>
        <w:jc w:val="center"/>
        <w:rPr>
          <w:rFonts w:ascii="宋体" w:hAnsi="宋体" w:cs="宋体"/>
          <w:color w:val="auto"/>
        </w:rPr>
      </w:pPr>
    </w:p>
    <w:p w14:paraId="1574BE74">
      <w:pPr>
        <w:rPr>
          <w:rFonts w:ascii="宋体" w:hAnsi="宋体" w:cs="宋体"/>
          <w:b/>
          <w:bCs/>
          <w:color w:val="auto"/>
          <w:sz w:val="24"/>
        </w:rPr>
      </w:pPr>
      <w:r>
        <w:rPr>
          <w:rFonts w:hint="eastAsia" w:ascii="宋体" w:hAnsi="宋体" w:cs="宋体"/>
          <w:b/>
          <w:bCs/>
          <w:color w:val="auto"/>
          <w:sz w:val="24"/>
        </w:rPr>
        <w:br w:type="page"/>
      </w:r>
    </w:p>
    <w:p w14:paraId="5081A790">
      <w:pPr>
        <w:spacing w:after="50" w:line="400" w:lineRule="exact"/>
        <w:rPr>
          <w:rFonts w:ascii="宋体" w:hAnsi="宋体" w:cs="宋体"/>
          <w:color w:val="auto"/>
          <w:sz w:val="24"/>
        </w:rPr>
      </w:pPr>
      <w:r>
        <w:rPr>
          <w:rFonts w:hint="eastAsia" w:ascii="宋体" w:hAnsi="宋体" w:cs="宋体"/>
          <w:b/>
          <w:bCs/>
          <w:color w:val="auto"/>
          <w:sz w:val="24"/>
        </w:rPr>
        <w:t>附表一  ⑴拟投入的主要施工机械设备表</w:t>
      </w:r>
    </w:p>
    <w:p w14:paraId="6F4C19A1">
      <w:pPr>
        <w:spacing w:after="50" w:line="400" w:lineRule="exact"/>
        <w:rPr>
          <w:rFonts w:ascii="宋体" w:hAnsi="宋体" w:cs="宋体"/>
          <w:color w:val="auto"/>
          <w:sz w:val="36"/>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661"/>
        <w:gridCol w:w="1287"/>
        <w:gridCol w:w="602"/>
        <w:gridCol w:w="891"/>
        <w:gridCol w:w="949"/>
        <w:gridCol w:w="1493"/>
        <w:gridCol w:w="890"/>
        <w:gridCol w:w="1049"/>
      </w:tblGrid>
      <w:tr w14:paraId="5B49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67" w:type="dxa"/>
            <w:noWrap/>
            <w:vAlign w:val="center"/>
          </w:tcPr>
          <w:p w14:paraId="7BEE08BA">
            <w:pPr>
              <w:spacing w:after="50" w:line="400" w:lineRule="exact"/>
              <w:jc w:val="center"/>
              <w:rPr>
                <w:rFonts w:ascii="宋体" w:hAnsi="宋体" w:cs="宋体"/>
                <w:color w:val="auto"/>
              </w:rPr>
            </w:pPr>
            <w:r>
              <w:rPr>
                <w:rFonts w:hint="eastAsia" w:ascii="宋体" w:hAnsi="宋体" w:cs="宋体"/>
                <w:color w:val="auto"/>
              </w:rPr>
              <w:t>序号</w:t>
            </w:r>
          </w:p>
        </w:tc>
        <w:tc>
          <w:tcPr>
            <w:tcW w:w="1661" w:type="dxa"/>
            <w:noWrap/>
            <w:vAlign w:val="center"/>
          </w:tcPr>
          <w:p w14:paraId="3B88ADAD">
            <w:pPr>
              <w:spacing w:after="50" w:line="400" w:lineRule="exact"/>
              <w:jc w:val="center"/>
              <w:rPr>
                <w:rFonts w:ascii="宋体" w:hAnsi="宋体" w:cs="宋体"/>
                <w:color w:val="auto"/>
              </w:rPr>
            </w:pPr>
            <w:r>
              <w:rPr>
                <w:rFonts w:hint="eastAsia" w:ascii="宋体" w:hAnsi="宋体" w:cs="宋体"/>
                <w:color w:val="auto"/>
              </w:rPr>
              <w:t>机械或设备名称</w:t>
            </w:r>
          </w:p>
        </w:tc>
        <w:tc>
          <w:tcPr>
            <w:tcW w:w="1287" w:type="dxa"/>
            <w:noWrap/>
            <w:vAlign w:val="center"/>
          </w:tcPr>
          <w:p w14:paraId="049D6ABA">
            <w:pPr>
              <w:spacing w:after="50" w:line="400" w:lineRule="exact"/>
              <w:jc w:val="center"/>
              <w:rPr>
                <w:rFonts w:ascii="宋体" w:hAnsi="宋体" w:cs="宋体"/>
                <w:color w:val="auto"/>
              </w:rPr>
            </w:pPr>
            <w:r>
              <w:rPr>
                <w:rFonts w:hint="eastAsia" w:ascii="宋体" w:hAnsi="宋体" w:cs="宋体"/>
                <w:color w:val="auto"/>
              </w:rPr>
              <w:t>型号规格</w:t>
            </w:r>
          </w:p>
        </w:tc>
        <w:tc>
          <w:tcPr>
            <w:tcW w:w="602" w:type="dxa"/>
            <w:noWrap/>
            <w:vAlign w:val="center"/>
          </w:tcPr>
          <w:p w14:paraId="76893F51">
            <w:pPr>
              <w:spacing w:after="50" w:line="400" w:lineRule="exact"/>
              <w:jc w:val="center"/>
              <w:rPr>
                <w:rFonts w:ascii="宋体" w:hAnsi="宋体" w:cs="宋体"/>
                <w:color w:val="auto"/>
              </w:rPr>
            </w:pPr>
            <w:r>
              <w:rPr>
                <w:rFonts w:hint="eastAsia" w:ascii="宋体" w:hAnsi="宋体" w:cs="宋体"/>
                <w:color w:val="auto"/>
              </w:rPr>
              <w:t>数量</w:t>
            </w:r>
          </w:p>
        </w:tc>
        <w:tc>
          <w:tcPr>
            <w:tcW w:w="891" w:type="dxa"/>
            <w:noWrap/>
            <w:vAlign w:val="center"/>
          </w:tcPr>
          <w:p w14:paraId="068D9712">
            <w:pPr>
              <w:spacing w:after="50" w:line="400" w:lineRule="exact"/>
              <w:jc w:val="center"/>
              <w:rPr>
                <w:rFonts w:ascii="宋体" w:hAnsi="宋体" w:cs="宋体"/>
                <w:color w:val="auto"/>
              </w:rPr>
            </w:pPr>
            <w:r>
              <w:rPr>
                <w:rFonts w:hint="eastAsia" w:ascii="宋体" w:hAnsi="宋体" w:cs="宋体"/>
                <w:color w:val="auto"/>
              </w:rPr>
              <w:t>国别产地</w:t>
            </w:r>
          </w:p>
        </w:tc>
        <w:tc>
          <w:tcPr>
            <w:tcW w:w="949" w:type="dxa"/>
            <w:noWrap/>
            <w:vAlign w:val="center"/>
          </w:tcPr>
          <w:p w14:paraId="7B7C7237">
            <w:pPr>
              <w:spacing w:after="50" w:line="400" w:lineRule="exact"/>
              <w:jc w:val="center"/>
              <w:rPr>
                <w:rFonts w:ascii="宋体" w:hAnsi="宋体" w:cs="宋体"/>
                <w:color w:val="auto"/>
              </w:rPr>
            </w:pPr>
            <w:r>
              <w:rPr>
                <w:rFonts w:hint="eastAsia" w:ascii="宋体" w:hAnsi="宋体" w:cs="宋体"/>
                <w:color w:val="auto"/>
              </w:rPr>
              <w:t>制造年份</w:t>
            </w:r>
          </w:p>
        </w:tc>
        <w:tc>
          <w:tcPr>
            <w:tcW w:w="1493" w:type="dxa"/>
            <w:noWrap/>
            <w:vAlign w:val="center"/>
          </w:tcPr>
          <w:p w14:paraId="01D96165">
            <w:pPr>
              <w:spacing w:after="50" w:line="400" w:lineRule="exact"/>
              <w:jc w:val="center"/>
              <w:rPr>
                <w:rFonts w:ascii="宋体" w:hAnsi="宋体" w:cs="宋体"/>
                <w:color w:val="auto"/>
              </w:rPr>
            </w:pPr>
            <w:r>
              <w:rPr>
                <w:rFonts w:hint="eastAsia" w:ascii="宋体" w:hAnsi="宋体" w:cs="宋体"/>
                <w:color w:val="auto"/>
              </w:rPr>
              <w:t>额定功率（KW）</w:t>
            </w:r>
          </w:p>
        </w:tc>
        <w:tc>
          <w:tcPr>
            <w:tcW w:w="890" w:type="dxa"/>
            <w:noWrap/>
            <w:vAlign w:val="center"/>
          </w:tcPr>
          <w:p w14:paraId="72D0FA82">
            <w:pPr>
              <w:spacing w:after="50" w:line="400" w:lineRule="exact"/>
              <w:jc w:val="center"/>
              <w:rPr>
                <w:rFonts w:ascii="宋体" w:hAnsi="宋体" w:cs="宋体"/>
                <w:color w:val="auto"/>
              </w:rPr>
            </w:pPr>
            <w:r>
              <w:rPr>
                <w:rFonts w:hint="eastAsia" w:ascii="宋体" w:hAnsi="宋体" w:cs="宋体"/>
                <w:color w:val="auto"/>
              </w:rPr>
              <w:t>生产能力</w:t>
            </w:r>
          </w:p>
        </w:tc>
        <w:tc>
          <w:tcPr>
            <w:tcW w:w="1049" w:type="dxa"/>
            <w:tcBorders>
              <w:left w:val="single" w:color="auto" w:sz="4" w:space="0"/>
            </w:tcBorders>
            <w:noWrap/>
            <w:vAlign w:val="center"/>
          </w:tcPr>
          <w:p w14:paraId="3F364C09">
            <w:pPr>
              <w:spacing w:after="50" w:line="400" w:lineRule="exact"/>
              <w:jc w:val="center"/>
              <w:rPr>
                <w:rFonts w:ascii="宋体" w:hAnsi="宋体" w:cs="宋体"/>
                <w:color w:val="auto"/>
              </w:rPr>
            </w:pPr>
            <w:r>
              <w:rPr>
                <w:rFonts w:hint="eastAsia" w:ascii="宋体" w:hAnsi="宋体" w:cs="宋体"/>
                <w:color w:val="auto"/>
              </w:rPr>
              <w:t>备注</w:t>
            </w:r>
          </w:p>
        </w:tc>
      </w:tr>
      <w:tr w14:paraId="443B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67" w:type="dxa"/>
            <w:noWrap/>
          </w:tcPr>
          <w:p w14:paraId="712C469B">
            <w:pPr>
              <w:spacing w:after="50" w:line="400" w:lineRule="exact"/>
              <w:rPr>
                <w:rFonts w:ascii="宋体" w:hAnsi="宋体" w:cs="宋体"/>
                <w:color w:val="auto"/>
              </w:rPr>
            </w:pPr>
          </w:p>
        </w:tc>
        <w:tc>
          <w:tcPr>
            <w:tcW w:w="1661" w:type="dxa"/>
            <w:noWrap/>
          </w:tcPr>
          <w:p w14:paraId="792128D1">
            <w:pPr>
              <w:spacing w:after="50" w:line="400" w:lineRule="exact"/>
              <w:rPr>
                <w:rFonts w:ascii="宋体" w:hAnsi="宋体" w:cs="宋体"/>
                <w:color w:val="auto"/>
              </w:rPr>
            </w:pPr>
          </w:p>
        </w:tc>
        <w:tc>
          <w:tcPr>
            <w:tcW w:w="1287" w:type="dxa"/>
            <w:noWrap/>
          </w:tcPr>
          <w:p w14:paraId="15571FF7">
            <w:pPr>
              <w:spacing w:after="50" w:line="400" w:lineRule="exact"/>
              <w:rPr>
                <w:rFonts w:ascii="宋体" w:hAnsi="宋体" w:cs="宋体"/>
                <w:color w:val="auto"/>
              </w:rPr>
            </w:pPr>
          </w:p>
        </w:tc>
        <w:tc>
          <w:tcPr>
            <w:tcW w:w="602" w:type="dxa"/>
            <w:noWrap/>
          </w:tcPr>
          <w:p w14:paraId="2B74926C">
            <w:pPr>
              <w:spacing w:after="50" w:line="400" w:lineRule="exact"/>
              <w:rPr>
                <w:rFonts w:ascii="宋体" w:hAnsi="宋体" w:cs="宋体"/>
                <w:color w:val="auto"/>
              </w:rPr>
            </w:pPr>
          </w:p>
        </w:tc>
        <w:tc>
          <w:tcPr>
            <w:tcW w:w="891" w:type="dxa"/>
            <w:noWrap/>
          </w:tcPr>
          <w:p w14:paraId="064B3774">
            <w:pPr>
              <w:spacing w:after="50" w:line="400" w:lineRule="exact"/>
              <w:rPr>
                <w:rFonts w:ascii="宋体" w:hAnsi="宋体" w:cs="宋体"/>
                <w:color w:val="auto"/>
              </w:rPr>
            </w:pPr>
          </w:p>
        </w:tc>
        <w:tc>
          <w:tcPr>
            <w:tcW w:w="949" w:type="dxa"/>
            <w:noWrap/>
          </w:tcPr>
          <w:p w14:paraId="52D84E6E">
            <w:pPr>
              <w:spacing w:after="50" w:line="400" w:lineRule="exact"/>
              <w:rPr>
                <w:rFonts w:ascii="宋体" w:hAnsi="宋体" w:cs="宋体"/>
                <w:color w:val="auto"/>
              </w:rPr>
            </w:pPr>
          </w:p>
        </w:tc>
        <w:tc>
          <w:tcPr>
            <w:tcW w:w="1493" w:type="dxa"/>
            <w:noWrap/>
          </w:tcPr>
          <w:p w14:paraId="22810506">
            <w:pPr>
              <w:spacing w:after="50" w:line="400" w:lineRule="exact"/>
              <w:rPr>
                <w:rFonts w:ascii="宋体" w:hAnsi="宋体" w:cs="宋体"/>
                <w:color w:val="auto"/>
              </w:rPr>
            </w:pPr>
          </w:p>
        </w:tc>
        <w:tc>
          <w:tcPr>
            <w:tcW w:w="890" w:type="dxa"/>
            <w:noWrap/>
          </w:tcPr>
          <w:p w14:paraId="1C0177FC">
            <w:pPr>
              <w:spacing w:after="50" w:line="400" w:lineRule="exact"/>
              <w:rPr>
                <w:rFonts w:ascii="宋体" w:hAnsi="宋体" w:cs="宋体"/>
                <w:color w:val="auto"/>
              </w:rPr>
            </w:pPr>
          </w:p>
        </w:tc>
        <w:tc>
          <w:tcPr>
            <w:tcW w:w="1049" w:type="dxa"/>
            <w:tcBorders>
              <w:left w:val="single" w:color="auto" w:sz="4" w:space="0"/>
            </w:tcBorders>
            <w:noWrap/>
          </w:tcPr>
          <w:p w14:paraId="272F6C63">
            <w:pPr>
              <w:spacing w:after="50" w:line="400" w:lineRule="exact"/>
              <w:rPr>
                <w:rFonts w:ascii="宋体" w:hAnsi="宋体" w:cs="宋体"/>
                <w:color w:val="auto"/>
              </w:rPr>
            </w:pPr>
          </w:p>
        </w:tc>
      </w:tr>
      <w:tr w14:paraId="0C09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67" w:type="dxa"/>
            <w:noWrap/>
          </w:tcPr>
          <w:p w14:paraId="1EE78091">
            <w:pPr>
              <w:spacing w:after="50" w:line="400" w:lineRule="exact"/>
              <w:rPr>
                <w:rFonts w:ascii="宋体" w:hAnsi="宋体" w:cs="宋体"/>
                <w:color w:val="auto"/>
              </w:rPr>
            </w:pPr>
          </w:p>
        </w:tc>
        <w:tc>
          <w:tcPr>
            <w:tcW w:w="1661" w:type="dxa"/>
            <w:noWrap/>
          </w:tcPr>
          <w:p w14:paraId="271B7C54">
            <w:pPr>
              <w:spacing w:after="50" w:line="400" w:lineRule="exact"/>
              <w:rPr>
                <w:rFonts w:ascii="宋体" w:hAnsi="宋体" w:cs="宋体"/>
                <w:color w:val="auto"/>
              </w:rPr>
            </w:pPr>
          </w:p>
        </w:tc>
        <w:tc>
          <w:tcPr>
            <w:tcW w:w="1287" w:type="dxa"/>
            <w:noWrap/>
          </w:tcPr>
          <w:p w14:paraId="63085091">
            <w:pPr>
              <w:spacing w:after="50" w:line="400" w:lineRule="exact"/>
              <w:rPr>
                <w:rFonts w:ascii="宋体" w:hAnsi="宋体" w:cs="宋体"/>
                <w:color w:val="auto"/>
              </w:rPr>
            </w:pPr>
          </w:p>
        </w:tc>
        <w:tc>
          <w:tcPr>
            <w:tcW w:w="602" w:type="dxa"/>
            <w:noWrap/>
          </w:tcPr>
          <w:p w14:paraId="45BC8768">
            <w:pPr>
              <w:spacing w:after="50" w:line="400" w:lineRule="exact"/>
              <w:rPr>
                <w:rFonts w:ascii="宋体" w:hAnsi="宋体" w:cs="宋体"/>
                <w:color w:val="auto"/>
              </w:rPr>
            </w:pPr>
          </w:p>
        </w:tc>
        <w:tc>
          <w:tcPr>
            <w:tcW w:w="891" w:type="dxa"/>
            <w:noWrap/>
          </w:tcPr>
          <w:p w14:paraId="2B57B886">
            <w:pPr>
              <w:spacing w:after="50" w:line="400" w:lineRule="exact"/>
              <w:rPr>
                <w:rFonts w:ascii="宋体" w:hAnsi="宋体" w:cs="宋体"/>
                <w:color w:val="auto"/>
              </w:rPr>
            </w:pPr>
          </w:p>
        </w:tc>
        <w:tc>
          <w:tcPr>
            <w:tcW w:w="949" w:type="dxa"/>
            <w:noWrap/>
          </w:tcPr>
          <w:p w14:paraId="6BA7D4F5">
            <w:pPr>
              <w:spacing w:after="50" w:line="400" w:lineRule="exact"/>
              <w:rPr>
                <w:rFonts w:ascii="宋体" w:hAnsi="宋体" w:cs="宋体"/>
                <w:color w:val="auto"/>
              </w:rPr>
            </w:pPr>
          </w:p>
        </w:tc>
        <w:tc>
          <w:tcPr>
            <w:tcW w:w="1493" w:type="dxa"/>
            <w:noWrap/>
          </w:tcPr>
          <w:p w14:paraId="4FB78873">
            <w:pPr>
              <w:spacing w:after="50" w:line="400" w:lineRule="exact"/>
              <w:rPr>
                <w:rFonts w:ascii="宋体" w:hAnsi="宋体" w:cs="宋体"/>
                <w:color w:val="auto"/>
              </w:rPr>
            </w:pPr>
          </w:p>
        </w:tc>
        <w:tc>
          <w:tcPr>
            <w:tcW w:w="890" w:type="dxa"/>
            <w:noWrap/>
          </w:tcPr>
          <w:p w14:paraId="26D693D3">
            <w:pPr>
              <w:spacing w:after="50" w:line="400" w:lineRule="exact"/>
              <w:rPr>
                <w:rFonts w:ascii="宋体" w:hAnsi="宋体" w:cs="宋体"/>
                <w:color w:val="auto"/>
              </w:rPr>
            </w:pPr>
          </w:p>
        </w:tc>
        <w:tc>
          <w:tcPr>
            <w:tcW w:w="1049" w:type="dxa"/>
            <w:tcBorders>
              <w:left w:val="single" w:color="auto" w:sz="4" w:space="0"/>
            </w:tcBorders>
            <w:noWrap/>
          </w:tcPr>
          <w:p w14:paraId="2371C8BD">
            <w:pPr>
              <w:spacing w:after="50" w:line="400" w:lineRule="exact"/>
              <w:rPr>
                <w:rFonts w:ascii="宋体" w:hAnsi="宋体" w:cs="宋体"/>
                <w:color w:val="auto"/>
              </w:rPr>
            </w:pPr>
          </w:p>
        </w:tc>
      </w:tr>
      <w:tr w14:paraId="3B74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67" w:type="dxa"/>
            <w:noWrap/>
          </w:tcPr>
          <w:p w14:paraId="4D3E9468">
            <w:pPr>
              <w:spacing w:after="50" w:line="400" w:lineRule="exact"/>
              <w:rPr>
                <w:rFonts w:ascii="宋体" w:hAnsi="宋体" w:cs="宋体"/>
                <w:color w:val="auto"/>
              </w:rPr>
            </w:pPr>
          </w:p>
        </w:tc>
        <w:tc>
          <w:tcPr>
            <w:tcW w:w="1661" w:type="dxa"/>
            <w:noWrap/>
          </w:tcPr>
          <w:p w14:paraId="2BA43548">
            <w:pPr>
              <w:spacing w:after="50" w:line="400" w:lineRule="exact"/>
              <w:rPr>
                <w:rFonts w:ascii="宋体" w:hAnsi="宋体" w:cs="宋体"/>
                <w:color w:val="auto"/>
              </w:rPr>
            </w:pPr>
          </w:p>
        </w:tc>
        <w:tc>
          <w:tcPr>
            <w:tcW w:w="1287" w:type="dxa"/>
            <w:noWrap/>
          </w:tcPr>
          <w:p w14:paraId="54DA1CA3">
            <w:pPr>
              <w:spacing w:after="50" w:line="400" w:lineRule="exact"/>
              <w:rPr>
                <w:rFonts w:ascii="宋体" w:hAnsi="宋体" w:cs="宋体"/>
                <w:color w:val="auto"/>
              </w:rPr>
            </w:pPr>
          </w:p>
        </w:tc>
        <w:tc>
          <w:tcPr>
            <w:tcW w:w="602" w:type="dxa"/>
            <w:noWrap/>
          </w:tcPr>
          <w:p w14:paraId="4E6C61AD">
            <w:pPr>
              <w:spacing w:after="50" w:line="400" w:lineRule="exact"/>
              <w:rPr>
                <w:rFonts w:ascii="宋体" w:hAnsi="宋体" w:cs="宋体"/>
                <w:color w:val="auto"/>
              </w:rPr>
            </w:pPr>
          </w:p>
        </w:tc>
        <w:tc>
          <w:tcPr>
            <w:tcW w:w="891" w:type="dxa"/>
            <w:noWrap/>
          </w:tcPr>
          <w:p w14:paraId="702F4840">
            <w:pPr>
              <w:spacing w:after="50" w:line="400" w:lineRule="exact"/>
              <w:rPr>
                <w:rFonts w:ascii="宋体" w:hAnsi="宋体" w:cs="宋体"/>
                <w:color w:val="auto"/>
              </w:rPr>
            </w:pPr>
          </w:p>
        </w:tc>
        <w:tc>
          <w:tcPr>
            <w:tcW w:w="949" w:type="dxa"/>
            <w:noWrap/>
          </w:tcPr>
          <w:p w14:paraId="2B99A9FA">
            <w:pPr>
              <w:spacing w:after="50" w:line="400" w:lineRule="exact"/>
              <w:rPr>
                <w:rFonts w:ascii="宋体" w:hAnsi="宋体" w:cs="宋体"/>
                <w:color w:val="auto"/>
              </w:rPr>
            </w:pPr>
          </w:p>
        </w:tc>
        <w:tc>
          <w:tcPr>
            <w:tcW w:w="1493" w:type="dxa"/>
            <w:noWrap/>
          </w:tcPr>
          <w:p w14:paraId="1E2BAE7C">
            <w:pPr>
              <w:pStyle w:val="213"/>
              <w:spacing w:after="50" w:line="400" w:lineRule="exact"/>
              <w:rPr>
                <w:rFonts w:ascii="宋体" w:hAnsi="宋体" w:cs="宋体"/>
                <w:color w:val="auto"/>
                <w:szCs w:val="24"/>
              </w:rPr>
            </w:pPr>
          </w:p>
        </w:tc>
        <w:tc>
          <w:tcPr>
            <w:tcW w:w="890" w:type="dxa"/>
            <w:noWrap/>
          </w:tcPr>
          <w:p w14:paraId="0F8F154B">
            <w:pPr>
              <w:spacing w:after="50" w:line="400" w:lineRule="exact"/>
              <w:rPr>
                <w:rFonts w:ascii="宋体" w:hAnsi="宋体" w:cs="宋体"/>
                <w:color w:val="auto"/>
              </w:rPr>
            </w:pPr>
          </w:p>
        </w:tc>
        <w:tc>
          <w:tcPr>
            <w:tcW w:w="1049" w:type="dxa"/>
            <w:tcBorders>
              <w:left w:val="single" w:color="auto" w:sz="4" w:space="0"/>
            </w:tcBorders>
            <w:noWrap/>
          </w:tcPr>
          <w:p w14:paraId="34EE255D">
            <w:pPr>
              <w:spacing w:after="50" w:line="400" w:lineRule="exact"/>
              <w:rPr>
                <w:rFonts w:ascii="宋体" w:hAnsi="宋体" w:cs="宋体"/>
                <w:color w:val="auto"/>
              </w:rPr>
            </w:pPr>
          </w:p>
        </w:tc>
      </w:tr>
      <w:tr w14:paraId="1725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67" w:type="dxa"/>
            <w:noWrap/>
          </w:tcPr>
          <w:p w14:paraId="54017874">
            <w:pPr>
              <w:spacing w:after="50" w:line="400" w:lineRule="exact"/>
              <w:rPr>
                <w:rFonts w:ascii="宋体" w:hAnsi="宋体" w:cs="宋体"/>
                <w:color w:val="auto"/>
              </w:rPr>
            </w:pPr>
          </w:p>
        </w:tc>
        <w:tc>
          <w:tcPr>
            <w:tcW w:w="1661" w:type="dxa"/>
            <w:noWrap/>
          </w:tcPr>
          <w:p w14:paraId="66C257B3">
            <w:pPr>
              <w:spacing w:after="50" w:line="400" w:lineRule="exact"/>
              <w:rPr>
                <w:rFonts w:ascii="宋体" w:hAnsi="宋体" w:cs="宋体"/>
                <w:color w:val="auto"/>
              </w:rPr>
            </w:pPr>
          </w:p>
        </w:tc>
        <w:tc>
          <w:tcPr>
            <w:tcW w:w="1287" w:type="dxa"/>
            <w:noWrap/>
          </w:tcPr>
          <w:p w14:paraId="27C991DF">
            <w:pPr>
              <w:spacing w:after="50" w:line="400" w:lineRule="exact"/>
              <w:rPr>
                <w:rFonts w:ascii="宋体" w:hAnsi="宋体" w:cs="宋体"/>
                <w:color w:val="auto"/>
              </w:rPr>
            </w:pPr>
          </w:p>
        </w:tc>
        <w:tc>
          <w:tcPr>
            <w:tcW w:w="602" w:type="dxa"/>
            <w:noWrap/>
          </w:tcPr>
          <w:p w14:paraId="3E99B7BD">
            <w:pPr>
              <w:spacing w:after="50" w:line="400" w:lineRule="exact"/>
              <w:rPr>
                <w:rFonts w:ascii="宋体" w:hAnsi="宋体" w:cs="宋体"/>
                <w:color w:val="auto"/>
              </w:rPr>
            </w:pPr>
          </w:p>
        </w:tc>
        <w:tc>
          <w:tcPr>
            <w:tcW w:w="891" w:type="dxa"/>
            <w:noWrap/>
          </w:tcPr>
          <w:p w14:paraId="68977F1A">
            <w:pPr>
              <w:spacing w:after="50" w:line="400" w:lineRule="exact"/>
              <w:rPr>
                <w:rFonts w:ascii="宋体" w:hAnsi="宋体" w:cs="宋体"/>
                <w:color w:val="auto"/>
              </w:rPr>
            </w:pPr>
          </w:p>
        </w:tc>
        <w:tc>
          <w:tcPr>
            <w:tcW w:w="949" w:type="dxa"/>
            <w:noWrap/>
          </w:tcPr>
          <w:p w14:paraId="7C8386CC">
            <w:pPr>
              <w:spacing w:after="50" w:line="400" w:lineRule="exact"/>
              <w:rPr>
                <w:rFonts w:ascii="宋体" w:hAnsi="宋体" w:cs="宋体"/>
                <w:color w:val="auto"/>
              </w:rPr>
            </w:pPr>
          </w:p>
        </w:tc>
        <w:tc>
          <w:tcPr>
            <w:tcW w:w="1493" w:type="dxa"/>
            <w:noWrap/>
          </w:tcPr>
          <w:p w14:paraId="6E3ADED9">
            <w:pPr>
              <w:pStyle w:val="213"/>
              <w:spacing w:after="50" w:line="400" w:lineRule="exact"/>
              <w:rPr>
                <w:rFonts w:ascii="宋体" w:hAnsi="宋体" w:cs="宋体"/>
                <w:color w:val="auto"/>
                <w:szCs w:val="24"/>
              </w:rPr>
            </w:pPr>
          </w:p>
        </w:tc>
        <w:tc>
          <w:tcPr>
            <w:tcW w:w="890" w:type="dxa"/>
            <w:noWrap/>
          </w:tcPr>
          <w:p w14:paraId="48215CCB">
            <w:pPr>
              <w:spacing w:after="50" w:line="400" w:lineRule="exact"/>
              <w:rPr>
                <w:rFonts w:ascii="宋体" w:hAnsi="宋体" w:cs="宋体"/>
                <w:color w:val="auto"/>
              </w:rPr>
            </w:pPr>
          </w:p>
        </w:tc>
        <w:tc>
          <w:tcPr>
            <w:tcW w:w="1049" w:type="dxa"/>
            <w:tcBorders>
              <w:left w:val="single" w:color="auto" w:sz="4" w:space="0"/>
            </w:tcBorders>
            <w:noWrap/>
          </w:tcPr>
          <w:p w14:paraId="4FDCB4D4">
            <w:pPr>
              <w:spacing w:after="50" w:line="400" w:lineRule="exact"/>
              <w:rPr>
                <w:rFonts w:ascii="宋体" w:hAnsi="宋体" w:cs="宋体"/>
                <w:color w:val="auto"/>
              </w:rPr>
            </w:pPr>
          </w:p>
        </w:tc>
      </w:tr>
      <w:tr w14:paraId="3079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67" w:type="dxa"/>
            <w:noWrap/>
          </w:tcPr>
          <w:p w14:paraId="28FCC52C">
            <w:pPr>
              <w:spacing w:after="50" w:line="400" w:lineRule="exact"/>
              <w:rPr>
                <w:rFonts w:ascii="宋体" w:hAnsi="宋体" w:cs="宋体"/>
                <w:color w:val="auto"/>
              </w:rPr>
            </w:pPr>
          </w:p>
        </w:tc>
        <w:tc>
          <w:tcPr>
            <w:tcW w:w="1661" w:type="dxa"/>
            <w:noWrap/>
          </w:tcPr>
          <w:p w14:paraId="70BC1FAF">
            <w:pPr>
              <w:spacing w:after="50" w:line="400" w:lineRule="exact"/>
              <w:rPr>
                <w:rFonts w:ascii="宋体" w:hAnsi="宋体" w:cs="宋体"/>
                <w:color w:val="auto"/>
              </w:rPr>
            </w:pPr>
          </w:p>
        </w:tc>
        <w:tc>
          <w:tcPr>
            <w:tcW w:w="1287" w:type="dxa"/>
            <w:noWrap/>
          </w:tcPr>
          <w:p w14:paraId="7A21F05F">
            <w:pPr>
              <w:spacing w:after="50" w:line="400" w:lineRule="exact"/>
              <w:rPr>
                <w:rFonts w:ascii="宋体" w:hAnsi="宋体" w:cs="宋体"/>
                <w:color w:val="auto"/>
              </w:rPr>
            </w:pPr>
          </w:p>
        </w:tc>
        <w:tc>
          <w:tcPr>
            <w:tcW w:w="602" w:type="dxa"/>
            <w:noWrap/>
          </w:tcPr>
          <w:p w14:paraId="4DF3AE77">
            <w:pPr>
              <w:spacing w:after="50" w:line="400" w:lineRule="exact"/>
              <w:rPr>
                <w:rFonts w:ascii="宋体" w:hAnsi="宋体" w:cs="宋体"/>
                <w:color w:val="auto"/>
              </w:rPr>
            </w:pPr>
          </w:p>
        </w:tc>
        <w:tc>
          <w:tcPr>
            <w:tcW w:w="891" w:type="dxa"/>
            <w:noWrap/>
          </w:tcPr>
          <w:p w14:paraId="54375311">
            <w:pPr>
              <w:spacing w:after="50" w:line="400" w:lineRule="exact"/>
              <w:rPr>
                <w:rFonts w:ascii="宋体" w:hAnsi="宋体" w:cs="宋体"/>
                <w:color w:val="auto"/>
              </w:rPr>
            </w:pPr>
          </w:p>
        </w:tc>
        <w:tc>
          <w:tcPr>
            <w:tcW w:w="949" w:type="dxa"/>
            <w:noWrap/>
          </w:tcPr>
          <w:p w14:paraId="5EE412D0">
            <w:pPr>
              <w:spacing w:after="50" w:line="400" w:lineRule="exact"/>
              <w:rPr>
                <w:rFonts w:ascii="宋体" w:hAnsi="宋体" w:cs="宋体"/>
                <w:color w:val="auto"/>
              </w:rPr>
            </w:pPr>
          </w:p>
        </w:tc>
        <w:tc>
          <w:tcPr>
            <w:tcW w:w="1493" w:type="dxa"/>
            <w:noWrap/>
          </w:tcPr>
          <w:p w14:paraId="25B0D791">
            <w:pPr>
              <w:pStyle w:val="213"/>
              <w:spacing w:after="50" w:line="400" w:lineRule="exact"/>
              <w:rPr>
                <w:rFonts w:ascii="宋体" w:hAnsi="宋体" w:cs="宋体"/>
                <w:color w:val="auto"/>
                <w:szCs w:val="24"/>
              </w:rPr>
            </w:pPr>
          </w:p>
        </w:tc>
        <w:tc>
          <w:tcPr>
            <w:tcW w:w="890" w:type="dxa"/>
            <w:noWrap/>
          </w:tcPr>
          <w:p w14:paraId="42224300">
            <w:pPr>
              <w:spacing w:after="50" w:line="400" w:lineRule="exact"/>
              <w:rPr>
                <w:rFonts w:ascii="宋体" w:hAnsi="宋体" w:cs="宋体"/>
                <w:color w:val="auto"/>
              </w:rPr>
            </w:pPr>
          </w:p>
        </w:tc>
        <w:tc>
          <w:tcPr>
            <w:tcW w:w="1049" w:type="dxa"/>
            <w:tcBorders>
              <w:left w:val="single" w:color="auto" w:sz="4" w:space="0"/>
            </w:tcBorders>
            <w:noWrap/>
          </w:tcPr>
          <w:p w14:paraId="1F60A696">
            <w:pPr>
              <w:spacing w:after="50" w:line="400" w:lineRule="exact"/>
              <w:rPr>
                <w:rFonts w:ascii="宋体" w:hAnsi="宋体" w:cs="宋体"/>
                <w:color w:val="auto"/>
              </w:rPr>
            </w:pPr>
          </w:p>
        </w:tc>
      </w:tr>
    </w:tbl>
    <w:p w14:paraId="700D27F3">
      <w:pPr>
        <w:spacing w:after="50" w:line="400" w:lineRule="exact"/>
        <w:rPr>
          <w:rFonts w:ascii="宋体" w:hAnsi="宋体" w:cs="宋体"/>
          <w:b/>
          <w:bCs/>
          <w:color w:val="auto"/>
          <w:sz w:val="32"/>
        </w:rPr>
      </w:pPr>
    </w:p>
    <w:p w14:paraId="530CFE2C">
      <w:pPr>
        <w:spacing w:after="50" w:line="400" w:lineRule="exact"/>
        <w:rPr>
          <w:rFonts w:ascii="宋体" w:hAnsi="宋体" w:cs="宋体"/>
          <w:b/>
          <w:bCs/>
          <w:color w:val="auto"/>
          <w:sz w:val="28"/>
          <w:szCs w:val="28"/>
        </w:rPr>
      </w:pPr>
    </w:p>
    <w:p w14:paraId="41DCC279">
      <w:pPr>
        <w:spacing w:after="50" w:line="400" w:lineRule="exact"/>
        <w:rPr>
          <w:rFonts w:ascii="宋体" w:hAnsi="宋体" w:cs="宋体"/>
          <w:color w:val="auto"/>
          <w:sz w:val="24"/>
        </w:rPr>
      </w:pPr>
      <w:r>
        <w:rPr>
          <w:rFonts w:hint="eastAsia" w:ascii="宋体" w:hAnsi="宋体" w:cs="宋体"/>
          <w:b/>
          <w:bCs/>
          <w:color w:val="auto"/>
          <w:sz w:val="24"/>
        </w:rPr>
        <w:t>附表二  ⑵劳动力计划表</w:t>
      </w:r>
    </w:p>
    <w:p w14:paraId="42FC022B">
      <w:pPr>
        <w:spacing w:after="50" w:line="400" w:lineRule="exact"/>
        <w:ind w:firstLine="3120" w:firstLineChars="1300"/>
        <w:rPr>
          <w:rFonts w:ascii="宋体" w:hAnsi="宋体" w:cs="宋体"/>
          <w:color w:val="auto"/>
          <w:sz w:val="24"/>
        </w:rPr>
      </w:pPr>
      <w:r>
        <w:rPr>
          <w:rFonts w:hint="eastAsia" w:ascii="宋体" w:hAnsi="宋体" w:cs="宋体"/>
          <w:color w:val="auto"/>
          <w:sz w:val="24"/>
        </w:rPr>
        <w:t xml:space="preserve">                                       单位： 人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1103"/>
        <w:gridCol w:w="1103"/>
        <w:gridCol w:w="1103"/>
        <w:gridCol w:w="1103"/>
        <w:gridCol w:w="1286"/>
        <w:gridCol w:w="1286"/>
        <w:gridCol w:w="1388"/>
      </w:tblGrid>
      <w:tr w14:paraId="190C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28" w:type="dxa"/>
            <w:vMerge w:val="restart"/>
            <w:noWrap/>
            <w:vAlign w:val="center"/>
          </w:tcPr>
          <w:p w14:paraId="4DB2393B">
            <w:pPr>
              <w:spacing w:after="50" w:line="400" w:lineRule="exact"/>
              <w:rPr>
                <w:rFonts w:ascii="宋体" w:hAnsi="宋体" w:cs="宋体"/>
                <w:color w:val="auto"/>
              </w:rPr>
            </w:pPr>
            <w:r>
              <w:rPr>
                <w:rFonts w:hint="eastAsia" w:ascii="宋体" w:hAnsi="宋体" w:cs="宋体"/>
                <w:color w:val="auto"/>
              </w:rPr>
              <w:t>工种</w:t>
            </w:r>
          </w:p>
        </w:tc>
        <w:tc>
          <w:tcPr>
            <w:tcW w:w="8372" w:type="dxa"/>
            <w:gridSpan w:val="7"/>
            <w:noWrap/>
            <w:vAlign w:val="center"/>
          </w:tcPr>
          <w:p w14:paraId="685BEE16">
            <w:pPr>
              <w:spacing w:after="50" w:line="400" w:lineRule="exact"/>
              <w:rPr>
                <w:rFonts w:ascii="宋体" w:hAnsi="宋体" w:cs="宋体"/>
                <w:color w:val="auto"/>
              </w:rPr>
            </w:pPr>
            <w:r>
              <w:rPr>
                <w:rFonts w:hint="eastAsia" w:ascii="宋体" w:hAnsi="宋体" w:cs="宋体"/>
                <w:color w:val="auto"/>
              </w:rPr>
              <w:t>按</w:t>
            </w:r>
            <w:r>
              <w:rPr>
                <w:rFonts w:hint="eastAsia" w:ascii="宋体" w:hAnsi="宋体" w:cs="宋体"/>
                <w:color w:val="auto"/>
                <w:szCs w:val="20"/>
              </w:rPr>
              <w:t>项目</w:t>
            </w:r>
            <w:r>
              <w:rPr>
                <w:rFonts w:hint="eastAsia" w:ascii="宋体" w:hAnsi="宋体" w:cs="宋体"/>
                <w:color w:val="auto"/>
              </w:rPr>
              <w:t>施工阶段投入劳动力情况</w:t>
            </w:r>
          </w:p>
        </w:tc>
      </w:tr>
      <w:tr w14:paraId="5717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28" w:type="dxa"/>
            <w:vMerge w:val="continue"/>
            <w:noWrap/>
            <w:vAlign w:val="center"/>
          </w:tcPr>
          <w:p w14:paraId="34F0167A">
            <w:pPr>
              <w:spacing w:after="50" w:line="400" w:lineRule="exact"/>
              <w:rPr>
                <w:rFonts w:ascii="宋体" w:hAnsi="宋体" w:cs="宋体"/>
                <w:color w:val="auto"/>
                <w:sz w:val="24"/>
              </w:rPr>
            </w:pPr>
          </w:p>
        </w:tc>
        <w:tc>
          <w:tcPr>
            <w:tcW w:w="1103" w:type="dxa"/>
            <w:noWrap/>
            <w:vAlign w:val="center"/>
          </w:tcPr>
          <w:p w14:paraId="5FA29100">
            <w:pPr>
              <w:spacing w:after="50" w:line="400" w:lineRule="exact"/>
              <w:rPr>
                <w:rFonts w:ascii="宋体" w:hAnsi="宋体" w:cs="宋体"/>
                <w:color w:val="auto"/>
                <w:sz w:val="24"/>
              </w:rPr>
            </w:pPr>
          </w:p>
        </w:tc>
        <w:tc>
          <w:tcPr>
            <w:tcW w:w="1103" w:type="dxa"/>
            <w:noWrap/>
            <w:vAlign w:val="center"/>
          </w:tcPr>
          <w:p w14:paraId="6C56416E">
            <w:pPr>
              <w:spacing w:after="50" w:line="400" w:lineRule="exact"/>
              <w:rPr>
                <w:rFonts w:ascii="宋体" w:hAnsi="宋体" w:cs="宋体"/>
                <w:color w:val="auto"/>
                <w:sz w:val="24"/>
              </w:rPr>
            </w:pPr>
          </w:p>
        </w:tc>
        <w:tc>
          <w:tcPr>
            <w:tcW w:w="1103" w:type="dxa"/>
            <w:noWrap/>
            <w:vAlign w:val="center"/>
          </w:tcPr>
          <w:p w14:paraId="0635BB41">
            <w:pPr>
              <w:spacing w:after="50" w:line="400" w:lineRule="exact"/>
              <w:rPr>
                <w:rFonts w:ascii="宋体" w:hAnsi="宋体" w:cs="宋体"/>
                <w:color w:val="auto"/>
                <w:sz w:val="24"/>
              </w:rPr>
            </w:pPr>
          </w:p>
        </w:tc>
        <w:tc>
          <w:tcPr>
            <w:tcW w:w="1103" w:type="dxa"/>
            <w:noWrap/>
            <w:vAlign w:val="center"/>
          </w:tcPr>
          <w:p w14:paraId="6EAA25EC">
            <w:pPr>
              <w:spacing w:after="50" w:line="400" w:lineRule="exact"/>
              <w:rPr>
                <w:rFonts w:ascii="宋体" w:hAnsi="宋体" w:cs="宋体"/>
                <w:color w:val="auto"/>
                <w:sz w:val="24"/>
              </w:rPr>
            </w:pPr>
          </w:p>
        </w:tc>
        <w:tc>
          <w:tcPr>
            <w:tcW w:w="1286" w:type="dxa"/>
            <w:noWrap/>
            <w:vAlign w:val="center"/>
          </w:tcPr>
          <w:p w14:paraId="112371E8">
            <w:pPr>
              <w:spacing w:after="50" w:line="400" w:lineRule="exact"/>
              <w:rPr>
                <w:rFonts w:ascii="宋体" w:hAnsi="宋体" w:cs="宋体"/>
                <w:color w:val="auto"/>
                <w:sz w:val="24"/>
              </w:rPr>
            </w:pPr>
          </w:p>
        </w:tc>
        <w:tc>
          <w:tcPr>
            <w:tcW w:w="1286" w:type="dxa"/>
            <w:noWrap/>
            <w:vAlign w:val="center"/>
          </w:tcPr>
          <w:p w14:paraId="7BDD07FF">
            <w:pPr>
              <w:spacing w:after="50" w:line="400" w:lineRule="exact"/>
              <w:rPr>
                <w:rFonts w:ascii="宋体" w:hAnsi="宋体" w:cs="宋体"/>
                <w:color w:val="auto"/>
                <w:sz w:val="24"/>
              </w:rPr>
            </w:pPr>
          </w:p>
        </w:tc>
        <w:tc>
          <w:tcPr>
            <w:tcW w:w="1388" w:type="dxa"/>
            <w:noWrap/>
            <w:vAlign w:val="center"/>
          </w:tcPr>
          <w:p w14:paraId="3C25546A">
            <w:pPr>
              <w:spacing w:after="50" w:line="400" w:lineRule="exact"/>
              <w:rPr>
                <w:rFonts w:ascii="宋体" w:hAnsi="宋体" w:cs="宋体"/>
                <w:color w:val="auto"/>
                <w:sz w:val="24"/>
              </w:rPr>
            </w:pPr>
          </w:p>
        </w:tc>
      </w:tr>
      <w:tr w14:paraId="18E7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noWrap/>
          </w:tcPr>
          <w:p w14:paraId="5B91AAFF">
            <w:pPr>
              <w:spacing w:after="50" w:line="400" w:lineRule="exact"/>
              <w:rPr>
                <w:rFonts w:ascii="宋体" w:hAnsi="宋体" w:cs="宋体"/>
                <w:color w:val="auto"/>
                <w:sz w:val="24"/>
              </w:rPr>
            </w:pPr>
          </w:p>
        </w:tc>
        <w:tc>
          <w:tcPr>
            <w:tcW w:w="1103" w:type="dxa"/>
            <w:noWrap/>
          </w:tcPr>
          <w:p w14:paraId="572A555A">
            <w:pPr>
              <w:spacing w:after="50" w:line="400" w:lineRule="exact"/>
              <w:rPr>
                <w:rFonts w:ascii="宋体" w:hAnsi="宋体" w:cs="宋体"/>
                <w:color w:val="auto"/>
                <w:sz w:val="24"/>
              </w:rPr>
            </w:pPr>
          </w:p>
        </w:tc>
        <w:tc>
          <w:tcPr>
            <w:tcW w:w="1103" w:type="dxa"/>
            <w:noWrap/>
          </w:tcPr>
          <w:p w14:paraId="357D71BF">
            <w:pPr>
              <w:spacing w:after="50" w:line="400" w:lineRule="exact"/>
              <w:rPr>
                <w:rFonts w:ascii="宋体" w:hAnsi="宋体" w:cs="宋体"/>
                <w:color w:val="auto"/>
                <w:sz w:val="24"/>
              </w:rPr>
            </w:pPr>
          </w:p>
        </w:tc>
        <w:tc>
          <w:tcPr>
            <w:tcW w:w="1103" w:type="dxa"/>
            <w:noWrap/>
          </w:tcPr>
          <w:p w14:paraId="7AE5EB02">
            <w:pPr>
              <w:spacing w:after="50" w:line="400" w:lineRule="exact"/>
              <w:rPr>
                <w:rFonts w:ascii="宋体" w:hAnsi="宋体" w:cs="宋体"/>
                <w:color w:val="auto"/>
                <w:sz w:val="24"/>
              </w:rPr>
            </w:pPr>
          </w:p>
        </w:tc>
        <w:tc>
          <w:tcPr>
            <w:tcW w:w="1103" w:type="dxa"/>
            <w:noWrap/>
          </w:tcPr>
          <w:p w14:paraId="5A02F5A8">
            <w:pPr>
              <w:spacing w:after="50" w:line="400" w:lineRule="exact"/>
              <w:rPr>
                <w:rFonts w:ascii="宋体" w:hAnsi="宋体" w:cs="宋体"/>
                <w:color w:val="auto"/>
                <w:sz w:val="24"/>
              </w:rPr>
            </w:pPr>
          </w:p>
        </w:tc>
        <w:tc>
          <w:tcPr>
            <w:tcW w:w="1286" w:type="dxa"/>
            <w:noWrap/>
          </w:tcPr>
          <w:p w14:paraId="7BE5496F">
            <w:pPr>
              <w:spacing w:after="50" w:line="400" w:lineRule="exact"/>
              <w:rPr>
                <w:rFonts w:ascii="宋体" w:hAnsi="宋体" w:cs="宋体"/>
                <w:color w:val="auto"/>
                <w:sz w:val="24"/>
              </w:rPr>
            </w:pPr>
          </w:p>
        </w:tc>
        <w:tc>
          <w:tcPr>
            <w:tcW w:w="1286" w:type="dxa"/>
            <w:noWrap/>
          </w:tcPr>
          <w:p w14:paraId="1BB88F4A">
            <w:pPr>
              <w:spacing w:after="50" w:line="400" w:lineRule="exact"/>
              <w:rPr>
                <w:rFonts w:ascii="宋体" w:hAnsi="宋体" w:cs="宋体"/>
                <w:color w:val="auto"/>
                <w:sz w:val="24"/>
              </w:rPr>
            </w:pPr>
          </w:p>
        </w:tc>
        <w:tc>
          <w:tcPr>
            <w:tcW w:w="1388" w:type="dxa"/>
            <w:noWrap/>
          </w:tcPr>
          <w:p w14:paraId="210A862F">
            <w:pPr>
              <w:spacing w:after="50" w:line="400" w:lineRule="exact"/>
              <w:rPr>
                <w:rFonts w:ascii="宋体" w:hAnsi="宋体" w:cs="宋体"/>
                <w:color w:val="auto"/>
                <w:sz w:val="24"/>
              </w:rPr>
            </w:pPr>
          </w:p>
        </w:tc>
      </w:tr>
      <w:tr w14:paraId="027F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noWrap/>
          </w:tcPr>
          <w:p w14:paraId="63495135">
            <w:pPr>
              <w:spacing w:after="50" w:line="400" w:lineRule="exact"/>
              <w:rPr>
                <w:rFonts w:ascii="宋体" w:hAnsi="宋体" w:cs="宋体"/>
                <w:color w:val="auto"/>
                <w:sz w:val="24"/>
              </w:rPr>
            </w:pPr>
          </w:p>
        </w:tc>
        <w:tc>
          <w:tcPr>
            <w:tcW w:w="1103" w:type="dxa"/>
            <w:noWrap/>
          </w:tcPr>
          <w:p w14:paraId="455BD540">
            <w:pPr>
              <w:spacing w:after="50" w:line="400" w:lineRule="exact"/>
              <w:rPr>
                <w:rFonts w:ascii="宋体" w:hAnsi="宋体" w:cs="宋体"/>
                <w:color w:val="auto"/>
                <w:sz w:val="24"/>
              </w:rPr>
            </w:pPr>
          </w:p>
        </w:tc>
        <w:tc>
          <w:tcPr>
            <w:tcW w:w="1103" w:type="dxa"/>
            <w:noWrap/>
          </w:tcPr>
          <w:p w14:paraId="04CFDF9F">
            <w:pPr>
              <w:spacing w:after="50" w:line="400" w:lineRule="exact"/>
              <w:rPr>
                <w:rFonts w:ascii="宋体" w:hAnsi="宋体" w:cs="宋体"/>
                <w:color w:val="auto"/>
                <w:sz w:val="24"/>
              </w:rPr>
            </w:pPr>
          </w:p>
        </w:tc>
        <w:tc>
          <w:tcPr>
            <w:tcW w:w="1103" w:type="dxa"/>
            <w:noWrap/>
          </w:tcPr>
          <w:p w14:paraId="0E5D4C1A">
            <w:pPr>
              <w:spacing w:after="50" w:line="400" w:lineRule="exact"/>
              <w:rPr>
                <w:rFonts w:ascii="宋体" w:hAnsi="宋体" w:cs="宋体"/>
                <w:color w:val="auto"/>
                <w:sz w:val="24"/>
              </w:rPr>
            </w:pPr>
          </w:p>
        </w:tc>
        <w:tc>
          <w:tcPr>
            <w:tcW w:w="1103" w:type="dxa"/>
            <w:noWrap/>
          </w:tcPr>
          <w:p w14:paraId="06B74A75">
            <w:pPr>
              <w:spacing w:after="50" w:line="400" w:lineRule="exact"/>
              <w:rPr>
                <w:rFonts w:ascii="宋体" w:hAnsi="宋体" w:cs="宋体"/>
                <w:color w:val="auto"/>
                <w:sz w:val="24"/>
              </w:rPr>
            </w:pPr>
          </w:p>
        </w:tc>
        <w:tc>
          <w:tcPr>
            <w:tcW w:w="1286" w:type="dxa"/>
            <w:noWrap/>
          </w:tcPr>
          <w:p w14:paraId="7AD7A2AC">
            <w:pPr>
              <w:pStyle w:val="35"/>
              <w:tabs>
                <w:tab w:val="right" w:leader="dot" w:pos="9174"/>
              </w:tabs>
              <w:rPr>
                <w:rFonts w:ascii="宋体" w:hAnsi="宋体" w:cs="宋体"/>
                <w:color w:val="auto"/>
              </w:rPr>
            </w:pPr>
          </w:p>
        </w:tc>
        <w:tc>
          <w:tcPr>
            <w:tcW w:w="1286" w:type="dxa"/>
            <w:noWrap/>
          </w:tcPr>
          <w:p w14:paraId="17B9C23C">
            <w:pPr>
              <w:spacing w:after="50" w:line="400" w:lineRule="exact"/>
              <w:rPr>
                <w:rFonts w:ascii="宋体" w:hAnsi="宋体" w:cs="宋体"/>
                <w:color w:val="auto"/>
                <w:sz w:val="24"/>
              </w:rPr>
            </w:pPr>
          </w:p>
        </w:tc>
        <w:tc>
          <w:tcPr>
            <w:tcW w:w="1388" w:type="dxa"/>
            <w:noWrap/>
          </w:tcPr>
          <w:p w14:paraId="654C1E12">
            <w:pPr>
              <w:spacing w:after="50" w:line="400" w:lineRule="exact"/>
              <w:rPr>
                <w:rFonts w:ascii="宋体" w:hAnsi="宋体" w:cs="宋体"/>
                <w:color w:val="auto"/>
                <w:sz w:val="24"/>
              </w:rPr>
            </w:pPr>
          </w:p>
        </w:tc>
      </w:tr>
      <w:tr w14:paraId="35F2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noWrap/>
          </w:tcPr>
          <w:p w14:paraId="5D1B6D01">
            <w:pPr>
              <w:spacing w:after="50" w:line="400" w:lineRule="exact"/>
              <w:rPr>
                <w:rFonts w:ascii="宋体" w:hAnsi="宋体" w:cs="宋体"/>
                <w:color w:val="auto"/>
                <w:sz w:val="24"/>
              </w:rPr>
            </w:pPr>
          </w:p>
        </w:tc>
        <w:tc>
          <w:tcPr>
            <w:tcW w:w="1103" w:type="dxa"/>
            <w:noWrap/>
          </w:tcPr>
          <w:p w14:paraId="00BA1DB5">
            <w:pPr>
              <w:spacing w:after="50" w:line="400" w:lineRule="exact"/>
              <w:rPr>
                <w:rFonts w:ascii="宋体" w:hAnsi="宋体" w:cs="宋体"/>
                <w:color w:val="auto"/>
                <w:sz w:val="24"/>
              </w:rPr>
            </w:pPr>
          </w:p>
        </w:tc>
        <w:tc>
          <w:tcPr>
            <w:tcW w:w="1103" w:type="dxa"/>
            <w:noWrap/>
          </w:tcPr>
          <w:p w14:paraId="469A7655">
            <w:pPr>
              <w:spacing w:after="50" w:line="400" w:lineRule="exact"/>
              <w:rPr>
                <w:rFonts w:ascii="宋体" w:hAnsi="宋体" w:cs="宋体"/>
                <w:color w:val="auto"/>
                <w:sz w:val="24"/>
              </w:rPr>
            </w:pPr>
          </w:p>
        </w:tc>
        <w:tc>
          <w:tcPr>
            <w:tcW w:w="1103" w:type="dxa"/>
            <w:noWrap/>
          </w:tcPr>
          <w:p w14:paraId="15930FF8">
            <w:pPr>
              <w:spacing w:after="50" w:line="400" w:lineRule="exact"/>
              <w:rPr>
                <w:rFonts w:ascii="宋体" w:hAnsi="宋体" w:cs="宋体"/>
                <w:color w:val="auto"/>
                <w:sz w:val="24"/>
              </w:rPr>
            </w:pPr>
          </w:p>
        </w:tc>
        <w:tc>
          <w:tcPr>
            <w:tcW w:w="1103" w:type="dxa"/>
            <w:noWrap/>
          </w:tcPr>
          <w:p w14:paraId="0DF9F5FB">
            <w:pPr>
              <w:spacing w:after="50" w:line="400" w:lineRule="exact"/>
              <w:rPr>
                <w:rFonts w:ascii="宋体" w:hAnsi="宋体" w:cs="宋体"/>
                <w:color w:val="auto"/>
                <w:sz w:val="24"/>
              </w:rPr>
            </w:pPr>
          </w:p>
        </w:tc>
        <w:tc>
          <w:tcPr>
            <w:tcW w:w="1286" w:type="dxa"/>
            <w:noWrap/>
          </w:tcPr>
          <w:p w14:paraId="42C40F1A">
            <w:pPr>
              <w:spacing w:after="50" w:line="400" w:lineRule="exact"/>
              <w:rPr>
                <w:rFonts w:ascii="宋体" w:hAnsi="宋体" w:cs="宋体"/>
                <w:color w:val="auto"/>
                <w:sz w:val="24"/>
              </w:rPr>
            </w:pPr>
          </w:p>
        </w:tc>
        <w:tc>
          <w:tcPr>
            <w:tcW w:w="1286" w:type="dxa"/>
            <w:noWrap/>
          </w:tcPr>
          <w:p w14:paraId="38A5392D">
            <w:pPr>
              <w:spacing w:after="50" w:line="400" w:lineRule="exact"/>
              <w:rPr>
                <w:rFonts w:ascii="宋体" w:hAnsi="宋体" w:cs="宋体"/>
                <w:color w:val="auto"/>
                <w:sz w:val="24"/>
              </w:rPr>
            </w:pPr>
          </w:p>
        </w:tc>
        <w:tc>
          <w:tcPr>
            <w:tcW w:w="1388" w:type="dxa"/>
            <w:noWrap/>
          </w:tcPr>
          <w:p w14:paraId="1C256BE5">
            <w:pPr>
              <w:spacing w:after="50" w:line="400" w:lineRule="exact"/>
              <w:rPr>
                <w:rFonts w:ascii="宋体" w:hAnsi="宋体" w:cs="宋体"/>
                <w:color w:val="auto"/>
                <w:sz w:val="24"/>
              </w:rPr>
            </w:pPr>
          </w:p>
        </w:tc>
      </w:tr>
      <w:tr w14:paraId="35BE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noWrap/>
          </w:tcPr>
          <w:p w14:paraId="3F32C7CF">
            <w:pPr>
              <w:spacing w:after="50" w:line="400" w:lineRule="exact"/>
              <w:rPr>
                <w:rFonts w:ascii="宋体" w:hAnsi="宋体" w:cs="宋体"/>
                <w:color w:val="auto"/>
                <w:sz w:val="24"/>
              </w:rPr>
            </w:pPr>
          </w:p>
        </w:tc>
        <w:tc>
          <w:tcPr>
            <w:tcW w:w="1103" w:type="dxa"/>
            <w:noWrap/>
          </w:tcPr>
          <w:p w14:paraId="36FF4CCA">
            <w:pPr>
              <w:spacing w:after="50" w:line="400" w:lineRule="exact"/>
              <w:rPr>
                <w:rFonts w:ascii="宋体" w:hAnsi="宋体" w:cs="宋体"/>
                <w:color w:val="auto"/>
                <w:sz w:val="24"/>
              </w:rPr>
            </w:pPr>
          </w:p>
        </w:tc>
        <w:tc>
          <w:tcPr>
            <w:tcW w:w="1103" w:type="dxa"/>
            <w:noWrap/>
          </w:tcPr>
          <w:p w14:paraId="399DD55D">
            <w:pPr>
              <w:spacing w:after="50" w:line="400" w:lineRule="exact"/>
              <w:rPr>
                <w:rFonts w:ascii="宋体" w:hAnsi="宋体" w:cs="宋体"/>
                <w:color w:val="auto"/>
                <w:sz w:val="24"/>
              </w:rPr>
            </w:pPr>
          </w:p>
        </w:tc>
        <w:tc>
          <w:tcPr>
            <w:tcW w:w="1103" w:type="dxa"/>
            <w:noWrap/>
          </w:tcPr>
          <w:p w14:paraId="69A3E32E">
            <w:pPr>
              <w:spacing w:after="50" w:line="400" w:lineRule="exact"/>
              <w:rPr>
                <w:rFonts w:ascii="宋体" w:hAnsi="宋体" w:cs="宋体"/>
                <w:color w:val="auto"/>
                <w:sz w:val="24"/>
              </w:rPr>
            </w:pPr>
          </w:p>
        </w:tc>
        <w:tc>
          <w:tcPr>
            <w:tcW w:w="1103" w:type="dxa"/>
            <w:noWrap/>
          </w:tcPr>
          <w:p w14:paraId="2B67E324">
            <w:pPr>
              <w:spacing w:after="50" w:line="400" w:lineRule="exact"/>
              <w:rPr>
                <w:rFonts w:ascii="宋体" w:hAnsi="宋体" w:cs="宋体"/>
                <w:color w:val="auto"/>
                <w:sz w:val="24"/>
              </w:rPr>
            </w:pPr>
          </w:p>
        </w:tc>
        <w:tc>
          <w:tcPr>
            <w:tcW w:w="1286" w:type="dxa"/>
            <w:noWrap/>
          </w:tcPr>
          <w:p w14:paraId="2A298C7E">
            <w:pPr>
              <w:spacing w:after="50" w:line="400" w:lineRule="exact"/>
              <w:rPr>
                <w:rFonts w:ascii="宋体" w:hAnsi="宋体" w:cs="宋体"/>
                <w:color w:val="auto"/>
                <w:sz w:val="24"/>
              </w:rPr>
            </w:pPr>
          </w:p>
        </w:tc>
        <w:tc>
          <w:tcPr>
            <w:tcW w:w="1286" w:type="dxa"/>
            <w:noWrap/>
          </w:tcPr>
          <w:p w14:paraId="061B6A8A">
            <w:pPr>
              <w:spacing w:after="50" w:line="400" w:lineRule="exact"/>
              <w:rPr>
                <w:rFonts w:ascii="宋体" w:hAnsi="宋体" w:cs="宋体"/>
                <w:color w:val="auto"/>
                <w:sz w:val="24"/>
              </w:rPr>
            </w:pPr>
          </w:p>
        </w:tc>
        <w:tc>
          <w:tcPr>
            <w:tcW w:w="1388" w:type="dxa"/>
            <w:noWrap/>
          </w:tcPr>
          <w:p w14:paraId="15C1AAAE">
            <w:pPr>
              <w:spacing w:after="50" w:line="400" w:lineRule="exact"/>
              <w:rPr>
                <w:rFonts w:ascii="宋体" w:hAnsi="宋体" w:cs="宋体"/>
                <w:color w:val="auto"/>
                <w:sz w:val="24"/>
              </w:rPr>
            </w:pPr>
          </w:p>
        </w:tc>
      </w:tr>
      <w:tr w14:paraId="3FB6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noWrap/>
          </w:tcPr>
          <w:p w14:paraId="63B641C2">
            <w:pPr>
              <w:spacing w:after="50" w:line="400" w:lineRule="exact"/>
              <w:rPr>
                <w:rFonts w:ascii="宋体" w:hAnsi="宋体" w:cs="宋体"/>
                <w:color w:val="auto"/>
                <w:sz w:val="24"/>
              </w:rPr>
            </w:pPr>
          </w:p>
        </w:tc>
        <w:tc>
          <w:tcPr>
            <w:tcW w:w="1103" w:type="dxa"/>
            <w:noWrap/>
          </w:tcPr>
          <w:p w14:paraId="61DB6E58">
            <w:pPr>
              <w:spacing w:after="50" w:line="400" w:lineRule="exact"/>
              <w:rPr>
                <w:rFonts w:ascii="宋体" w:hAnsi="宋体" w:cs="宋体"/>
                <w:color w:val="auto"/>
                <w:sz w:val="24"/>
              </w:rPr>
            </w:pPr>
          </w:p>
        </w:tc>
        <w:tc>
          <w:tcPr>
            <w:tcW w:w="1103" w:type="dxa"/>
            <w:noWrap/>
          </w:tcPr>
          <w:p w14:paraId="1B0D926B">
            <w:pPr>
              <w:spacing w:after="50" w:line="400" w:lineRule="exact"/>
              <w:rPr>
                <w:rFonts w:ascii="宋体" w:hAnsi="宋体" w:cs="宋体"/>
                <w:color w:val="auto"/>
                <w:sz w:val="24"/>
              </w:rPr>
            </w:pPr>
          </w:p>
        </w:tc>
        <w:tc>
          <w:tcPr>
            <w:tcW w:w="1103" w:type="dxa"/>
            <w:noWrap/>
          </w:tcPr>
          <w:p w14:paraId="170C656F">
            <w:pPr>
              <w:spacing w:after="50" w:line="400" w:lineRule="exact"/>
              <w:rPr>
                <w:rFonts w:ascii="宋体" w:hAnsi="宋体" w:cs="宋体"/>
                <w:color w:val="auto"/>
                <w:sz w:val="24"/>
              </w:rPr>
            </w:pPr>
          </w:p>
        </w:tc>
        <w:tc>
          <w:tcPr>
            <w:tcW w:w="1103" w:type="dxa"/>
            <w:noWrap/>
          </w:tcPr>
          <w:p w14:paraId="27DAF3AD">
            <w:pPr>
              <w:spacing w:after="50" w:line="400" w:lineRule="exact"/>
              <w:rPr>
                <w:rFonts w:ascii="宋体" w:hAnsi="宋体" w:cs="宋体"/>
                <w:color w:val="auto"/>
                <w:sz w:val="24"/>
              </w:rPr>
            </w:pPr>
          </w:p>
        </w:tc>
        <w:tc>
          <w:tcPr>
            <w:tcW w:w="1286" w:type="dxa"/>
            <w:noWrap/>
          </w:tcPr>
          <w:p w14:paraId="6C58D310">
            <w:pPr>
              <w:spacing w:after="50" w:line="400" w:lineRule="exact"/>
              <w:rPr>
                <w:rFonts w:ascii="宋体" w:hAnsi="宋体" w:cs="宋体"/>
                <w:color w:val="auto"/>
                <w:sz w:val="24"/>
              </w:rPr>
            </w:pPr>
          </w:p>
        </w:tc>
        <w:tc>
          <w:tcPr>
            <w:tcW w:w="1286" w:type="dxa"/>
            <w:noWrap/>
          </w:tcPr>
          <w:p w14:paraId="64EAD62D">
            <w:pPr>
              <w:spacing w:after="50" w:line="400" w:lineRule="exact"/>
              <w:rPr>
                <w:rFonts w:ascii="宋体" w:hAnsi="宋体" w:cs="宋体"/>
                <w:color w:val="auto"/>
                <w:sz w:val="24"/>
              </w:rPr>
            </w:pPr>
          </w:p>
        </w:tc>
        <w:tc>
          <w:tcPr>
            <w:tcW w:w="1388" w:type="dxa"/>
            <w:noWrap/>
          </w:tcPr>
          <w:p w14:paraId="7D0EEF47">
            <w:pPr>
              <w:spacing w:after="50" w:line="400" w:lineRule="exact"/>
              <w:rPr>
                <w:rFonts w:ascii="宋体" w:hAnsi="宋体" w:cs="宋体"/>
                <w:color w:val="auto"/>
                <w:sz w:val="24"/>
              </w:rPr>
            </w:pPr>
          </w:p>
        </w:tc>
      </w:tr>
    </w:tbl>
    <w:p w14:paraId="76D12177">
      <w:pPr>
        <w:spacing w:after="50" w:line="400" w:lineRule="exact"/>
        <w:rPr>
          <w:rFonts w:ascii="宋体" w:hAnsi="宋体" w:cs="宋体"/>
          <w:snapToGrid w:val="0"/>
          <w:color w:val="auto"/>
          <w:kern w:val="0"/>
        </w:rPr>
      </w:pPr>
      <w:r>
        <w:rPr>
          <w:rFonts w:hint="eastAsia" w:ascii="宋体" w:hAnsi="宋体" w:cs="宋体"/>
          <w:snapToGrid w:val="0"/>
          <w:color w:val="auto"/>
          <w:kern w:val="0"/>
        </w:rPr>
        <w:t>注：1.竞标人应按所列格式提交包括分包人在内的估计劳动力计划表。</w:t>
      </w:r>
    </w:p>
    <w:p w14:paraId="48E84300">
      <w:pPr>
        <w:spacing w:after="50" w:line="400" w:lineRule="exact"/>
        <w:ind w:firstLine="424" w:firstLineChars="200"/>
        <w:rPr>
          <w:rFonts w:ascii="宋体" w:hAnsi="宋体" w:cs="宋体"/>
          <w:snapToGrid w:val="0"/>
          <w:color w:val="auto"/>
        </w:rPr>
      </w:pPr>
      <w:r>
        <w:rPr>
          <w:rFonts w:hint="eastAsia" w:ascii="宋体" w:hAnsi="宋体" w:cs="宋体"/>
          <w:snapToGrid w:val="0"/>
          <w:color w:val="auto"/>
          <w:spacing w:val="1"/>
        </w:rPr>
        <w:t>2.本计划表是以每班八小时工作制为基础编制</w:t>
      </w:r>
      <w:r>
        <w:rPr>
          <w:rFonts w:hint="eastAsia" w:ascii="宋体" w:hAnsi="宋体" w:cs="宋体"/>
          <w:snapToGrid w:val="0"/>
          <w:color w:val="auto"/>
          <w:spacing w:val="-7"/>
        </w:rPr>
        <w:t>的</w:t>
      </w:r>
      <w:r>
        <w:rPr>
          <w:rFonts w:hint="eastAsia" w:ascii="宋体" w:hAnsi="宋体" w:cs="宋体"/>
          <w:snapToGrid w:val="0"/>
          <w:color w:val="auto"/>
        </w:rPr>
        <w:t>。</w:t>
      </w:r>
    </w:p>
    <w:p w14:paraId="79FA87B0">
      <w:pPr>
        <w:spacing w:after="50" w:line="400" w:lineRule="exact"/>
        <w:rPr>
          <w:rFonts w:ascii="宋体" w:hAnsi="宋体" w:cs="宋体"/>
          <w:snapToGrid w:val="0"/>
          <w:color w:val="auto"/>
        </w:rPr>
      </w:pPr>
      <w:r>
        <w:rPr>
          <w:rFonts w:hint="eastAsia" w:ascii="宋体" w:hAnsi="宋体" w:cs="宋体"/>
          <w:snapToGrid w:val="0"/>
          <w:color w:val="auto"/>
        </w:rPr>
        <w:br w:type="page"/>
      </w:r>
    </w:p>
    <w:p w14:paraId="7B8BE4E4">
      <w:pPr>
        <w:spacing w:after="50" w:line="400" w:lineRule="exact"/>
        <w:rPr>
          <w:rFonts w:ascii="宋体" w:hAnsi="宋体" w:cs="宋体"/>
          <w:b/>
          <w:bCs/>
          <w:color w:val="auto"/>
          <w:sz w:val="24"/>
        </w:rPr>
      </w:pPr>
      <w:r>
        <w:rPr>
          <w:rFonts w:hint="eastAsia" w:ascii="宋体" w:hAnsi="宋体" w:cs="宋体"/>
          <w:b/>
          <w:snapToGrid w:val="0"/>
          <w:color w:val="auto"/>
          <w:sz w:val="24"/>
        </w:rPr>
        <w:t xml:space="preserve">附表三  </w:t>
      </w:r>
      <w:r>
        <w:rPr>
          <w:rFonts w:hint="eastAsia" w:ascii="宋体" w:hAnsi="宋体" w:cs="宋体"/>
          <w:b/>
          <w:bCs/>
          <w:color w:val="auto"/>
          <w:sz w:val="24"/>
        </w:rPr>
        <w:t>计划开、竣工日期和施工进度横道图（或网络网）</w:t>
      </w:r>
    </w:p>
    <w:p w14:paraId="1A06C4AE">
      <w:pPr>
        <w:snapToGrid w:val="0"/>
        <w:spacing w:after="50" w:line="400" w:lineRule="exact"/>
        <w:rPr>
          <w:rFonts w:ascii="宋体" w:hAnsi="宋体" w:cs="宋体"/>
          <w:color w:val="auto"/>
          <w:sz w:val="24"/>
        </w:rPr>
      </w:pPr>
    </w:p>
    <w:p w14:paraId="71BEFB88">
      <w:pPr>
        <w:spacing w:afterLines="50" w:line="400" w:lineRule="exact"/>
        <w:ind w:firstLine="420" w:firstLineChars="200"/>
        <w:rPr>
          <w:rFonts w:ascii="宋体" w:hAnsi="宋体" w:cs="宋体"/>
          <w:color w:val="auto"/>
        </w:rPr>
      </w:pPr>
      <w:r>
        <w:rPr>
          <w:rFonts w:hint="eastAsia" w:ascii="宋体" w:hAnsi="宋体" w:cs="宋体"/>
          <w:color w:val="auto"/>
        </w:rPr>
        <w:t>1.竞标人应提交施工进度横道图（或网络网）或施工进度表，说明按竞争性磋商文件要求的工期进行施工的各个关键日期。成交的竞标人还应按合同条件有关条款的要求提交详细的施工进度计划。</w:t>
      </w:r>
    </w:p>
    <w:p w14:paraId="3C9DDC9E">
      <w:pPr>
        <w:spacing w:afterLines="50" w:line="400" w:lineRule="exact"/>
        <w:ind w:firstLine="420" w:firstLineChars="200"/>
        <w:rPr>
          <w:rFonts w:ascii="宋体" w:hAnsi="宋体" w:cs="宋体"/>
          <w:color w:val="auto"/>
        </w:rPr>
      </w:pPr>
      <w:r>
        <w:rPr>
          <w:rFonts w:hint="eastAsia" w:ascii="宋体" w:hAnsi="宋体" w:cs="宋体"/>
          <w:color w:val="auto"/>
        </w:rPr>
        <w:t>2.施工进度表可采用横道图（或网络网）表示，说明计划开工日期和各分项工程各阶段的完工日期和分包合同签订的日期。</w:t>
      </w:r>
    </w:p>
    <w:p w14:paraId="0072621E">
      <w:pPr>
        <w:spacing w:afterLines="50" w:line="400" w:lineRule="exact"/>
        <w:ind w:firstLine="420" w:firstLineChars="200"/>
        <w:rPr>
          <w:rFonts w:ascii="宋体" w:hAnsi="宋体" w:cs="宋体"/>
          <w:color w:val="auto"/>
        </w:rPr>
      </w:pPr>
      <w:r>
        <w:rPr>
          <w:rFonts w:hint="eastAsia" w:ascii="宋体" w:hAnsi="宋体" w:cs="宋体"/>
          <w:color w:val="auto"/>
        </w:rPr>
        <w:t>3.施工进度计划应与施工组织设计相适应。</w:t>
      </w:r>
    </w:p>
    <w:p w14:paraId="56EB116C">
      <w:pPr>
        <w:spacing w:after="50" w:line="400" w:lineRule="exact"/>
        <w:rPr>
          <w:rFonts w:ascii="宋体" w:hAnsi="宋体" w:cs="宋体"/>
          <w:color w:val="auto"/>
        </w:rPr>
      </w:pPr>
    </w:p>
    <w:p w14:paraId="3123CA5E">
      <w:pPr>
        <w:spacing w:after="50" w:line="400" w:lineRule="exact"/>
        <w:rPr>
          <w:rFonts w:ascii="宋体" w:hAnsi="宋体" w:cs="宋体"/>
          <w:color w:val="auto"/>
        </w:rPr>
      </w:pPr>
    </w:p>
    <w:p w14:paraId="7CAAE326">
      <w:pPr>
        <w:spacing w:after="50" w:line="400" w:lineRule="exact"/>
        <w:rPr>
          <w:rFonts w:ascii="宋体" w:hAnsi="宋体" w:cs="宋体"/>
          <w:b/>
          <w:bCs/>
          <w:color w:val="auto"/>
          <w:sz w:val="24"/>
        </w:rPr>
      </w:pPr>
      <w:r>
        <w:rPr>
          <w:rFonts w:hint="eastAsia" w:ascii="宋体" w:hAnsi="宋体" w:cs="宋体"/>
          <w:b/>
          <w:bCs/>
          <w:color w:val="auto"/>
          <w:sz w:val="24"/>
        </w:rPr>
        <w:t>附表四  临时用地表</w:t>
      </w:r>
    </w:p>
    <w:p w14:paraId="012BF0AE">
      <w:pPr>
        <w:spacing w:after="50" w:line="400" w:lineRule="exact"/>
        <w:rPr>
          <w:rFonts w:ascii="宋体" w:hAnsi="宋体" w:cs="宋体"/>
          <w:color w:val="auto"/>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2"/>
        <w:gridCol w:w="2372"/>
        <w:gridCol w:w="2343"/>
        <w:gridCol w:w="2343"/>
      </w:tblGrid>
      <w:tr w14:paraId="4F00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342" w:type="dxa"/>
            <w:noWrap/>
            <w:vAlign w:val="center"/>
          </w:tcPr>
          <w:p w14:paraId="56687F07">
            <w:pPr>
              <w:spacing w:after="50" w:line="400" w:lineRule="exact"/>
              <w:jc w:val="center"/>
              <w:rPr>
                <w:rFonts w:ascii="宋体" w:hAnsi="宋体" w:cs="宋体"/>
                <w:color w:val="auto"/>
              </w:rPr>
            </w:pPr>
            <w:r>
              <w:rPr>
                <w:rFonts w:hint="eastAsia" w:ascii="宋体" w:hAnsi="宋体" w:cs="宋体"/>
                <w:color w:val="auto"/>
              </w:rPr>
              <w:t>用 途</w:t>
            </w:r>
          </w:p>
        </w:tc>
        <w:tc>
          <w:tcPr>
            <w:tcW w:w="2372" w:type="dxa"/>
            <w:noWrap/>
            <w:vAlign w:val="center"/>
          </w:tcPr>
          <w:p w14:paraId="7DECE5E1">
            <w:pPr>
              <w:spacing w:after="50" w:line="400" w:lineRule="exact"/>
              <w:jc w:val="center"/>
              <w:rPr>
                <w:rFonts w:ascii="宋体" w:hAnsi="宋体" w:cs="宋体"/>
                <w:color w:val="auto"/>
              </w:rPr>
            </w:pPr>
            <w:r>
              <w:rPr>
                <w:rFonts w:hint="eastAsia" w:ascii="宋体" w:hAnsi="宋体" w:cs="宋体"/>
                <w:color w:val="auto"/>
              </w:rPr>
              <w:t>面 积（平方米）</w:t>
            </w:r>
          </w:p>
        </w:tc>
        <w:tc>
          <w:tcPr>
            <w:tcW w:w="2343" w:type="dxa"/>
            <w:noWrap/>
            <w:vAlign w:val="center"/>
          </w:tcPr>
          <w:p w14:paraId="4AC5521B">
            <w:pPr>
              <w:spacing w:after="50" w:line="400" w:lineRule="exact"/>
              <w:jc w:val="center"/>
              <w:rPr>
                <w:rFonts w:ascii="宋体" w:hAnsi="宋体" w:cs="宋体"/>
                <w:color w:val="auto"/>
              </w:rPr>
            </w:pPr>
            <w:r>
              <w:rPr>
                <w:rFonts w:hint="eastAsia" w:ascii="宋体" w:hAnsi="宋体" w:cs="宋体"/>
                <w:color w:val="auto"/>
              </w:rPr>
              <w:t>位 置</w:t>
            </w:r>
          </w:p>
        </w:tc>
        <w:tc>
          <w:tcPr>
            <w:tcW w:w="2343" w:type="dxa"/>
            <w:noWrap/>
            <w:vAlign w:val="center"/>
          </w:tcPr>
          <w:p w14:paraId="0B689DCB">
            <w:pPr>
              <w:spacing w:after="50" w:line="400" w:lineRule="exact"/>
              <w:jc w:val="center"/>
              <w:rPr>
                <w:rFonts w:ascii="宋体" w:hAnsi="宋体" w:cs="宋体"/>
                <w:color w:val="auto"/>
              </w:rPr>
            </w:pPr>
            <w:r>
              <w:rPr>
                <w:rFonts w:hint="eastAsia" w:ascii="宋体" w:hAnsi="宋体" w:cs="宋体"/>
                <w:color w:val="auto"/>
              </w:rPr>
              <w:t>需用时间</w:t>
            </w:r>
          </w:p>
        </w:tc>
      </w:tr>
      <w:tr w14:paraId="2C90A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342" w:type="dxa"/>
            <w:noWrap/>
            <w:vAlign w:val="center"/>
          </w:tcPr>
          <w:p w14:paraId="1703557A">
            <w:pPr>
              <w:spacing w:after="50" w:line="400" w:lineRule="exact"/>
              <w:rPr>
                <w:rFonts w:ascii="宋体" w:hAnsi="宋体" w:cs="宋体"/>
                <w:color w:val="auto"/>
              </w:rPr>
            </w:pPr>
          </w:p>
        </w:tc>
        <w:tc>
          <w:tcPr>
            <w:tcW w:w="2372" w:type="dxa"/>
            <w:noWrap/>
            <w:vAlign w:val="center"/>
          </w:tcPr>
          <w:p w14:paraId="7A298A23">
            <w:pPr>
              <w:spacing w:after="50" w:line="400" w:lineRule="exact"/>
              <w:rPr>
                <w:rFonts w:ascii="宋体" w:hAnsi="宋体" w:cs="宋体"/>
                <w:color w:val="auto"/>
              </w:rPr>
            </w:pPr>
          </w:p>
        </w:tc>
        <w:tc>
          <w:tcPr>
            <w:tcW w:w="2343" w:type="dxa"/>
            <w:noWrap/>
            <w:vAlign w:val="center"/>
          </w:tcPr>
          <w:p w14:paraId="17D07DE9">
            <w:pPr>
              <w:spacing w:after="50" w:line="400" w:lineRule="exact"/>
              <w:rPr>
                <w:rFonts w:ascii="宋体" w:hAnsi="宋体" w:cs="宋体"/>
                <w:color w:val="auto"/>
              </w:rPr>
            </w:pPr>
          </w:p>
        </w:tc>
        <w:tc>
          <w:tcPr>
            <w:tcW w:w="2343" w:type="dxa"/>
            <w:noWrap/>
            <w:vAlign w:val="center"/>
          </w:tcPr>
          <w:p w14:paraId="3891510B">
            <w:pPr>
              <w:spacing w:after="50" w:line="400" w:lineRule="exact"/>
              <w:rPr>
                <w:rFonts w:ascii="宋体" w:hAnsi="宋体" w:cs="宋体"/>
                <w:color w:val="auto"/>
              </w:rPr>
            </w:pPr>
          </w:p>
        </w:tc>
      </w:tr>
      <w:tr w14:paraId="713F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342" w:type="dxa"/>
            <w:noWrap/>
            <w:vAlign w:val="center"/>
          </w:tcPr>
          <w:p w14:paraId="150E308C">
            <w:pPr>
              <w:spacing w:after="50" w:line="400" w:lineRule="exact"/>
              <w:rPr>
                <w:rFonts w:ascii="宋体" w:hAnsi="宋体" w:cs="宋体"/>
                <w:color w:val="auto"/>
              </w:rPr>
            </w:pPr>
          </w:p>
        </w:tc>
        <w:tc>
          <w:tcPr>
            <w:tcW w:w="2372" w:type="dxa"/>
            <w:noWrap/>
            <w:vAlign w:val="center"/>
          </w:tcPr>
          <w:p w14:paraId="5614E4C0">
            <w:pPr>
              <w:spacing w:after="50" w:line="400" w:lineRule="exact"/>
              <w:rPr>
                <w:rFonts w:ascii="宋体" w:hAnsi="宋体" w:cs="宋体"/>
                <w:color w:val="auto"/>
              </w:rPr>
            </w:pPr>
          </w:p>
        </w:tc>
        <w:tc>
          <w:tcPr>
            <w:tcW w:w="2343" w:type="dxa"/>
            <w:noWrap/>
            <w:vAlign w:val="center"/>
          </w:tcPr>
          <w:p w14:paraId="007F1FF2">
            <w:pPr>
              <w:spacing w:after="50" w:line="400" w:lineRule="exact"/>
              <w:rPr>
                <w:rFonts w:ascii="宋体" w:hAnsi="宋体" w:cs="宋体"/>
                <w:color w:val="auto"/>
              </w:rPr>
            </w:pPr>
          </w:p>
        </w:tc>
        <w:tc>
          <w:tcPr>
            <w:tcW w:w="2343" w:type="dxa"/>
            <w:noWrap/>
            <w:vAlign w:val="center"/>
          </w:tcPr>
          <w:p w14:paraId="712993E5">
            <w:pPr>
              <w:spacing w:after="50" w:line="400" w:lineRule="exact"/>
              <w:rPr>
                <w:rFonts w:ascii="宋体" w:hAnsi="宋体" w:cs="宋体"/>
                <w:color w:val="auto"/>
              </w:rPr>
            </w:pPr>
          </w:p>
        </w:tc>
      </w:tr>
      <w:tr w14:paraId="7ADF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342" w:type="dxa"/>
            <w:noWrap/>
            <w:vAlign w:val="center"/>
          </w:tcPr>
          <w:p w14:paraId="50B87BFC">
            <w:pPr>
              <w:spacing w:after="50" w:line="400" w:lineRule="exact"/>
              <w:rPr>
                <w:rFonts w:ascii="宋体" w:hAnsi="宋体" w:cs="宋体"/>
                <w:color w:val="auto"/>
              </w:rPr>
            </w:pPr>
          </w:p>
        </w:tc>
        <w:tc>
          <w:tcPr>
            <w:tcW w:w="2372" w:type="dxa"/>
            <w:noWrap/>
            <w:vAlign w:val="center"/>
          </w:tcPr>
          <w:p w14:paraId="129E71EC">
            <w:pPr>
              <w:spacing w:after="50" w:line="400" w:lineRule="exact"/>
              <w:rPr>
                <w:rFonts w:ascii="宋体" w:hAnsi="宋体" w:cs="宋体"/>
                <w:color w:val="auto"/>
              </w:rPr>
            </w:pPr>
          </w:p>
        </w:tc>
        <w:tc>
          <w:tcPr>
            <w:tcW w:w="2343" w:type="dxa"/>
            <w:noWrap/>
            <w:vAlign w:val="center"/>
          </w:tcPr>
          <w:p w14:paraId="3B88A49B">
            <w:pPr>
              <w:spacing w:after="50" w:line="400" w:lineRule="exact"/>
              <w:rPr>
                <w:rFonts w:ascii="宋体" w:hAnsi="宋体" w:cs="宋体"/>
                <w:color w:val="auto"/>
              </w:rPr>
            </w:pPr>
          </w:p>
        </w:tc>
        <w:tc>
          <w:tcPr>
            <w:tcW w:w="2343" w:type="dxa"/>
            <w:noWrap/>
            <w:vAlign w:val="center"/>
          </w:tcPr>
          <w:p w14:paraId="0D2B4317">
            <w:pPr>
              <w:spacing w:after="50" w:line="400" w:lineRule="exact"/>
              <w:rPr>
                <w:rFonts w:ascii="宋体" w:hAnsi="宋体" w:cs="宋体"/>
                <w:color w:val="auto"/>
              </w:rPr>
            </w:pPr>
          </w:p>
        </w:tc>
      </w:tr>
      <w:tr w14:paraId="6728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342" w:type="dxa"/>
            <w:noWrap/>
            <w:vAlign w:val="center"/>
          </w:tcPr>
          <w:p w14:paraId="7528740E">
            <w:pPr>
              <w:spacing w:after="50" w:line="400" w:lineRule="exact"/>
              <w:jc w:val="center"/>
              <w:rPr>
                <w:rFonts w:ascii="宋体" w:hAnsi="宋体" w:cs="宋体"/>
                <w:color w:val="auto"/>
              </w:rPr>
            </w:pPr>
            <w:r>
              <w:rPr>
                <w:rFonts w:hint="eastAsia" w:ascii="宋体" w:hAnsi="宋体" w:cs="宋体"/>
                <w:color w:val="auto"/>
              </w:rPr>
              <w:t>合 计</w:t>
            </w:r>
          </w:p>
        </w:tc>
        <w:tc>
          <w:tcPr>
            <w:tcW w:w="2372" w:type="dxa"/>
            <w:noWrap/>
            <w:vAlign w:val="center"/>
          </w:tcPr>
          <w:p w14:paraId="32603061">
            <w:pPr>
              <w:spacing w:after="50" w:line="400" w:lineRule="exact"/>
              <w:rPr>
                <w:rFonts w:ascii="宋体" w:hAnsi="宋体" w:cs="宋体"/>
                <w:color w:val="auto"/>
              </w:rPr>
            </w:pPr>
          </w:p>
        </w:tc>
        <w:tc>
          <w:tcPr>
            <w:tcW w:w="2343" w:type="dxa"/>
            <w:noWrap/>
            <w:vAlign w:val="center"/>
          </w:tcPr>
          <w:p w14:paraId="720D7AED">
            <w:pPr>
              <w:spacing w:after="50" w:line="400" w:lineRule="exact"/>
              <w:rPr>
                <w:rFonts w:ascii="宋体" w:hAnsi="宋体" w:cs="宋体"/>
                <w:color w:val="auto"/>
              </w:rPr>
            </w:pPr>
          </w:p>
        </w:tc>
        <w:tc>
          <w:tcPr>
            <w:tcW w:w="2343" w:type="dxa"/>
            <w:noWrap/>
            <w:vAlign w:val="center"/>
          </w:tcPr>
          <w:p w14:paraId="0311FE98">
            <w:pPr>
              <w:spacing w:after="50" w:line="400" w:lineRule="exact"/>
              <w:rPr>
                <w:rFonts w:ascii="宋体" w:hAnsi="宋体" w:cs="宋体"/>
                <w:color w:val="auto"/>
              </w:rPr>
            </w:pPr>
          </w:p>
        </w:tc>
      </w:tr>
    </w:tbl>
    <w:p w14:paraId="53729B4F">
      <w:pPr>
        <w:spacing w:afterLines="50" w:line="400" w:lineRule="exact"/>
        <w:rPr>
          <w:rFonts w:ascii="宋体" w:hAnsi="宋体" w:cs="宋体"/>
          <w:color w:val="auto"/>
        </w:rPr>
      </w:pPr>
      <w:r>
        <w:rPr>
          <w:rFonts w:hint="eastAsia" w:ascii="宋体" w:hAnsi="宋体" w:cs="宋体"/>
          <w:color w:val="auto"/>
        </w:rPr>
        <w:t>注：1.竞标人应逐项填写本表，指出全部临时设施用地面积以及详细用途。</w:t>
      </w:r>
    </w:p>
    <w:p w14:paraId="30B8FFA4">
      <w:pPr>
        <w:spacing w:afterLines="50" w:line="400" w:lineRule="exact"/>
        <w:ind w:firstLine="420" w:firstLineChars="200"/>
        <w:rPr>
          <w:rFonts w:ascii="宋体" w:hAnsi="宋体" w:cs="宋体"/>
          <w:color w:val="auto"/>
        </w:rPr>
      </w:pPr>
      <w:r>
        <w:rPr>
          <w:rFonts w:hint="eastAsia" w:ascii="宋体" w:hAnsi="宋体" w:cs="宋体"/>
          <w:color w:val="auto"/>
        </w:rPr>
        <w:t>2.若本表不够，可加附页。</w:t>
      </w:r>
    </w:p>
    <w:p w14:paraId="3D4555D5">
      <w:pPr>
        <w:jc w:val="left"/>
        <w:rPr>
          <w:rFonts w:ascii="宋体" w:hAnsi="宋体" w:cs="宋体"/>
          <w:b/>
          <w:color w:val="auto"/>
          <w:sz w:val="32"/>
          <w:szCs w:val="32"/>
        </w:rPr>
      </w:pPr>
      <w:r>
        <w:rPr>
          <w:rFonts w:hint="eastAsia" w:ascii="宋体" w:hAnsi="宋体" w:cs="宋体"/>
          <w:b/>
          <w:color w:val="auto"/>
          <w:sz w:val="32"/>
          <w:szCs w:val="32"/>
        </w:rPr>
        <w:br w:type="page"/>
      </w:r>
    </w:p>
    <w:p w14:paraId="3424354D">
      <w:pPr>
        <w:adjustRightInd w:val="0"/>
        <w:snapToGrid w:val="0"/>
        <w:spacing w:line="440" w:lineRule="exact"/>
        <w:jc w:val="center"/>
        <w:rPr>
          <w:rFonts w:ascii="宋体" w:hAnsi="宋体" w:cs="宋体"/>
          <w:b/>
          <w:color w:val="auto"/>
          <w:sz w:val="44"/>
          <w:szCs w:val="44"/>
        </w:rPr>
      </w:pPr>
      <w:r>
        <w:rPr>
          <w:rFonts w:hint="eastAsia" w:ascii="宋体" w:hAnsi="宋体" w:cs="宋体"/>
          <w:b/>
          <w:color w:val="auto"/>
          <w:sz w:val="32"/>
          <w:szCs w:val="32"/>
        </w:rPr>
        <w:t>项目管理机构配备情况表及主要人员简历表</w:t>
      </w:r>
    </w:p>
    <w:p w14:paraId="0D2C45F4">
      <w:pPr>
        <w:snapToGrid w:val="0"/>
        <w:spacing w:beforeLines="50" w:after="50" w:line="440" w:lineRule="exact"/>
        <w:jc w:val="center"/>
        <w:rPr>
          <w:rFonts w:ascii="宋体" w:hAnsi="宋体" w:cs="宋体"/>
          <w:b/>
          <w:color w:val="auto"/>
          <w:sz w:val="32"/>
          <w:szCs w:val="32"/>
        </w:rPr>
      </w:pPr>
      <w:r>
        <w:rPr>
          <w:rFonts w:hint="eastAsia" w:ascii="宋体" w:hAnsi="宋体" w:cs="宋体"/>
          <w:b/>
          <w:color w:val="auto"/>
          <w:sz w:val="32"/>
          <w:szCs w:val="32"/>
        </w:rPr>
        <w:t>（一）项目管理机构配备情况表</w:t>
      </w:r>
    </w:p>
    <w:p w14:paraId="20866410">
      <w:pPr>
        <w:pStyle w:val="28"/>
        <w:spacing w:line="440" w:lineRule="exact"/>
        <w:contextualSpacing/>
        <w:rPr>
          <w:rFonts w:hAnsi="宋体" w:cs="宋体"/>
          <w:color w:val="auto"/>
          <w:sz w:val="24"/>
          <w:szCs w:val="24"/>
        </w:rPr>
      </w:pPr>
      <w:r>
        <w:rPr>
          <w:rFonts w:hint="eastAsia" w:hAnsi="宋体" w:cs="宋体"/>
          <w:color w:val="auto"/>
          <w:sz w:val="24"/>
        </w:rPr>
        <w:t>分标（如有）</w:t>
      </w:r>
      <w:r>
        <w:rPr>
          <w:rFonts w:hint="eastAsia" w:hAnsi="宋体" w:cs="宋体"/>
          <w:color w:val="auto"/>
          <w:sz w:val="24"/>
          <w:szCs w:val="24"/>
        </w:rPr>
        <w:t>：</w:t>
      </w:r>
    </w:p>
    <w:tbl>
      <w:tblPr>
        <w:tblStyle w:val="47"/>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610"/>
        <w:gridCol w:w="907"/>
        <w:gridCol w:w="923"/>
        <w:gridCol w:w="841"/>
        <w:gridCol w:w="939"/>
        <w:gridCol w:w="808"/>
        <w:gridCol w:w="765"/>
        <w:gridCol w:w="1463"/>
        <w:gridCol w:w="1282"/>
      </w:tblGrid>
      <w:tr w14:paraId="0691A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1453" w:type="dxa"/>
            <w:vMerge w:val="restart"/>
            <w:vAlign w:val="center"/>
          </w:tcPr>
          <w:p w14:paraId="7FCD9FE9">
            <w:pPr>
              <w:pStyle w:val="260"/>
              <w:spacing w:line="440" w:lineRule="exact"/>
              <w:ind w:firstLine="0"/>
              <w:jc w:val="center"/>
              <w:rPr>
                <w:color w:val="auto"/>
                <w:sz w:val="24"/>
                <w:szCs w:val="24"/>
              </w:rPr>
            </w:pPr>
            <w:r>
              <w:rPr>
                <w:rFonts w:hint="eastAsia"/>
                <w:color w:val="auto"/>
                <w:sz w:val="24"/>
                <w:szCs w:val="24"/>
              </w:rPr>
              <w:t>岗位</w:t>
            </w:r>
          </w:p>
        </w:tc>
        <w:tc>
          <w:tcPr>
            <w:tcW w:w="610" w:type="dxa"/>
            <w:vMerge w:val="restart"/>
            <w:vAlign w:val="center"/>
          </w:tcPr>
          <w:p w14:paraId="0B144EB6">
            <w:pPr>
              <w:pStyle w:val="260"/>
              <w:spacing w:line="440" w:lineRule="exact"/>
              <w:ind w:firstLine="0"/>
              <w:jc w:val="center"/>
              <w:rPr>
                <w:color w:val="auto"/>
                <w:sz w:val="24"/>
                <w:szCs w:val="24"/>
              </w:rPr>
            </w:pPr>
            <w:r>
              <w:rPr>
                <w:rFonts w:hint="eastAsia"/>
                <w:color w:val="auto"/>
                <w:sz w:val="24"/>
                <w:szCs w:val="24"/>
              </w:rPr>
              <w:t>姓名</w:t>
            </w:r>
          </w:p>
        </w:tc>
        <w:tc>
          <w:tcPr>
            <w:tcW w:w="907" w:type="dxa"/>
            <w:vMerge w:val="restart"/>
            <w:vAlign w:val="center"/>
          </w:tcPr>
          <w:p w14:paraId="616A3C7D">
            <w:pPr>
              <w:pStyle w:val="260"/>
              <w:spacing w:line="440" w:lineRule="exact"/>
              <w:ind w:firstLine="0"/>
              <w:jc w:val="center"/>
              <w:rPr>
                <w:color w:val="auto"/>
                <w:sz w:val="24"/>
                <w:szCs w:val="24"/>
              </w:rPr>
            </w:pPr>
            <w:r>
              <w:rPr>
                <w:rFonts w:hint="eastAsia"/>
                <w:color w:val="auto"/>
                <w:sz w:val="24"/>
                <w:szCs w:val="24"/>
              </w:rPr>
              <w:t>身份证号</w:t>
            </w:r>
          </w:p>
        </w:tc>
        <w:tc>
          <w:tcPr>
            <w:tcW w:w="923" w:type="dxa"/>
            <w:vMerge w:val="restart"/>
            <w:vAlign w:val="center"/>
          </w:tcPr>
          <w:p w14:paraId="55DA67A5">
            <w:pPr>
              <w:pStyle w:val="260"/>
              <w:spacing w:line="440" w:lineRule="exact"/>
              <w:ind w:firstLine="0"/>
              <w:jc w:val="center"/>
              <w:rPr>
                <w:color w:val="auto"/>
                <w:sz w:val="24"/>
                <w:szCs w:val="24"/>
              </w:rPr>
            </w:pPr>
            <w:r>
              <w:rPr>
                <w:rFonts w:hint="eastAsia"/>
                <w:color w:val="auto"/>
                <w:sz w:val="24"/>
                <w:szCs w:val="24"/>
              </w:rPr>
              <w:t>职称</w:t>
            </w:r>
          </w:p>
        </w:tc>
        <w:tc>
          <w:tcPr>
            <w:tcW w:w="3353" w:type="dxa"/>
            <w:gridSpan w:val="4"/>
            <w:vAlign w:val="center"/>
          </w:tcPr>
          <w:p w14:paraId="5B0ED4D5">
            <w:pPr>
              <w:spacing w:line="440" w:lineRule="exact"/>
              <w:ind w:left="254" w:hanging="254" w:hangingChars="106"/>
              <w:jc w:val="center"/>
              <w:rPr>
                <w:rFonts w:ascii="宋体" w:hAnsi="宋体" w:cs="宋体"/>
                <w:color w:val="auto"/>
                <w:sz w:val="24"/>
                <w:szCs w:val="32"/>
              </w:rPr>
            </w:pPr>
            <w:r>
              <w:rPr>
                <w:rFonts w:hint="eastAsia" w:ascii="宋体" w:hAnsi="宋体" w:cs="宋体"/>
                <w:color w:val="auto"/>
                <w:sz w:val="24"/>
                <w:szCs w:val="32"/>
              </w:rPr>
              <w:t>执业或职业资格</w:t>
            </w:r>
          </w:p>
        </w:tc>
        <w:tc>
          <w:tcPr>
            <w:tcW w:w="2745" w:type="dxa"/>
            <w:gridSpan w:val="2"/>
            <w:vAlign w:val="center"/>
          </w:tcPr>
          <w:p w14:paraId="2ADE9233">
            <w:pPr>
              <w:spacing w:line="440" w:lineRule="exact"/>
              <w:jc w:val="left"/>
              <w:rPr>
                <w:rFonts w:ascii="宋体" w:hAnsi="宋体" w:cs="宋体"/>
                <w:color w:val="auto"/>
                <w:sz w:val="24"/>
                <w:szCs w:val="32"/>
              </w:rPr>
            </w:pPr>
            <w:r>
              <w:rPr>
                <w:rFonts w:hint="eastAsia" w:ascii="宋体" w:hAnsi="宋体" w:cs="宋体"/>
                <w:color w:val="auto"/>
                <w:kern w:val="0"/>
                <w:sz w:val="24"/>
                <w:lang w:val="zh-CN" w:bidi="zh-CN"/>
              </w:rPr>
              <w:t>承担完工工程情况</w:t>
            </w:r>
          </w:p>
        </w:tc>
      </w:tr>
      <w:tr w14:paraId="656B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1453" w:type="dxa"/>
            <w:vMerge w:val="continue"/>
            <w:vAlign w:val="center"/>
          </w:tcPr>
          <w:p w14:paraId="5132909E">
            <w:pPr>
              <w:spacing w:line="440" w:lineRule="exact"/>
              <w:ind w:left="223" w:hanging="222" w:hangingChars="106"/>
              <w:jc w:val="center"/>
              <w:rPr>
                <w:rFonts w:ascii="宋体" w:hAnsi="宋体" w:cs="宋体"/>
                <w:color w:val="auto"/>
              </w:rPr>
            </w:pPr>
          </w:p>
        </w:tc>
        <w:tc>
          <w:tcPr>
            <w:tcW w:w="610" w:type="dxa"/>
            <w:vMerge w:val="continue"/>
            <w:vAlign w:val="center"/>
          </w:tcPr>
          <w:p w14:paraId="48C8B8AE">
            <w:pPr>
              <w:spacing w:line="440" w:lineRule="exact"/>
              <w:ind w:left="223" w:hanging="222" w:hangingChars="106"/>
              <w:jc w:val="center"/>
              <w:rPr>
                <w:rFonts w:ascii="宋体" w:hAnsi="宋体" w:cs="宋体"/>
                <w:color w:val="auto"/>
              </w:rPr>
            </w:pPr>
          </w:p>
        </w:tc>
        <w:tc>
          <w:tcPr>
            <w:tcW w:w="907" w:type="dxa"/>
            <w:vMerge w:val="continue"/>
            <w:vAlign w:val="center"/>
          </w:tcPr>
          <w:p w14:paraId="76A233A1">
            <w:pPr>
              <w:spacing w:line="440" w:lineRule="exact"/>
              <w:ind w:left="223" w:hanging="222" w:hangingChars="106"/>
              <w:jc w:val="center"/>
              <w:rPr>
                <w:rFonts w:ascii="宋体" w:hAnsi="宋体" w:cs="宋体"/>
                <w:color w:val="auto"/>
              </w:rPr>
            </w:pPr>
          </w:p>
        </w:tc>
        <w:tc>
          <w:tcPr>
            <w:tcW w:w="923" w:type="dxa"/>
            <w:vMerge w:val="continue"/>
            <w:vAlign w:val="center"/>
          </w:tcPr>
          <w:p w14:paraId="4F3723E4">
            <w:pPr>
              <w:spacing w:line="440" w:lineRule="exact"/>
              <w:ind w:left="223" w:hanging="222" w:hangingChars="106"/>
              <w:jc w:val="center"/>
              <w:rPr>
                <w:rFonts w:ascii="宋体" w:hAnsi="宋体" w:cs="宋体"/>
                <w:color w:val="auto"/>
              </w:rPr>
            </w:pPr>
          </w:p>
        </w:tc>
        <w:tc>
          <w:tcPr>
            <w:tcW w:w="841" w:type="dxa"/>
            <w:vAlign w:val="center"/>
          </w:tcPr>
          <w:p w14:paraId="42CA4942">
            <w:pPr>
              <w:pStyle w:val="260"/>
              <w:spacing w:line="440" w:lineRule="exact"/>
              <w:ind w:firstLine="0"/>
              <w:jc w:val="center"/>
              <w:rPr>
                <w:color w:val="auto"/>
                <w:sz w:val="24"/>
                <w:szCs w:val="24"/>
              </w:rPr>
            </w:pPr>
            <w:r>
              <w:rPr>
                <w:rFonts w:hint="eastAsia"/>
                <w:color w:val="auto"/>
                <w:sz w:val="24"/>
                <w:szCs w:val="24"/>
              </w:rPr>
              <w:t>证书名称</w:t>
            </w:r>
          </w:p>
        </w:tc>
        <w:tc>
          <w:tcPr>
            <w:tcW w:w="939" w:type="dxa"/>
            <w:vAlign w:val="center"/>
          </w:tcPr>
          <w:p w14:paraId="317B4DFE">
            <w:pPr>
              <w:pStyle w:val="260"/>
              <w:spacing w:line="440" w:lineRule="exact"/>
              <w:ind w:firstLine="0"/>
              <w:jc w:val="center"/>
              <w:rPr>
                <w:color w:val="auto"/>
                <w:sz w:val="24"/>
                <w:szCs w:val="24"/>
              </w:rPr>
            </w:pPr>
            <w:r>
              <w:rPr>
                <w:rFonts w:hint="eastAsia"/>
                <w:color w:val="auto"/>
                <w:sz w:val="24"/>
                <w:szCs w:val="24"/>
              </w:rPr>
              <w:t>级别</w:t>
            </w:r>
          </w:p>
        </w:tc>
        <w:tc>
          <w:tcPr>
            <w:tcW w:w="808" w:type="dxa"/>
            <w:vAlign w:val="center"/>
          </w:tcPr>
          <w:p w14:paraId="5C354246">
            <w:pPr>
              <w:pStyle w:val="260"/>
              <w:spacing w:line="440" w:lineRule="exact"/>
              <w:ind w:firstLine="0"/>
              <w:jc w:val="center"/>
              <w:rPr>
                <w:color w:val="auto"/>
                <w:sz w:val="24"/>
                <w:szCs w:val="24"/>
              </w:rPr>
            </w:pPr>
            <w:r>
              <w:rPr>
                <w:rFonts w:hint="eastAsia"/>
                <w:color w:val="auto"/>
                <w:sz w:val="24"/>
                <w:szCs w:val="24"/>
              </w:rPr>
              <w:t>证号</w:t>
            </w:r>
          </w:p>
        </w:tc>
        <w:tc>
          <w:tcPr>
            <w:tcW w:w="765" w:type="dxa"/>
            <w:vAlign w:val="center"/>
          </w:tcPr>
          <w:p w14:paraId="705D16C9">
            <w:pPr>
              <w:pStyle w:val="260"/>
              <w:spacing w:line="440" w:lineRule="exact"/>
              <w:ind w:firstLine="0"/>
              <w:jc w:val="center"/>
              <w:rPr>
                <w:color w:val="auto"/>
                <w:sz w:val="24"/>
                <w:szCs w:val="24"/>
              </w:rPr>
            </w:pPr>
            <w:r>
              <w:rPr>
                <w:rFonts w:hint="eastAsia"/>
                <w:color w:val="auto"/>
                <w:sz w:val="24"/>
                <w:szCs w:val="24"/>
              </w:rPr>
              <w:t>专业</w:t>
            </w:r>
          </w:p>
        </w:tc>
        <w:tc>
          <w:tcPr>
            <w:tcW w:w="1463" w:type="dxa"/>
            <w:vAlign w:val="center"/>
          </w:tcPr>
          <w:p w14:paraId="2B403283">
            <w:pPr>
              <w:pStyle w:val="260"/>
              <w:spacing w:line="440" w:lineRule="exact"/>
              <w:ind w:firstLine="0"/>
              <w:jc w:val="center"/>
              <w:rPr>
                <w:color w:val="auto"/>
                <w:sz w:val="24"/>
                <w:szCs w:val="24"/>
              </w:rPr>
            </w:pPr>
            <w:r>
              <w:rPr>
                <w:rFonts w:hint="eastAsia"/>
                <w:color w:val="auto"/>
                <w:sz w:val="24"/>
                <w:szCs w:val="24"/>
              </w:rPr>
              <w:t>是否完工</w:t>
            </w:r>
          </w:p>
        </w:tc>
        <w:tc>
          <w:tcPr>
            <w:tcW w:w="1282" w:type="dxa"/>
            <w:vAlign w:val="center"/>
          </w:tcPr>
          <w:p w14:paraId="326ADAD5">
            <w:pPr>
              <w:pStyle w:val="260"/>
              <w:spacing w:line="440" w:lineRule="exact"/>
              <w:ind w:firstLine="0"/>
              <w:jc w:val="center"/>
              <w:rPr>
                <w:color w:val="auto"/>
                <w:sz w:val="24"/>
                <w:szCs w:val="24"/>
              </w:rPr>
            </w:pPr>
            <w:r>
              <w:rPr>
                <w:rFonts w:hint="eastAsia"/>
                <w:color w:val="auto"/>
                <w:sz w:val="24"/>
                <w:szCs w:val="24"/>
              </w:rPr>
              <w:t>主要项目</w:t>
            </w:r>
          </w:p>
          <w:p w14:paraId="73E229EE">
            <w:pPr>
              <w:pStyle w:val="260"/>
              <w:spacing w:line="440" w:lineRule="exact"/>
              <w:ind w:firstLine="0"/>
              <w:jc w:val="center"/>
              <w:rPr>
                <w:color w:val="auto"/>
              </w:rPr>
            </w:pPr>
            <w:r>
              <w:rPr>
                <w:rFonts w:hint="eastAsia"/>
                <w:color w:val="auto"/>
                <w:sz w:val="24"/>
                <w:szCs w:val="24"/>
              </w:rPr>
              <w:t>名称</w:t>
            </w:r>
          </w:p>
        </w:tc>
      </w:tr>
      <w:tr w14:paraId="36FA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53" w:type="dxa"/>
            <w:vAlign w:val="center"/>
          </w:tcPr>
          <w:p w14:paraId="2F96F447">
            <w:pPr>
              <w:pStyle w:val="260"/>
              <w:spacing w:line="440" w:lineRule="exact"/>
              <w:ind w:firstLine="0"/>
              <w:jc w:val="center"/>
              <w:rPr>
                <w:color w:val="auto"/>
                <w:sz w:val="21"/>
                <w:szCs w:val="21"/>
              </w:rPr>
            </w:pPr>
            <w:r>
              <w:rPr>
                <w:rFonts w:hint="eastAsia"/>
                <w:color w:val="auto"/>
                <w:sz w:val="21"/>
                <w:szCs w:val="21"/>
                <w:lang w:val="en-US" w:eastAsia="en-US" w:bidi="en-US"/>
              </w:rPr>
              <w:t>1.</w:t>
            </w:r>
            <w:r>
              <w:rPr>
                <w:rFonts w:hint="eastAsia"/>
                <w:color w:val="auto"/>
                <w:sz w:val="21"/>
                <w:szCs w:val="21"/>
              </w:rPr>
              <w:t>项目经理</w:t>
            </w:r>
          </w:p>
        </w:tc>
        <w:tc>
          <w:tcPr>
            <w:tcW w:w="610" w:type="dxa"/>
            <w:vAlign w:val="center"/>
          </w:tcPr>
          <w:p w14:paraId="6157C2D4">
            <w:pPr>
              <w:spacing w:line="440" w:lineRule="exact"/>
              <w:ind w:left="223" w:hanging="222" w:hangingChars="106"/>
              <w:jc w:val="center"/>
              <w:rPr>
                <w:rFonts w:ascii="宋体" w:hAnsi="宋体" w:cs="宋体"/>
                <w:color w:val="auto"/>
                <w:szCs w:val="21"/>
              </w:rPr>
            </w:pPr>
          </w:p>
        </w:tc>
        <w:tc>
          <w:tcPr>
            <w:tcW w:w="907" w:type="dxa"/>
            <w:vAlign w:val="center"/>
          </w:tcPr>
          <w:p w14:paraId="28009C82">
            <w:pPr>
              <w:spacing w:line="440" w:lineRule="exact"/>
              <w:ind w:left="223" w:hanging="222" w:hangingChars="106"/>
              <w:jc w:val="center"/>
              <w:rPr>
                <w:rFonts w:ascii="宋体" w:hAnsi="宋体" w:cs="宋体"/>
                <w:color w:val="auto"/>
                <w:szCs w:val="21"/>
              </w:rPr>
            </w:pPr>
          </w:p>
        </w:tc>
        <w:tc>
          <w:tcPr>
            <w:tcW w:w="923" w:type="dxa"/>
            <w:vAlign w:val="center"/>
          </w:tcPr>
          <w:p w14:paraId="2D767026">
            <w:pPr>
              <w:spacing w:line="440" w:lineRule="exact"/>
              <w:ind w:left="223" w:hanging="222" w:hangingChars="106"/>
              <w:jc w:val="center"/>
              <w:rPr>
                <w:rFonts w:ascii="宋体" w:hAnsi="宋体" w:cs="宋体"/>
                <w:color w:val="auto"/>
                <w:szCs w:val="21"/>
              </w:rPr>
            </w:pPr>
          </w:p>
        </w:tc>
        <w:tc>
          <w:tcPr>
            <w:tcW w:w="841" w:type="dxa"/>
            <w:vAlign w:val="center"/>
          </w:tcPr>
          <w:p w14:paraId="1605A73E">
            <w:pPr>
              <w:spacing w:line="440" w:lineRule="exact"/>
              <w:ind w:left="223" w:hanging="222" w:hangingChars="106"/>
              <w:jc w:val="center"/>
              <w:rPr>
                <w:rFonts w:ascii="宋体" w:hAnsi="宋体" w:cs="宋体"/>
                <w:color w:val="auto"/>
                <w:szCs w:val="21"/>
              </w:rPr>
            </w:pPr>
          </w:p>
        </w:tc>
        <w:tc>
          <w:tcPr>
            <w:tcW w:w="939" w:type="dxa"/>
            <w:vAlign w:val="center"/>
          </w:tcPr>
          <w:p w14:paraId="3A35D7F6">
            <w:pPr>
              <w:spacing w:line="440" w:lineRule="exact"/>
              <w:ind w:left="223" w:hanging="222" w:hangingChars="106"/>
              <w:jc w:val="center"/>
              <w:rPr>
                <w:rFonts w:ascii="宋体" w:hAnsi="宋体" w:cs="宋体"/>
                <w:color w:val="auto"/>
                <w:szCs w:val="21"/>
              </w:rPr>
            </w:pPr>
          </w:p>
        </w:tc>
        <w:tc>
          <w:tcPr>
            <w:tcW w:w="808" w:type="dxa"/>
            <w:vAlign w:val="center"/>
          </w:tcPr>
          <w:p w14:paraId="7E75A4C6">
            <w:pPr>
              <w:spacing w:line="440" w:lineRule="exact"/>
              <w:ind w:left="223" w:hanging="222" w:hangingChars="106"/>
              <w:jc w:val="center"/>
              <w:rPr>
                <w:rFonts w:ascii="宋体" w:hAnsi="宋体" w:cs="宋体"/>
                <w:color w:val="auto"/>
                <w:szCs w:val="21"/>
              </w:rPr>
            </w:pPr>
          </w:p>
        </w:tc>
        <w:tc>
          <w:tcPr>
            <w:tcW w:w="765" w:type="dxa"/>
            <w:vAlign w:val="center"/>
          </w:tcPr>
          <w:p w14:paraId="691DCF82">
            <w:pPr>
              <w:spacing w:line="440" w:lineRule="exact"/>
              <w:ind w:left="223" w:hanging="222" w:hangingChars="106"/>
              <w:jc w:val="center"/>
              <w:rPr>
                <w:rFonts w:ascii="宋体" w:hAnsi="宋体" w:cs="宋体"/>
                <w:color w:val="auto"/>
                <w:szCs w:val="21"/>
              </w:rPr>
            </w:pPr>
          </w:p>
        </w:tc>
        <w:tc>
          <w:tcPr>
            <w:tcW w:w="1463" w:type="dxa"/>
            <w:vAlign w:val="center"/>
          </w:tcPr>
          <w:p w14:paraId="3DEFBE47">
            <w:pPr>
              <w:spacing w:line="440" w:lineRule="exact"/>
              <w:ind w:left="223" w:hanging="222" w:hangingChars="106"/>
              <w:jc w:val="center"/>
              <w:rPr>
                <w:rFonts w:ascii="宋体" w:hAnsi="宋体" w:cs="宋体"/>
                <w:color w:val="auto"/>
                <w:szCs w:val="21"/>
              </w:rPr>
            </w:pPr>
          </w:p>
        </w:tc>
        <w:tc>
          <w:tcPr>
            <w:tcW w:w="1282" w:type="dxa"/>
            <w:vAlign w:val="center"/>
          </w:tcPr>
          <w:p w14:paraId="1AFB6336">
            <w:pPr>
              <w:spacing w:line="440" w:lineRule="exact"/>
              <w:ind w:left="223" w:hanging="222" w:hangingChars="106"/>
              <w:jc w:val="center"/>
              <w:rPr>
                <w:rFonts w:ascii="宋体" w:hAnsi="宋体" w:cs="宋体"/>
                <w:color w:val="auto"/>
                <w:szCs w:val="21"/>
              </w:rPr>
            </w:pPr>
          </w:p>
        </w:tc>
      </w:tr>
      <w:tr w14:paraId="41EF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53" w:type="dxa"/>
            <w:vAlign w:val="center"/>
          </w:tcPr>
          <w:p w14:paraId="16916989">
            <w:pPr>
              <w:pStyle w:val="260"/>
              <w:spacing w:line="440" w:lineRule="exact"/>
              <w:ind w:firstLine="0"/>
              <w:jc w:val="center"/>
              <w:rPr>
                <w:color w:val="auto"/>
                <w:sz w:val="21"/>
                <w:szCs w:val="21"/>
              </w:rPr>
            </w:pPr>
            <w:r>
              <w:rPr>
                <w:rFonts w:hint="eastAsia"/>
                <w:color w:val="auto"/>
                <w:sz w:val="21"/>
                <w:szCs w:val="21"/>
                <w:lang w:val="en-US" w:eastAsia="en-US" w:bidi="en-US"/>
              </w:rPr>
              <w:t>2.</w:t>
            </w:r>
            <w:r>
              <w:rPr>
                <w:rFonts w:hint="eastAsia"/>
                <w:color w:val="auto"/>
                <w:sz w:val="21"/>
                <w:szCs w:val="21"/>
              </w:rPr>
              <w:t>项目总工</w:t>
            </w:r>
          </w:p>
        </w:tc>
        <w:tc>
          <w:tcPr>
            <w:tcW w:w="610" w:type="dxa"/>
            <w:vAlign w:val="center"/>
          </w:tcPr>
          <w:p w14:paraId="09A0A8EC">
            <w:pPr>
              <w:spacing w:line="440" w:lineRule="exact"/>
              <w:ind w:left="223" w:hanging="222" w:hangingChars="106"/>
              <w:jc w:val="center"/>
              <w:rPr>
                <w:rFonts w:ascii="宋体" w:hAnsi="宋体" w:cs="宋体"/>
                <w:color w:val="auto"/>
                <w:szCs w:val="21"/>
              </w:rPr>
            </w:pPr>
          </w:p>
        </w:tc>
        <w:tc>
          <w:tcPr>
            <w:tcW w:w="907" w:type="dxa"/>
            <w:vAlign w:val="center"/>
          </w:tcPr>
          <w:p w14:paraId="6163547F">
            <w:pPr>
              <w:spacing w:line="440" w:lineRule="exact"/>
              <w:ind w:left="223" w:hanging="222" w:hangingChars="106"/>
              <w:jc w:val="center"/>
              <w:rPr>
                <w:rFonts w:ascii="宋体" w:hAnsi="宋体" w:cs="宋体"/>
                <w:color w:val="auto"/>
                <w:szCs w:val="21"/>
              </w:rPr>
            </w:pPr>
          </w:p>
        </w:tc>
        <w:tc>
          <w:tcPr>
            <w:tcW w:w="923" w:type="dxa"/>
            <w:vAlign w:val="center"/>
          </w:tcPr>
          <w:p w14:paraId="255D9A0F">
            <w:pPr>
              <w:spacing w:line="440" w:lineRule="exact"/>
              <w:ind w:left="223" w:hanging="222" w:hangingChars="106"/>
              <w:jc w:val="center"/>
              <w:rPr>
                <w:rFonts w:ascii="宋体" w:hAnsi="宋体" w:cs="宋体"/>
                <w:color w:val="auto"/>
                <w:szCs w:val="21"/>
              </w:rPr>
            </w:pPr>
          </w:p>
        </w:tc>
        <w:tc>
          <w:tcPr>
            <w:tcW w:w="841" w:type="dxa"/>
            <w:vAlign w:val="center"/>
          </w:tcPr>
          <w:p w14:paraId="3DE91D19">
            <w:pPr>
              <w:spacing w:line="440" w:lineRule="exact"/>
              <w:ind w:left="223" w:hanging="222" w:hangingChars="106"/>
              <w:jc w:val="center"/>
              <w:rPr>
                <w:rFonts w:ascii="宋体" w:hAnsi="宋体" w:cs="宋体"/>
                <w:color w:val="auto"/>
                <w:szCs w:val="21"/>
              </w:rPr>
            </w:pPr>
          </w:p>
        </w:tc>
        <w:tc>
          <w:tcPr>
            <w:tcW w:w="939" w:type="dxa"/>
            <w:vAlign w:val="center"/>
          </w:tcPr>
          <w:p w14:paraId="47A247F8">
            <w:pPr>
              <w:spacing w:line="440" w:lineRule="exact"/>
              <w:ind w:left="223" w:hanging="222" w:hangingChars="106"/>
              <w:jc w:val="center"/>
              <w:rPr>
                <w:rFonts w:ascii="宋体" w:hAnsi="宋体" w:cs="宋体"/>
                <w:color w:val="auto"/>
                <w:szCs w:val="21"/>
              </w:rPr>
            </w:pPr>
          </w:p>
        </w:tc>
        <w:tc>
          <w:tcPr>
            <w:tcW w:w="808" w:type="dxa"/>
            <w:vAlign w:val="center"/>
          </w:tcPr>
          <w:p w14:paraId="0264C2CC">
            <w:pPr>
              <w:spacing w:line="440" w:lineRule="exact"/>
              <w:ind w:left="223" w:hanging="222" w:hangingChars="106"/>
              <w:jc w:val="center"/>
              <w:rPr>
                <w:rFonts w:ascii="宋体" w:hAnsi="宋体" w:cs="宋体"/>
                <w:color w:val="auto"/>
                <w:szCs w:val="21"/>
              </w:rPr>
            </w:pPr>
          </w:p>
        </w:tc>
        <w:tc>
          <w:tcPr>
            <w:tcW w:w="765" w:type="dxa"/>
            <w:vAlign w:val="center"/>
          </w:tcPr>
          <w:p w14:paraId="7499B513">
            <w:pPr>
              <w:spacing w:line="440" w:lineRule="exact"/>
              <w:ind w:left="223" w:hanging="222" w:hangingChars="106"/>
              <w:jc w:val="center"/>
              <w:rPr>
                <w:rFonts w:ascii="宋体" w:hAnsi="宋体" w:cs="宋体"/>
                <w:color w:val="auto"/>
                <w:szCs w:val="21"/>
              </w:rPr>
            </w:pPr>
          </w:p>
        </w:tc>
        <w:tc>
          <w:tcPr>
            <w:tcW w:w="1463" w:type="dxa"/>
            <w:vAlign w:val="center"/>
          </w:tcPr>
          <w:p w14:paraId="25043A82">
            <w:pPr>
              <w:spacing w:line="440" w:lineRule="exact"/>
              <w:ind w:left="223" w:hanging="222" w:hangingChars="106"/>
              <w:jc w:val="center"/>
              <w:rPr>
                <w:rFonts w:ascii="宋体" w:hAnsi="宋体" w:cs="宋体"/>
                <w:color w:val="auto"/>
                <w:szCs w:val="21"/>
              </w:rPr>
            </w:pPr>
          </w:p>
        </w:tc>
        <w:tc>
          <w:tcPr>
            <w:tcW w:w="1282" w:type="dxa"/>
            <w:vAlign w:val="center"/>
          </w:tcPr>
          <w:p w14:paraId="20AD6C4C">
            <w:pPr>
              <w:spacing w:line="440" w:lineRule="exact"/>
              <w:ind w:left="223" w:hanging="222" w:hangingChars="106"/>
              <w:jc w:val="center"/>
              <w:rPr>
                <w:rFonts w:ascii="宋体" w:hAnsi="宋体" w:cs="宋体"/>
                <w:color w:val="auto"/>
                <w:szCs w:val="21"/>
              </w:rPr>
            </w:pPr>
          </w:p>
        </w:tc>
      </w:tr>
      <w:tr w14:paraId="7F55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53" w:type="dxa"/>
            <w:vAlign w:val="center"/>
          </w:tcPr>
          <w:p w14:paraId="34FA1C77">
            <w:pPr>
              <w:pStyle w:val="260"/>
              <w:numPr>
                <w:ilvl w:val="0"/>
                <w:numId w:val="4"/>
              </w:numPr>
              <w:spacing w:line="440" w:lineRule="exact"/>
              <w:ind w:firstLine="0"/>
              <w:jc w:val="center"/>
              <w:rPr>
                <w:color w:val="auto"/>
                <w:sz w:val="21"/>
                <w:szCs w:val="21"/>
              </w:rPr>
            </w:pPr>
            <w:r>
              <w:rPr>
                <w:rFonts w:hint="eastAsia"/>
                <w:color w:val="auto"/>
                <w:sz w:val="21"/>
                <w:szCs w:val="21"/>
              </w:rPr>
              <w:t>安全</w:t>
            </w:r>
          </w:p>
          <w:p w14:paraId="10F4E624">
            <w:pPr>
              <w:pStyle w:val="260"/>
              <w:spacing w:line="440" w:lineRule="exact"/>
              <w:ind w:firstLine="420" w:firstLineChars="200"/>
              <w:jc w:val="both"/>
              <w:rPr>
                <w:color w:val="auto"/>
                <w:sz w:val="21"/>
                <w:szCs w:val="21"/>
              </w:rPr>
            </w:pPr>
            <w:r>
              <w:rPr>
                <w:rFonts w:hint="eastAsia"/>
                <w:color w:val="auto"/>
                <w:sz w:val="21"/>
                <w:szCs w:val="21"/>
              </w:rPr>
              <w:t>管理员</w:t>
            </w:r>
          </w:p>
        </w:tc>
        <w:tc>
          <w:tcPr>
            <w:tcW w:w="610" w:type="dxa"/>
            <w:vAlign w:val="center"/>
          </w:tcPr>
          <w:p w14:paraId="11E8465E">
            <w:pPr>
              <w:spacing w:line="440" w:lineRule="exact"/>
              <w:ind w:left="223" w:hanging="222" w:hangingChars="106"/>
              <w:jc w:val="center"/>
              <w:rPr>
                <w:rFonts w:ascii="宋体" w:hAnsi="宋体" w:cs="宋体"/>
                <w:color w:val="auto"/>
                <w:szCs w:val="21"/>
              </w:rPr>
            </w:pPr>
          </w:p>
        </w:tc>
        <w:tc>
          <w:tcPr>
            <w:tcW w:w="907" w:type="dxa"/>
            <w:vAlign w:val="center"/>
          </w:tcPr>
          <w:p w14:paraId="42452C8C">
            <w:pPr>
              <w:spacing w:line="440" w:lineRule="exact"/>
              <w:ind w:left="223" w:hanging="222" w:hangingChars="106"/>
              <w:jc w:val="center"/>
              <w:rPr>
                <w:rFonts w:ascii="宋体" w:hAnsi="宋体" w:cs="宋体"/>
                <w:color w:val="auto"/>
                <w:szCs w:val="21"/>
              </w:rPr>
            </w:pPr>
          </w:p>
        </w:tc>
        <w:tc>
          <w:tcPr>
            <w:tcW w:w="923" w:type="dxa"/>
            <w:vAlign w:val="center"/>
          </w:tcPr>
          <w:p w14:paraId="6A973E1C">
            <w:pPr>
              <w:spacing w:line="440" w:lineRule="exact"/>
              <w:ind w:left="223" w:hanging="222" w:hangingChars="106"/>
              <w:jc w:val="center"/>
              <w:rPr>
                <w:rFonts w:ascii="宋体" w:hAnsi="宋体" w:cs="宋体"/>
                <w:color w:val="auto"/>
                <w:szCs w:val="21"/>
              </w:rPr>
            </w:pPr>
          </w:p>
        </w:tc>
        <w:tc>
          <w:tcPr>
            <w:tcW w:w="841" w:type="dxa"/>
            <w:vAlign w:val="center"/>
          </w:tcPr>
          <w:p w14:paraId="1D9DF91F">
            <w:pPr>
              <w:spacing w:line="440" w:lineRule="exact"/>
              <w:ind w:left="223" w:hanging="222" w:hangingChars="106"/>
              <w:jc w:val="center"/>
              <w:rPr>
                <w:rFonts w:ascii="宋体" w:hAnsi="宋体" w:cs="宋体"/>
                <w:color w:val="auto"/>
                <w:szCs w:val="21"/>
              </w:rPr>
            </w:pPr>
          </w:p>
        </w:tc>
        <w:tc>
          <w:tcPr>
            <w:tcW w:w="939" w:type="dxa"/>
            <w:vAlign w:val="center"/>
          </w:tcPr>
          <w:p w14:paraId="09BFB6FD">
            <w:pPr>
              <w:spacing w:line="440" w:lineRule="exact"/>
              <w:ind w:left="223" w:hanging="222" w:hangingChars="106"/>
              <w:jc w:val="center"/>
              <w:rPr>
                <w:rFonts w:ascii="宋体" w:hAnsi="宋体" w:cs="宋体"/>
                <w:color w:val="auto"/>
                <w:szCs w:val="21"/>
              </w:rPr>
            </w:pPr>
          </w:p>
        </w:tc>
        <w:tc>
          <w:tcPr>
            <w:tcW w:w="808" w:type="dxa"/>
            <w:vAlign w:val="center"/>
          </w:tcPr>
          <w:p w14:paraId="0BB34A27">
            <w:pPr>
              <w:spacing w:line="440" w:lineRule="exact"/>
              <w:ind w:left="223" w:hanging="222" w:hangingChars="106"/>
              <w:jc w:val="center"/>
              <w:rPr>
                <w:rFonts w:ascii="宋体" w:hAnsi="宋体" w:cs="宋体"/>
                <w:color w:val="auto"/>
                <w:szCs w:val="21"/>
              </w:rPr>
            </w:pPr>
          </w:p>
        </w:tc>
        <w:tc>
          <w:tcPr>
            <w:tcW w:w="765" w:type="dxa"/>
            <w:vAlign w:val="center"/>
          </w:tcPr>
          <w:p w14:paraId="1E502E5C">
            <w:pPr>
              <w:spacing w:line="440" w:lineRule="exact"/>
              <w:ind w:left="223" w:hanging="222" w:hangingChars="106"/>
              <w:jc w:val="center"/>
              <w:rPr>
                <w:rFonts w:ascii="宋体" w:hAnsi="宋体" w:cs="宋体"/>
                <w:color w:val="auto"/>
                <w:szCs w:val="21"/>
              </w:rPr>
            </w:pPr>
          </w:p>
        </w:tc>
        <w:tc>
          <w:tcPr>
            <w:tcW w:w="1463" w:type="dxa"/>
            <w:vAlign w:val="center"/>
          </w:tcPr>
          <w:p w14:paraId="40E5F859">
            <w:pPr>
              <w:spacing w:line="440" w:lineRule="exact"/>
              <w:ind w:left="223" w:hanging="222" w:hangingChars="106"/>
              <w:jc w:val="center"/>
              <w:rPr>
                <w:rFonts w:ascii="宋体" w:hAnsi="宋体" w:cs="宋体"/>
                <w:color w:val="auto"/>
                <w:szCs w:val="21"/>
              </w:rPr>
            </w:pPr>
          </w:p>
        </w:tc>
        <w:tc>
          <w:tcPr>
            <w:tcW w:w="1282" w:type="dxa"/>
            <w:vAlign w:val="center"/>
          </w:tcPr>
          <w:p w14:paraId="7886ACA7">
            <w:pPr>
              <w:spacing w:line="440" w:lineRule="exact"/>
              <w:ind w:left="223" w:hanging="222" w:hangingChars="106"/>
              <w:jc w:val="center"/>
              <w:rPr>
                <w:rFonts w:ascii="宋体" w:hAnsi="宋体" w:cs="宋体"/>
                <w:color w:val="auto"/>
                <w:szCs w:val="21"/>
              </w:rPr>
            </w:pPr>
          </w:p>
        </w:tc>
      </w:tr>
      <w:tr w14:paraId="0B13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53" w:type="dxa"/>
            <w:vAlign w:val="center"/>
          </w:tcPr>
          <w:p w14:paraId="111CCDA5">
            <w:pPr>
              <w:pStyle w:val="260"/>
              <w:spacing w:line="440" w:lineRule="exact"/>
              <w:ind w:firstLine="0"/>
              <w:jc w:val="center"/>
              <w:rPr>
                <w:color w:val="auto"/>
                <w:sz w:val="21"/>
                <w:szCs w:val="21"/>
              </w:rPr>
            </w:pPr>
            <w:r>
              <w:rPr>
                <w:rFonts w:hint="eastAsia"/>
                <w:color w:val="auto"/>
                <w:sz w:val="17"/>
                <w:szCs w:val="17"/>
                <w:lang w:val="en-US" w:eastAsia="en-US" w:bidi="en-US"/>
              </w:rPr>
              <w:t>…</w:t>
            </w:r>
          </w:p>
        </w:tc>
        <w:tc>
          <w:tcPr>
            <w:tcW w:w="610" w:type="dxa"/>
            <w:vAlign w:val="center"/>
          </w:tcPr>
          <w:p w14:paraId="51FB80EB">
            <w:pPr>
              <w:spacing w:line="440" w:lineRule="exact"/>
              <w:ind w:left="223" w:hanging="222" w:hangingChars="106"/>
              <w:jc w:val="center"/>
              <w:rPr>
                <w:rFonts w:ascii="宋体" w:hAnsi="宋体" w:cs="宋体"/>
                <w:color w:val="auto"/>
                <w:szCs w:val="21"/>
              </w:rPr>
            </w:pPr>
          </w:p>
        </w:tc>
        <w:tc>
          <w:tcPr>
            <w:tcW w:w="907" w:type="dxa"/>
            <w:vAlign w:val="center"/>
          </w:tcPr>
          <w:p w14:paraId="20BD6D02">
            <w:pPr>
              <w:spacing w:line="440" w:lineRule="exact"/>
              <w:ind w:left="223" w:hanging="222" w:hangingChars="106"/>
              <w:jc w:val="center"/>
              <w:rPr>
                <w:rFonts w:ascii="宋体" w:hAnsi="宋体" w:cs="宋体"/>
                <w:color w:val="auto"/>
                <w:szCs w:val="21"/>
              </w:rPr>
            </w:pPr>
          </w:p>
        </w:tc>
        <w:tc>
          <w:tcPr>
            <w:tcW w:w="923" w:type="dxa"/>
            <w:vAlign w:val="center"/>
          </w:tcPr>
          <w:p w14:paraId="3AD84830">
            <w:pPr>
              <w:spacing w:line="440" w:lineRule="exact"/>
              <w:ind w:left="223" w:hanging="222" w:hangingChars="106"/>
              <w:jc w:val="center"/>
              <w:rPr>
                <w:rFonts w:ascii="宋体" w:hAnsi="宋体" w:cs="宋体"/>
                <w:color w:val="auto"/>
                <w:szCs w:val="21"/>
              </w:rPr>
            </w:pPr>
          </w:p>
        </w:tc>
        <w:tc>
          <w:tcPr>
            <w:tcW w:w="841" w:type="dxa"/>
            <w:vAlign w:val="center"/>
          </w:tcPr>
          <w:p w14:paraId="122FD7B9">
            <w:pPr>
              <w:spacing w:line="440" w:lineRule="exact"/>
              <w:ind w:left="223" w:hanging="222" w:hangingChars="106"/>
              <w:jc w:val="center"/>
              <w:rPr>
                <w:rFonts w:ascii="宋体" w:hAnsi="宋体" w:cs="宋体"/>
                <w:color w:val="auto"/>
                <w:szCs w:val="21"/>
              </w:rPr>
            </w:pPr>
          </w:p>
        </w:tc>
        <w:tc>
          <w:tcPr>
            <w:tcW w:w="939" w:type="dxa"/>
            <w:vAlign w:val="center"/>
          </w:tcPr>
          <w:p w14:paraId="5E2A0723">
            <w:pPr>
              <w:spacing w:line="440" w:lineRule="exact"/>
              <w:ind w:left="223" w:hanging="222" w:hangingChars="106"/>
              <w:jc w:val="center"/>
              <w:rPr>
                <w:rFonts w:ascii="宋体" w:hAnsi="宋体" w:cs="宋体"/>
                <w:color w:val="auto"/>
                <w:szCs w:val="21"/>
              </w:rPr>
            </w:pPr>
          </w:p>
        </w:tc>
        <w:tc>
          <w:tcPr>
            <w:tcW w:w="808" w:type="dxa"/>
            <w:vAlign w:val="center"/>
          </w:tcPr>
          <w:p w14:paraId="1C0C9B29">
            <w:pPr>
              <w:spacing w:line="440" w:lineRule="exact"/>
              <w:ind w:left="223" w:hanging="222" w:hangingChars="106"/>
              <w:jc w:val="center"/>
              <w:rPr>
                <w:rFonts w:ascii="宋体" w:hAnsi="宋体" w:cs="宋体"/>
                <w:color w:val="auto"/>
                <w:szCs w:val="21"/>
              </w:rPr>
            </w:pPr>
          </w:p>
        </w:tc>
        <w:tc>
          <w:tcPr>
            <w:tcW w:w="765" w:type="dxa"/>
            <w:vAlign w:val="center"/>
          </w:tcPr>
          <w:p w14:paraId="241C74E1">
            <w:pPr>
              <w:spacing w:line="440" w:lineRule="exact"/>
              <w:ind w:left="223" w:hanging="222" w:hangingChars="106"/>
              <w:jc w:val="center"/>
              <w:rPr>
                <w:rFonts w:ascii="宋体" w:hAnsi="宋体" w:cs="宋体"/>
                <w:color w:val="auto"/>
                <w:szCs w:val="21"/>
              </w:rPr>
            </w:pPr>
          </w:p>
        </w:tc>
        <w:tc>
          <w:tcPr>
            <w:tcW w:w="1463" w:type="dxa"/>
            <w:vAlign w:val="center"/>
          </w:tcPr>
          <w:p w14:paraId="50B600EA">
            <w:pPr>
              <w:spacing w:line="440" w:lineRule="exact"/>
              <w:ind w:left="223" w:hanging="222" w:hangingChars="106"/>
              <w:jc w:val="center"/>
              <w:rPr>
                <w:rFonts w:ascii="宋体" w:hAnsi="宋体" w:cs="宋体"/>
                <w:color w:val="auto"/>
                <w:szCs w:val="21"/>
              </w:rPr>
            </w:pPr>
          </w:p>
        </w:tc>
        <w:tc>
          <w:tcPr>
            <w:tcW w:w="1282" w:type="dxa"/>
            <w:vAlign w:val="center"/>
          </w:tcPr>
          <w:p w14:paraId="73A40855">
            <w:pPr>
              <w:spacing w:line="440" w:lineRule="exact"/>
              <w:ind w:left="223" w:hanging="222" w:hangingChars="106"/>
              <w:jc w:val="center"/>
              <w:rPr>
                <w:rFonts w:ascii="宋体" w:hAnsi="宋体" w:cs="宋体"/>
                <w:color w:val="auto"/>
                <w:szCs w:val="21"/>
              </w:rPr>
            </w:pPr>
          </w:p>
        </w:tc>
      </w:tr>
      <w:tr w14:paraId="4C56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53" w:type="dxa"/>
            <w:vAlign w:val="center"/>
          </w:tcPr>
          <w:p w14:paraId="35DE05A1">
            <w:pPr>
              <w:pStyle w:val="260"/>
              <w:spacing w:line="440" w:lineRule="exact"/>
              <w:ind w:firstLine="0"/>
              <w:jc w:val="center"/>
              <w:rPr>
                <w:color w:val="auto"/>
                <w:szCs w:val="21"/>
              </w:rPr>
            </w:pPr>
          </w:p>
        </w:tc>
        <w:tc>
          <w:tcPr>
            <w:tcW w:w="610" w:type="dxa"/>
            <w:vAlign w:val="center"/>
          </w:tcPr>
          <w:p w14:paraId="33787058">
            <w:pPr>
              <w:spacing w:line="440" w:lineRule="exact"/>
              <w:ind w:left="223" w:hanging="222" w:hangingChars="106"/>
              <w:jc w:val="center"/>
              <w:rPr>
                <w:rFonts w:ascii="宋体" w:hAnsi="宋体" w:cs="宋体"/>
                <w:color w:val="auto"/>
                <w:szCs w:val="21"/>
              </w:rPr>
            </w:pPr>
          </w:p>
        </w:tc>
        <w:tc>
          <w:tcPr>
            <w:tcW w:w="907" w:type="dxa"/>
            <w:vAlign w:val="center"/>
          </w:tcPr>
          <w:p w14:paraId="663EF5E7">
            <w:pPr>
              <w:spacing w:line="440" w:lineRule="exact"/>
              <w:ind w:left="223" w:hanging="222" w:hangingChars="106"/>
              <w:jc w:val="center"/>
              <w:rPr>
                <w:rFonts w:ascii="宋体" w:hAnsi="宋体" w:cs="宋体"/>
                <w:color w:val="auto"/>
                <w:szCs w:val="21"/>
              </w:rPr>
            </w:pPr>
          </w:p>
        </w:tc>
        <w:tc>
          <w:tcPr>
            <w:tcW w:w="923" w:type="dxa"/>
            <w:vAlign w:val="center"/>
          </w:tcPr>
          <w:p w14:paraId="6E4A5713">
            <w:pPr>
              <w:spacing w:line="440" w:lineRule="exact"/>
              <w:ind w:left="223" w:hanging="222" w:hangingChars="106"/>
              <w:jc w:val="center"/>
              <w:rPr>
                <w:rFonts w:ascii="宋体" w:hAnsi="宋体" w:cs="宋体"/>
                <w:color w:val="auto"/>
                <w:szCs w:val="21"/>
              </w:rPr>
            </w:pPr>
          </w:p>
        </w:tc>
        <w:tc>
          <w:tcPr>
            <w:tcW w:w="841" w:type="dxa"/>
            <w:vAlign w:val="center"/>
          </w:tcPr>
          <w:p w14:paraId="0AC99E83">
            <w:pPr>
              <w:spacing w:line="440" w:lineRule="exact"/>
              <w:ind w:left="223" w:hanging="222" w:hangingChars="106"/>
              <w:jc w:val="center"/>
              <w:rPr>
                <w:rFonts w:ascii="宋体" w:hAnsi="宋体" w:cs="宋体"/>
                <w:color w:val="auto"/>
                <w:szCs w:val="21"/>
              </w:rPr>
            </w:pPr>
          </w:p>
        </w:tc>
        <w:tc>
          <w:tcPr>
            <w:tcW w:w="939" w:type="dxa"/>
            <w:vAlign w:val="center"/>
          </w:tcPr>
          <w:p w14:paraId="622A879B">
            <w:pPr>
              <w:spacing w:line="440" w:lineRule="exact"/>
              <w:ind w:left="223" w:hanging="222" w:hangingChars="106"/>
              <w:jc w:val="center"/>
              <w:rPr>
                <w:rFonts w:ascii="宋体" w:hAnsi="宋体" w:cs="宋体"/>
                <w:color w:val="auto"/>
                <w:szCs w:val="21"/>
              </w:rPr>
            </w:pPr>
          </w:p>
        </w:tc>
        <w:tc>
          <w:tcPr>
            <w:tcW w:w="808" w:type="dxa"/>
            <w:vAlign w:val="center"/>
          </w:tcPr>
          <w:p w14:paraId="43C74750">
            <w:pPr>
              <w:spacing w:line="440" w:lineRule="exact"/>
              <w:ind w:left="223" w:hanging="222" w:hangingChars="106"/>
              <w:jc w:val="center"/>
              <w:rPr>
                <w:rFonts w:ascii="宋体" w:hAnsi="宋体" w:cs="宋体"/>
                <w:color w:val="auto"/>
                <w:szCs w:val="21"/>
              </w:rPr>
            </w:pPr>
          </w:p>
        </w:tc>
        <w:tc>
          <w:tcPr>
            <w:tcW w:w="765" w:type="dxa"/>
            <w:vAlign w:val="center"/>
          </w:tcPr>
          <w:p w14:paraId="50A2AFB4">
            <w:pPr>
              <w:spacing w:line="440" w:lineRule="exact"/>
              <w:ind w:left="223" w:hanging="222" w:hangingChars="106"/>
              <w:jc w:val="center"/>
              <w:rPr>
                <w:rFonts w:ascii="宋体" w:hAnsi="宋体" w:cs="宋体"/>
                <w:color w:val="auto"/>
                <w:szCs w:val="21"/>
              </w:rPr>
            </w:pPr>
          </w:p>
        </w:tc>
        <w:tc>
          <w:tcPr>
            <w:tcW w:w="1463" w:type="dxa"/>
            <w:vAlign w:val="center"/>
          </w:tcPr>
          <w:p w14:paraId="00F3B16E">
            <w:pPr>
              <w:spacing w:line="440" w:lineRule="exact"/>
              <w:ind w:left="223" w:hanging="222" w:hangingChars="106"/>
              <w:jc w:val="center"/>
              <w:rPr>
                <w:rFonts w:ascii="宋体" w:hAnsi="宋体" w:cs="宋体"/>
                <w:color w:val="auto"/>
                <w:szCs w:val="21"/>
              </w:rPr>
            </w:pPr>
          </w:p>
        </w:tc>
        <w:tc>
          <w:tcPr>
            <w:tcW w:w="1282" w:type="dxa"/>
            <w:vAlign w:val="center"/>
          </w:tcPr>
          <w:p w14:paraId="0B9E7AE4">
            <w:pPr>
              <w:spacing w:line="440" w:lineRule="exact"/>
              <w:ind w:left="223" w:hanging="222" w:hangingChars="106"/>
              <w:jc w:val="center"/>
              <w:rPr>
                <w:rFonts w:ascii="宋体" w:hAnsi="宋体" w:cs="宋体"/>
                <w:color w:val="auto"/>
                <w:szCs w:val="21"/>
              </w:rPr>
            </w:pPr>
          </w:p>
        </w:tc>
      </w:tr>
      <w:tr w14:paraId="36B8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91" w:type="dxa"/>
            <w:gridSpan w:val="10"/>
            <w:vAlign w:val="center"/>
          </w:tcPr>
          <w:p w14:paraId="2635BA0D">
            <w:pPr>
              <w:spacing w:line="440" w:lineRule="exact"/>
              <w:ind w:left="223" w:hanging="222" w:hangingChars="106"/>
              <w:jc w:val="left"/>
              <w:rPr>
                <w:rFonts w:ascii="宋体" w:hAnsi="宋体" w:cs="宋体"/>
                <w:color w:val="auto"/>
              </w:rPr>
            </w:pPr>
            <w:r>
              <w:rPr>
                <w:rFonts w:hint="eastAsia" w:ascii="宋体" w:hAnsi="宋体" w:cs="宋体"/>
                <w:color w:val="auto"/>
              </w:rPr>
              <w:t>一旦我单位成交，将实行项目经理负责制，我方保证并配备上述项目管理机构。上述填报内容真实，若不真实，按有关规定接受处理。项目管理班子机构设置、职责分工等情况另附资料说明。</w:t>
            </w:r>
          </w:p>
        </w:tc>
      </w:tr>
    </w:tbl>
    <w:p w14:paraId="06E71515">
      <w:pPr>
        <w:spacing w:line="440" w:lineRule="exact"/>
        <w:contextualSpacing/>
        <w:jc w:val="left"/>
        <w:rPr>
          <w:rFonts w:ascii="宋体" w:hAnsi="宋体" w:cs="宋体"/>
          <w:color w:val="auto"/>
          <w:sz w:val="24"/>
          <w:szCs w:val="20"/>
        </w:rPr>
      </w:pPr>
      <w:r>
        <w:rPr>
          <w:rFonts w:hint="eastAsia" w:ascii="宋体" w:hAnsi="宋体" w:cs="宋体"/>
          <w:color w:val="auto"/>
          <w:sz w:val="24"/>
          <w:szCs w:val="20"/>
        </w:rPr>
        <w:t>备注：</w:t>
      </w:r>
    </w:p>
    <w:p w14:paraId="56DB95F1">
      <w:pPr>
        <w:spacing w:line="440" w:lineRule="exact"/>
        <w:ind w:firstLine="480" w:firstLineChars="200"/>
        <w:contextualSpacing/>
        <w:jc w:val="left"/>
        <w:rPr>
          <w:rFonts w:ascii="宋体" w:hAnsi="宋体" w:cs="宋体"/>
          <w:color w:val="auto"/>
          <w:sz w:val="24"/>
          <w:szCs w:val="20"/>
        </w:rPr>
      </w:pPr>
      <w:r>
        <w:rPr>
          <w:rFonts w:hint="eastAsia" w:ascii="宋体" w:hAnsi="宋体" w:cs="宋体"/>
          <w:color w:val="auto"/>
          <w:sz w:val="24"/>
          <w:szCs w:val="20"/>
        </w:rPr>
        <w:t>1.本表所列岗位的所有管理人员的情况均应如实填写。可按以上格式扩展为多页填写。</w:t>
      </w:r>
    </w:p>
    <w:p w14:paraId="13537C22">
      <w:pPr>
        <w:spacing w:line="440" w:lineRule="exact"/>
        <w:ind w:firstLine="480" w:firstLineChars="200"/>
        <w:contextualSpacing/>
        <w:jc w:val="left"/>
        <w:rPr>
          <w:rFonts w:ascii="宋体" w:hAnsi="宋体" w:cs="宋体"/>
          <w:color w:val="auto"/>
          <w:sz w:val="24"/>
          <w:szCs w:val="20"/>
        </w:rPr>
      </w:pPr>
      <w:r>
        <w:rPr>
          <w:rFonts w:hint="eastAsia" w:ascii="宋体" w:hAnsi="宋体" w:cs="宋体"/>
          <w:color w:val="auto"/>
          <w:sz w:val="24"/>
          <w:szCs w:val="20"/>
        </w:rPr>
        <w:t>2.供应商应当在本表后附所有管理人员的身份证、职称证、执业或职业资格证书、2025年12月至2026年05月内任意连续3个月供应商为其缴纳社保的证明复印件或劳动合同复印件并加盖供应商电子签章。</w:t>
      </w:r>
    </w:p>
    <w:p w14:paraId="765D3DF8">
      <w:pPr>
        <w:spacing w:line="440" w:lineRule="exact"/>
        <w:ind w:right="-817" w:rightChars="-389" w:firstLine="2640" w:firstLineChars="1100"/>
        <w:contextualSpacing/>
        <w:rPr>
          <w:rFonts w:ascii="宋体" w:hAnsi="宋体" w:cs="宋体"/>
          <w:color w:val="auto"/>
          <w:sz w:val="24"/>
        </w:rPr>
      </w:pPr>
      <w:r>
        <w:rPr>
          <w:rFonts w:hint="eastAsia" w:ascii="宋体" w:hAnsi="宋体" w:cs="宋体"/>
          <w:color w:val="auto"/>
          <w:sz w:val="24"/>
        </w:rPr>
        <w:t xml:space="preserve">法定代表人或者委托代理人（签字或者电子签名）：                    </w:t>
      </w:r>
    </w:p>
    <w:p w14:paraId="6EE92547">
      <w:pPr>
        <w:spacing w:line="440" w:lineRule="exact"/>
        <w:ind w:right="-817" w:rightChars="-389" w:firstLine="2640" w:firstLineChars="1100"/>
        <w:contextualSpacing/>
        <w:rPr>
          <w:rFonts w:ascii="宋体" w:hAnsi="宋体" w:cs="宋体"/>
          <w:color w:val="auto"/>
          <w:sz w:val="24"/>
        </w:rPr>
      </w:pPr>
      <w:r>
        <w:rPr>
          <w:rFonts w:hint="eastAsia" w:ascii="宋体" w:hAnsi="宋体" w:cs="宋体"/>
          <w:color w:val="auto"/>
          <w:sz w:val="24"/>
        </w:rPr>
        <w:t xml:space="preserve">供应商（电子签章）：      </w:t>
      </w:r>
    </w:p>
    <w:p w14:paraId="6B35D687">
      <w:pPr>
        <w:spacing w:line="440" w:lineRule="exact"/>
        <w:ind w:right="-817" w:rightChars="-389" w:firstLine="4320" w:firstLineChars="1800"/>
        <w:contextualSpacing/>
        <w:rPr>
          <w:rFonts w:ascii="宋体" w:hAnsi="宋体" w:cs="宋体"/>
          <w:color w:val="auto"/>
          <w:sz w:val="24"/>
        </w:rPr>
      </w:pPr>
      <w:r>
        <w:rPr>
          <w:rFonts w:hint="eastAsia" w:ascii="宋体" w:hAnsi="宋体" w:cs="宋体"/>
          <w:color w:val="auto"/>
          <w:sz w:val="24"/>
        </w:rPr>
        <w:t>日期：   年   月   日</w:t>
      </w:r>
    </w:p>
    <w:p w14:paraId="03DC2E1B">
      <w:pPr>
        <w:spacing w:line="440" w:lineRule="exact"/>
        <w:jc w:val="center"/>
        <w:rPr>
          <w:rFonts w:ascii="宋体" w:hAnsi="宋体" w:cs="宋体"/>
          <w:b/>
          <w:color w:val="auto"/>
          <w:sz w:val="32"/>
          <w:szCs w:val="32"/>
        </w:rPr>
      </w:pPr>
      <w:r>
        <w:rPr>
          <w:rFonts w:hint="eastAsia" w:ascii="宋体" w:hAnsi="宋体" w:cs="宋体"/>
          <w:b/>
          <w:color w:val="auto"/>
          <w:sz w:val="32"/>
          <w:szCs w:val="32"/>
        </w:rPr>
        <w:br w:type="page"/>
      </w:r>
      <w:r>
        <w:rPr>
          <w:rFonts w:hint="eastAsia" w:ascii="宋体" w:hAnsi="宋体" w:cs="宋体"/>
          <w:b/>
          <w:color w:val="auto"/>
          <w:sz w:val="32"/>
          <w:szCs w:val="32"/>
        </w:rPr>
        <w:t>（二）拟投入的主要人员简历表</w:t>
      </w:r>
    </w:p>
    <w:p w14:paraId="7A5E7A41">
      <w:pPr>
        <w:spacing w:line="440" w:lineRule="exact"/>
        <w:ind w:firstLine="643" w:firstLineChars="200"/>
        <w:jc w:val="center"/>
        <w:rPr>
          <w:rFonts w:ascii="宋体" w:hAnsi="宋体" w:cs="宋体"/>
          <w:color w:val="auto"/>
          <w:u w:val="single"/>
        </w:rPr>
      </w:pPr>
      <w:r>
        <w:rPr>
          <w:rFonts w:hint="eastAsia" w:ascii="宋体" w:hAnsi="宋体" w:cs="宋体"/>
          <w:b/>
          <w:color w:val="auto"/>
          <w:sz w:val="32"/>
          <w:szCs w:val="32"/>
        </w:rPr>
        <w:t>拟投入本合同工程施工的主要人员简历表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459"/>
        <w:gridCol w:w="1054"/>
        <w:gridCol w:w="1512"/>
        <w:gridCol w:w="1513"/>
        <w:gridCol w:w="1513"/>
        <w:gridCol w:w="1513"/>
      </w:tblGrid>
      <w:tr w14:paraId="1D41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971" w:type="dxa"/>
            <w:gridSpan w:val="2"/>
            <w:noWrap/>
            <w:vAlign w:val="center"/>
          </w:tcPr>
          <w:p w14:paraId="4FE054AA">
            <w:pPr>
              <w:pStyle w:val="258"/>
              <w:tabs>
                <w:tab w:val="left" w:pos="6882"/>
                <w:tab w:val="left" w:pos="7510"/>
              </w:tabs>
              <w:spacing w:line="440" w:lineRule="exact"/>
              <w:ind w:firstLine="0"/>
              <w:jc w:val="center"/>
              <w:rPr>
                <w:color w:val="auto"/>
                <w:sz w:val="21"/>
                <w:szCs w:val="21"/>
              </w:rPr>
            </w:pPr>
            <w:r>
              <w:rPr>
                <w:rFonts w:hint="eastAsia"/>
                <w:color w:val="auto"/>
                <w:sz w:val="21"/>
                <w:szCs w:val="21"/>
              </w:rPr>
              <w:t>姓名</w:t>
            </w:r>
          </w:p>
        </w:tc>
        <w:tc>
          <w:tcPr>
            <w:tcW w:w="1054" w:type="dxa"/>
            <w:noWrap/>
            <w:vAlign w:val="center"/>
          </w:tcPr>
          <w:p w14:paraId="7DA47B9D">
            <w:pPr>
              <w:pStyle w:val="258"/>
              <w:tabs>
                <w:tab w:val="left" w:pos="6882"/>
                <w:tab w:val="left" w:pos="7510"/>
              </w:tabs>
              <w:spacing w:line="440" w:lineRule="exact"/>
              <w:ind w:firstLine="0"/>
              <w:jc w:val="center"/>
              <w:rPr>
                <w:color w:val="auto"/>
                <w:sz w:val="21"/>
                <w:szCs w:val="21"/>
              </w:rPr>
            </w:pPr>
          </w:p>
        </w:tc>
        <w:tc>
          <w:tcPr>
            <w:tcW w:w="1512" w:type="dxa"/>
            <w:noWrap/>
            <w:vAlign w:val="center"/>
          </w:tcPr>
          <w:p w14:paraId="5DB445BE">
            <w:pPr>
              <w:pStyle w:val="258"/>
              <w:tabs>
                <w:tab w:val="left" w:pos="6882"/>
                <w:tab w:val="left" w:pos="7510"/>
              </w:tabs>
              <w:spacing w:line="440" w:lineRule="exact"/>
              <w:ind w:firstLine="0"/>
              <w:jc w:val="center"/>
              <w:rPr>
                <w:color w:val="auto"/>
                <w:sz w:val="21"/>
                <w:szCs w:val="21"/>
              </w:rPr>
            </w:pPr>
            <w:r>
              <w:rPr>
                <w:rFonts w:hint="eastAsia"/>
                <w:color w:val="auto"/>
                <w:sz w:val="21"/>
                <w:szCs w:val="21"/>
              </w:rPr>
              <w:t>性别</w:t>
            </w:r>
          </w:p>
        </w:tc>
        <w:tc>
          <w:tcPr>
            <w:tcW w:w="1513" w:type="dxa"/>
            <w:noWrap/>
            <w:vAlign w:val="center"/>
          </w:tcPr>
          <w:p w14:paraId="304F244C">
            <w:pPr>
              <w:pStyle w:val="258"/>
              <w:tabs>
                <w:tab w:val="left" w:pos="6882"/>
                <w:tab w:val="left" w:pos="7510"/>
              </w:tabs>
              <w:spacing w:line="440" w:lineRule="exact"/>
              <w:ind w:firstLine="0"/>
              <w:jc w:val="center"/>
              <w:rPr>
                <w:color w:val="auto"/>
                <w:sz w:val="21"/>
                <w:szCs w:val="21"/>
              </w:rPr>
            </w:pPr>
          </w:p>
        </w:tc>
        <w:tc>
          <w:tcPr>
            <w:tcW w:w="1513" w:type="dxa"/>
            <w:noWrap/>
            <w:vAlign w:val="center"/>
          </w:tcPr>
          <w:p w14:paraId="59D7C12A">
            <w:pPr>
              <w:pStyle w:val="258"/>
              <w:tabs>
                <w:tab w:val="left" w:pos="6882"/>
                <w:tab w:val="left" w:pos="7510"/>
              </w:tabs>
              <w:spacing w:line="440" w:lineRule="exact"/>
              <w:ind w:firstLine="0"/>
              <w:jc w:val="center"/>
              <w:rPr>
                <w:color w:val="auto"/>
                <w:sz w:val="21"/>
                <w:szCs w:val="21"/>
              </w:rPr>
            </w:pPr>
            <w:r>
              <w:rPr>
                <w:rFonts w:hint="eastAsia"/>
                <w:color w:val="auto"/>
                <w:sz w:val="21"/>
                <w:szCs w:val="21"/>
              </w:rPr>
              <w:t>出生年月（</w:t>
            </w:r>
            <w:r>
              <w:rPr>
                <w:rFonts w:hint="eastAsia"/>
                <w:color w:val="auto"/>
                <w:sz w:val="21"/>
                <w:szCs w:val="21"/>
                <w:lang w:val="en-US"/>
              </w:rPr>
              <w:t xml:space="preserve">   岁</w:t>
            </w:r>
            <w:r>
              <w:rPr>
                <w:rFonts w:hint="eastAsia"/>
                <w:color w:val="auto"/>
                <w:sz w:val="21"/>
                <w:szCs w:val="21"/>
              </w:rPr>
              <w:t>）</w:t>
            </w:r>
          </w:p>
        </w:tc>
        <w:tc>
          <w:tcPr>
            <w:tcW w:w="1513" w:type="dxa"/>
            <w:noWrap/>
          </w:tcPr>
          <w:p w14:paraId="0C103ABE">
            <w:pPr>
              <w:pStyle w:val="258"/>
              <w:tabs>
                <w:tab w:val="left" w:pos="6882"/>
                <w:tab w:val="left" w:pos="7510"/>
              </w:tabs>
              <w:spacing w:line="440" w:lineRule="exact"/>
              <w:ind w:firstLine="0"/>
              <w:jc w:val="both"/>
              <w:rPr>
                <w:color w:val="auto"/>
                <w:sz w:val="21"/>
                <w:szCs w:val="21"/>
              </w:rPr>
            </w:pPr>
          </w:p>
        </w:tc>
      </w:tr>
      <w:tr w14:paraId="25D8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71" w:type="dxa"/>
            <w:gridSpan w:val="2"/>
            <w:noWrap/>
            <w:vAlign w:val="center"/>
          </w:tcPr>
          <w:p w14:paraId="78854380">
            <w:pPr>
              <w:pStyle w:val="258"/>
              <w:tabs>
                <w:tab w:val="left" w:pos="6882"/>
                <w:tab w:val="left" w:pos="7510"/>
              </w:tabs>
              <w:spacing w:line="440" w:lineRule="exact"/>
              <w:ind w:firstLine="0"/>
              <w:jc w:val="center"/>
              <w:rPr>
                <w:color w:val="auto"/>
                <w:sz w:val="21"/>
                <w:szCs w:val="21"/>
              </w:rPr>
            </w:pPr>
            <w:r>
              <w:rPr>
                <w:rFonts w:hint="eastAsia"/>
                <w:color w:val="auto"/>
                <w:sz w:val="21"/>
                <w:szCs w:val="21"/>
              </w:rPr>
              <w:t>职务</w:t>
            </w:r>
          </w:p>
        </w:tc>
        <w:tc>
          <w:tcPr>
            <w:tcW w:w="1054" w:type="dxa"/>
            <w:noWrap/>
            <w:vAlign w:val="center"/>
          </w:tcPr>
          <w:p w14:paraId="78959064">
            <w:pPr>
              <w:pStyle w:val="258"/>
              <w:tabs>
                <w:tab w:val="left" w:pos="6882"/>
                <w:tab w:val="left" w:pos="7510"/>
              </w:tabs>
              <w:spacing w:line="440" w:lineRule="exact"/>
              <w:ind w:firstLine="0"/>
              <w:jc w:val="center"/>
              <w:rPr>
                <w:color w:val="auto"/>
                <w:sz w:val="21"/>
                <w:szCs w:val="21"/>
              </w:rPr>
            </w:pPr>
          </w:p>
        </w:tc>
        <w:tc>
          <w:tcPr>
            <w:tcW w:w="1512" w:type="dxa"/>
            <w:noWrap/>
            <w:vAlign w:val="center"/>
          </w:tcPr>
          <w:p w14:paraId="0EC70EC0">
            <w:pPr>
              <w:pStyle w:val="258"/>
              <w:tabs>
                <w:tab w:val="left" w:pos="6882"/>
                <w:tab w:val="left" w:pos="7510"/>
              </w:tabs>
              <w:spacing w:line="440" w:lineRule="exact"/>
              <w:ind w:firstLine="0"/>
              <w:jc w:val="center"/>
              <w:rPr>
                <w:color w:val="auto"/>
                <w:sz w:val="21"/>
                <w:szCs w:val="21"/>
              </w:rPr>
            </w:pPr>
            <w:r>
              <w:rPr>
                <w:rFonts w:hint="eastAsia"/>
                <w:color w:val="auto"/>
                <w:sz w:val="21"/>
                <w:szCs w:val="21"/>
              </w:rPr>
              <w:t>职称</w:t>
            </w:r>
          </w:p>
        </w:tc>
        <w:tc>
          <w:tcPr>
            <w:tcW w:w="1513" w:type="dxa"/>
            <w:noWrap/>
            <w:vAlign w:val="center"/>
          </w:tcPr>
          <w:p w14:paraId="3FBCB7CB">
            <w:pPr>
              <w:pStyle w:val="258"/>
              <w:tabs>
                <w:tab w:val="left" w:pos="6882"/>
                <w:tab w:val="left" w:pos="7510"/>
              </w:tabs>
              <w:spacing w:line="440" w:lineRule="exact"/>
              <w:ind w:firstLine="0"/>
              <w:jc w:val="center"/>
              <w:rPr>
                <w:color w:val="auto"/>
                <w:sz w:val="21"/>
                <w:szCs w:val="21"/>
              </w:rPr>
            </w:pPr>
          </w:p>
        </w:tc>
        <w:tc>
          <w:tcPr>
            <w:tcW w:w="1513" w:type="dxa"/>
            <w:noWrap/>
            <w:vAlign w:val="center"/>
          </w:tcPr>
          <w:p w14:paraId="4618915E">
            <w:pPr>
              <w:pStyle w:val="258"/>
              <w:tabs>
                <w:tab w:val="left" w:pos="6882"/>
                <w:tab w:val="left" w:pos="7510"/>
              </w:tabs>
              <w:spacing w:line="440" w:lineRule="exact"/>
              <w:ind w:firstLine="0"/>
              <w:jc w:val="center"/>
              <w:rPr>
                <w:color w:val="auto"/>
                <w:sz w:val="21"/>
                <w:szCs w:val="21"/>
              </w:rPr>
            </w:pPr>
            <w:r>
              <w:rPr>
                <w:rFonts w:hint="eastAsia"/>
                <w:color w:val="auto"/>
                <w:sz w:val="21"/>
                <w:szCs w:val="21"/>
              </w:rPr>
              <w:t>学历</w:t>
            </w:r>
          </w:p>
        </w:tc>
        <w:tc>
          <w:tcPr>
            <w:tcW w:w="1513" w:type="dxa"/>
            <w:noWrap/>
          </w:tcPr>
          <w:p w14:paraId="295B4A43">
            <w:pPr>
              <w:pStyle w:val="258"/>
              <w:tabs>
                <w:tab w:val="left" w:pos="6882"/>
                <w:tab w:val="left" w:pos="7510"/>
              </w:tabs>
              <w:spacing w:line="440" w:lineRule="exact"/>
              <w:ind w:firstLine="0"/>
              <w:jc w:val="both"/>
              <w:rPr>
                <w:color w:val="auto"/>
                <w:sz w:val="21"/>
                <w:szCs w:val="21"/>
              </w:rPr>
            </w:pPr>
          </w:p>
        </w:tc>
      </w:tr>
      <w:tr w14:paraId="1C7B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971" w:type="dxa"/>
            <w:gridSpan w:val="2"/>
            <w:noWrap/>
          </w:tcPr>
          <w:p w14:paraId="27F786CD">
            <w:pPr>
              <w:pStyle w:val="258"/>
              <w:tabs>
                <w:tab w:val="left" w:pos="6882"/>
                <w:tab w:val="left" w:pos="7510"/>
              </w:tabs>
              <w:spacing w:line="440" w:lineRule="exact"/>
              <w:ind w:firstLine="0"/>
              <w:jc w:val="center"/>
              <w:rPr>
                <w:color w:val="auto"/>
                <w:sz w:val="21"/>
                <w:szCs w:val="21"/>
              </w:rPr>
            </w:pPr>
            <w:r>
              <w:rPr>
                <w:rFonts w:hint="eastAsia"/>
                <w:color w:val="auto"/>
                <w:sz w:val="21"/>
                <w:szCs w:val="21"/>
              </w:rPr>
              <w:t>职执业或职业资格证书名称及编号</w:t>
            </w:r>
          </w:p>
        </w:tc>
        <w:tc>
          <w:tcPr>
            <w:tcW w:w="4079" w:type="dxa"/>
            <w:gridSpan w:val="3"/>
            <w:noWrap/>
          </w:tcPr>
          <w:p w14:paraId="29C73026">
            <w:pPr>
              <w:pStyle w:val="258"/>
              <w:tabs>
                <w:tab w:val="left" w:pos="6882"/>
                <w:tab w:val="left" w:pos="7510"/>
              </w:tabs>
              <w:spacing w:line="440" w:lineRule="exact"/>
              <w:ind w:firstLine="0"/>
              <w:jc w:val="center"/>
              <w:rPr>
                <w:color w:val="auto"/>
                <w:sz w:val="21"/>
                <w:szCs w:val="21"/>
              </w:rPr>
            </w:pPr>
          </w:p>
        </w:tc>
        <w:tc>
          <w:tcPr>
            <w:tcW w:w="1513" w:type="dxa"/>
            <w:noWrap/>
          </w:tcPr>
          <w:p w14:paraId="2F419B6D">
            <w:pPr>
              <w:pStyle w:val="258"/>
              <w:tabs>
                <w:tab w:val="left" w:pos="6882"/>
                <w:tab w:val="left" w:pos="7510"/>
              </w:tabs>
              <w:spacing w:line="440" w:lineRule="exact"/>
              <w:ind w:firstLine="0"/>
              <w:jc w:val="center"/>
              <w:rPr>
                <w:color w:val="auto"/>
                <w:sz w:val="21"/>
                <w:szCs w:val="21"/>
              </w:rPr>
            </w:pPr>
            <w:r>
              <w:rPr>
                <w:rFonts w:hint="eastAsia"/>
                <w:color w:val="auto"/>
                <w:sz w:val="21"/>
                <w:szCs w:val="21"/>
              </w:rPr>
              <w:t>拟在本合同</w:t>
            </w:r>
          </w:p>
          <w:p w14:paraId="5DF12BDF">
            <w:pPr>
              <w:pStyle w:val="258"/>
              <w:tabs>
                <w:tab w:val="left" w:pos="6882"/>
                <w:tab w:val="left" w:pos="7510"/>
              </w:tabs>
              <w:spacing w:line="440" w:lineRule="exact"/>
              <w:ind w:firstLine="0"/>
              <w:jc w:val="center"/>
              <w:rPr>
                <w:color w:val="auto"/>
                <w:sz w:val="21"/>
                <w:szCs w:val="21"/>
              </w:rPr>
            </w:pPr>
            <w:r>
              <w:rPr>
                <w:rFonts w:hint="eastAsia"/>
                <w:color w:val="auto"/>
                <w:sz w:val="21"/>
                <w:szCs w:val="21"/>
              </w:rPr>
              <w:t>任职</w:t>
            </w:r>
          </w:p>
        </w:tc>
        <w:tc>
          <w:tcPr>
            <w:tcW w:w="1513" w:type="dxa"/>
            <w:noWrap/>
          </w:tcPr>
          <w:p w14:paraId="4D5BD59F">
            <w:pPr>
              <w:pStyle w:val="258"/>
              <w:tabs>
                <w:tab w:val="left" w:pos="6882"/>
                <w:tab w:val="left" w:pos="7510"/>
              </w:tabs>
              <w:spacing w:line="440" w:lineRule="exact"/>
              <w:ind w:firstLine="0"/>
              <w:jc w:val="both"/>
              <w:rPr>
                <w:color w:val="auto"/>
                <w:sz w:val="21"/>
                <w:szCs w:val="21"/>
              </w:rPr>
            </w:pPr>
          </w:p>
        </w:tc>
      </w:tr>
      <w:tr w14:paraId="521D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971" w:type="dxa"/>
            <w:gridSpan w:val="2"/>
            <w:noWrap/>
          </w:tcPr>
          <w:p w14:paraId="76052DC0">
            <w:pPr>
              <w:pStyle w:val="258"/>
              <w:tabs>
                <w:tab w:val="left" w:pos="6882"/>
                <w:tab w:val="left" w:pos="7510"/>
              </w:tabs>
              <w:spacing w:line="440" w:lineRule="exact"/>
              <w:ind w:firstLine="0"/>
              <w:jc w:val="center"/>
              <w:rPr>
                <w:color w:val="auto"/>
                <w:sz w:val="21"/>
                <w:szCs w:val="21"/>
              </w:rPr>
            </w:pPr>
            <w:r>
              <w:rPr>
                <w:rFonts w:hint="eastAsia"/>
                <w:color w:val="auto"/>
                <w:sz w:val="21"/>
                <w:szCs w:val="21"/>
              </w:rPr>
              <w:t>安全生产考核</w:t>
            </w:r>
          </w:p>
          <w:p w14:paraId="08ED5CE4">
            <w:pPr>
              <w:pStyle w:val="258"/>
              <w:tabs>
                <w:tab w:val="left" w:pos="6882"/>
                <w:tab w:val="left" w:pos="7510"/>
              </w:tabs>
              <w:spacing w:line="440" w:lineRule="exact"/>
              <w:ind w:firstLine="0"/>
              <w:jc w:val="center"/>
              <w:rPr>
                <w:color w:val="auto"/>
                <w:sz w:val="21"/>
                <w:szCs w:val="21"/>
              </w:rPr>
            </w:pPr>
            <w:r>
              <w:rPr>
                <w:rFonts w:hint="eastAsia"/>
                <w:color w:val="auto"/>
                <w:sz w:val="21"/>
                <w:szCs w:val="21"/>
              </w:rPr>
              <w:t>合格证书</w:t>
            </w:r>
          </w:p>
        </w:tc>
        <w:tc>
          <w:tcPr>
            <w:tcW w:w="4079" w:type="dxa"/>
            <w:gridSpan w:val="3"/>
            <w:noWrap/>
          </w:tcPr>
          <w:p w14:paraId="5998F43D">
            <w:pPr>
              <w:pStyle w:val="258"/>
              <w:tabs>
                <w:tab w:val="left" w:pos="6882"/>
                <w:tab w:val="left" w:pos="7510"/>
              </w:tabs>
              <w:spacing w:line="440" w:lineRule="exact"/>
              <w:ind w:firstLine="0"/>
              <w:jc w:val="center"/>
              <w:rPr>
                <w:color w:val="auto"/>
                <w:sz w:val="21"/>
                <w:szCs w:val="21"/>
              </w:rPr>
            </w:pPr>
          </w:p>
        </w:tc>
        <w:tc>
          <w:tcPr>
            <w:tcW w:w="1513" w:type="dxa"/>
            <w:noWrap/>
          </w:tcPr>
          <w:p w14:paraId="6C0B049B">
            <w:pPr>
              <w:pStyle w:val="258"/>
              <w:tabs>
                <w:tab w:val="left" w:pos="6882"/>
                <w:tab w:val="left" w:pos="7510"/>
              </w:tabs>
              <w:spacing w:line="440" w:lineRule="exact"/>
              <w:ind w:firstLine="0"/>
              <w:jc w:val="center"/>
              <w:rPr>
                <w:color w:val="auto"/>
                <w:sz w:val="21"/>
                <w:szCs w:val="21"/>
              </w:rPr>
            </w:pPr>
            <w:r>
              <w:rPr>
                <w:rFonts w:hint="eastAsia"/>
                <w:color w:val="auto"/>
                <w:sz w:val="21"/>
                <w:szCs w:val="21"/>
              </w:rPr>
              <w:t>担任本职</w:t>
            </w:r>
          </w:p>
          <w:p w14:paraId="18316FA3">
            <w:pPr>
              <w:pStyle w:val="258"/>
              <w:tabs>
                <w:tab w:val="left" w:pos="6882"/>
                <w:tab w:val="left" w:pos="7510"/>
              </w:tabs>
              <w:spacing w:line="440" w:lineRule="exact"/>
              <w:ind w:firstLine="0"/>
              <w:jc w:val="center"/>
              <w:rPr>
                <w:color w:val="auto"/>
                <w:sz w:val="21"/>
                <w:szCs w:val="21"/>
              </w:rPr>
            </w:pPr>
            <w:r>
              <w:rPr>
                <w:rFonts w:hint="eastAsia"/>
                <w:color w:val="auto"/>
                <w:sz w:val="21"/>
                <w:szCs w:val="21"/>
              </w:rPr>
              <w:t>工作年限</w:t>
            </w:r>
          </w:p>
        </w:tc>
        <w:tc>
          <w:tcPr>
            <w:tcW w:w="1513" w:type="dxa"/>
            <w:noWrap/>
          </w:tcPr>
          <w:p w14:paraId="06FAB96F">
            <w:pPr>
              <w:pStyle w:val="258"/>
              <w:tabs>
                <w:tab w:val="left" w:pos="6882"/>
                <w:tab w:val="left" w:pos="7510"/>
              </w:tabs>
              <w:spacing w:line="440" w:lineRule="exact"/>
              <w:ind w:firstLine="0"/>
              <w:jc w:val="both"/>
              <w:rPr>
                <w:color w:val="auto"/>
                <w:sz w:val="21"/>
                <w:szCs w:val="21"/>
              </w:rPr>
            </w:pPr>
          </w:p>
        </w:tc>
      </w:tr>
      <w:tr w14:paraId="3833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71" w:type="dxa"/>
            <w:gridSpan w:val="2"/>
            <w:noWrap/>
          </w:tcPr>
          <w:p w14:paraId="5CD7BC74">
            <w:pPr>
              <w:pStyle w:val="258"/>
              <w:tabs>
                <w:tab w:val="left" w:pos="6882"/>
                <w:tab w:val="left" w:pos="7510"/>
              </w:tabs>
              <w:spacing w:line="440" w:lineRule="exact"/>
              <w:ind w:firstLine="0"/>
              <w:jc w:val="both"/>
              <w:rPr>
                <w:color w:val="auto"/>
                <w:sz w:val="21"/>
                <w:szCs w:val="21"/>
              </w:rPr>
            </w:pPr>
            <w:r>
              <w:rPr>
                <w:rFonts w:hint="eastAsia"/>
                <w:color w:val="auto"/>
                <w:sz w:val="21"/>
                <w:szCs w:val="21"/>
              </w:rPr>
              <w:t>毕业学校</w:t>
            </w:r>
          </w:p>
        </w:tc>
        <w:tc>
          <w:tcPr>
            <w:tcW w:w="7105" w:type="dxa"/>
            <w:gridSpan w:val="5"/>
            <w:noWrap/>
          </w:tcPr>
          <w:p w14:paraId="1157EA5C">
            <w:pPr>
              <w:pStyle w:val="258"/>
              <w:tabs>
                <w:tab w:val="left" w:pos="6882"/>
                <w:tab w:val="left" w:pos="7510"/>
              </w:tabs>
              <w:spacing w:line="440" w:lineRule="exact"/>
              <w:ind w:firstLine="1050" w:firstLineChars="500"/>
              <w:jc w:val="both"/>
              <w:rPr>
                <w:color w:val="auto"/>
                <w:sz w:val="21"/>
                <w:szCs w:val="21"/>
                <w:lang w:val="en-US"/>
              </w:rPr>
            </w:pPr>
            <w:r>
              <w:rPr>
                <w:rFonts w:hint="eastAsia"/>
                <w:color w:val="auto"/>
                <w:sz w:val="21"/>
                <w:szCs w:val="21"/>
              </w:rPr>
              <w:t>年</w:t>
            </w:r>
            <w:r>
              <w:rPr>
                <w:rFonts w:hint="eastAsia"/>
                <w:color w:val="auto"/>
                <w:sz w:val="21"/>
                <w:szCs w:val="21"/>
                <w:lang w:val="en-US"/>
              </w:rPr>
              <w:t>月毕业于          学校       专业</w:t>
            </w:r>
          </w:p>
        </w:tc>
      </w:tr>
      <w:tr w14:paraId="084D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076" w:type="dxa"/>
            <w:gridSpan w:val="7"/>
            <w:noWrap/>
          </w:tcPr>
          <w:p w14:paraId="75FAE0B0">
            <w:pPr>
              <w:pStyle w:val="258"/>
              <w:tabs>
                <w:tab w:val="left" w:pos="6882"/>
                <w:tab w:val="left" w:pos="7510"/>
              </w:tabs>
              <w:spacing w:line="440" w:lineRule="exact"/>
              <w:ind w:firstLine="0"/>
              <w:jc w:val="center"/>
              <w:rPr>
                <w:color w:val="auto"/>
                <w:sz w:val="21"/>
                <w:szCs w:val="21"/>
              </w:rPr>
            </w:pPr>
            <w:r>
              <w:rPr>
                <w:rFonts w:hint="eastAsia"/>
                <w:color w:val="auto"/>
                <w:sz w:val="21"/>
                <w:szCs w:val="21"/>
              </w:rPr>
              <w:t>在建</w:t>
            </w:r>
            <w:r>
              <w:rPr>
                <w:rFonts w:hint="eastAsia"/>
                <w:color w:val="auto"/>
                <w:sz w:val="21"/>
                <w:szCs w:val="21"/>
                <w:lang w:val="en-US"/>
              </w:rPr>
              <w:t>和</w:t>
            </w:r>
            <w:r>
              <w:rPr>
                <w:rFonts w:hint="eastAsia"/>
                <w:color w:val="auto"/>
                <w:sz w:val="21"/>
                <w:szCs w:val="21"/>
              </w:rPr>
              <w:t>已完工程项目情况</w:t>
            </w:r>
          </w:p>
        </w:tc>
      </w:tr>
      <w:tr w14:paraId="12822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12" w:type="dxa"/>
            <w:noWrap/>
          </w:tcPr>
          <w:p w14:paraId="214FA0AF">
            <w:pPr>
              <w:pStyle w:val="258"/>
              <w:tabs>
                <w:tab w:val="left" w:pos="6882"/>
                <w:tab w:val="left" w:pos="7510"/>
              </w:tabs>
              <w:spacing w:line="440" w:lineRule="exact"/>
              <w:ind w:firstLine="0"/>
              <w:jc w:val="center"/>
              <w:rPr>
                <w:color w:val="auto"/>
                <w:sz w:val="21"/>
                <w:szCs w:val="21"/>
              </w:rPr>
            </w:pPr>
            <w:r>
              <w:rPr>
                <w:rFonts w:hint="eastAsia"/>
                <w:color w:val="auto"/>
                <w:sz w:val="21"/>
                <w:szCs w:val="21"/>
              </w:rPr>
              <w:t>建设单位</w:t>
            </w:r>
          </w:p>
        </w:tc>
        <w:tc>
          <w:tcPr>
            <w:tcW w:w="1513" w:type="dxa"/>
            <w:gridSpan w:val="2"/>
            <w:noWrap/>
          </w:tcPr>
          <w:p w14:paraId="4323C8B5">
            <w:pPr>
              <w:pStyle w:val="258"/>
              <w:tabs>
                <w:tab w:val="left" w:pos="6882"/>
                <w:tab w:val="left" w:pos="7510"/>
              </w:tabs>
              <w:spacing w:line="440" w:lineRule="exact"/>
              <w:ind w:firstLine="0"/>
              <w:jc w:val="center"/>
              <w:rPr>
                <w:color w:val="auto"/>
                <w:sz w:val="21"/>
                <w:szCs w:val="21"/>
              </w:rPr>
            </w:pPr>
            <w:r>
              <w:rPr>
                <w:rFonts w:hint="eastAsia"/>
                <w:color w:val="auto"/>
                <w:sz w:val="21"/>
                <w:szCs w:val="21"/>
              </w:rPr>
              <w:t>项目名称</w:t>
            </w:r>
          </w:p>
        </w:tc>
        <w:tc>
          <w:tcPr>
            <w:tcW w:w="1512" w:type="dxa"/>
            <w:noWrap/>
          </w:tcPr>
          <w:p w14:paraId="4E66EF14">
            <w:pPr>
              <w:pStyle w:val="258"/>
              <w:tabs>
                <w:tab w:val="left" w:pos="6882"/>
                <w:tab w:val="left" w:pos="7510"/>
              </w:tabs>
              <w:spacing w:line="440" w:lineRule="exact"/>
              <w:ind w:firstLine="0"/>
              <w:jc w:val="center"/>
              <w:rPr>
                <w:color w:val="auto"/>
                <w:sz w:val="21"/>
                <w:szCs w:val="21"/>
              </w:rPr>
            </w:pPr>
            <w:r>
              <w:rPr>
                <w:rFonts w:hint="eastAsia"/>
                <w:color w:val="auto"/>
                <w:sz w:val="21"/>
                <w:szCs w:val="21"/>
              </w:rPr>
              <w:t>建设规模</w:t>
            </w:r>
          </w:p>
        </w:tc>
        <w:tc>
          <w:tcPr>
            <w:tcW w:w="1513" w:type="dxa"/>
            <w:noWrap/>
          </w:tcPr>
          <w:p w14:paraId="15C1E48D">
            <w:pPr>
              <w:pStyle w:val="258"/>
              <w:tabs>
                <w:tab w:val="left" w:pos="6882"/>
                <w:tab w:val="left" w:pos="7510"/>
              </w:tabs>
              <w:spacing w:line="440" w:lineRule="exact"/>
              <w:ind w:firstLine="0"/>
              <w:jc w:val="center"/>
              <w:rPr>
                <w:color w:val="auto"/>
                <w:sz w:val="21"/>
                <w:szCs w:val="21"/>
              </w:rPr>
            </w:pPr>
            <w:r>
              <w:rPr>
                <w:rFonts w:hint="eastAsia"/>
                <w:color w:val="auto"/>
                <w:sz w:val="21"/>
                <w:szCs w:val="21"/>
              </w:rPr>
              <w:t>开、竣工日期</w:t>
            </w:r>
          </w:p>
        </w:tc>
        <w:tc>
          <w:tcPr>
            <w:tcW w:w="1513" w:type="dxa"/>
            <w:noWrap/>
          </w:tcPr>
          <w:p w14:paraId="437E1ECF">
            <w:pPr>
              <w:pStyle w:val="258"/>
              <w:tabs>
                <w:tab w:val="left" w:pos="6882"/>
                <w:tab w:val="left" w:pos="7510"/>
              </w:tabs>
              <w:spacing w:line="440" w:lineRule="exact"/>
              <w:ind w:firstLine="0"/>
              <w:jc w:val="center"/>
              <w:rPr>
                <w:color w:val="auto"/>
                <w:sz w:val="21"/>
                <w:szCs w:val="21"/>
              </w:rPr>
            </w:pPr>
            <w:r>
              <w:rPr>
                <w:rFonts w:hint="eastAsia"/>
                <w:color w:val="auto"/>
                <w:sz w:val="21"/>
                <w:szCs w:val="21"/>
              </w:rPr>
              <w:t>工程质量</w:t>
            </w:r>
          </w:p>
        </w:tc>
        <w:tc>
          <w:tcPr>
            <w:tcW w:w="1513" w:type="dxa"/>
            <w:noWrap/>
          </w:tcPr>
          <w:p w14:paraId="433A07F6">
            <w:pPr>
              <w:pStyle w:val="258"/>
              <w:tabs>
                <w:tab w:val="left" w:pos="6882"/>
                <w:tab w:val="left" w:pos="7510"/>
              </w:tabs>
              <w:spacing w:line="440" w:lineRule="exact"/>
              <w:ind w:firstLine="0"/>
              <w:jc w:val="center"/>
              <w:rPr>
                <w:color w:val="auto"/>
                <w:sz w:val="21"/>
                <w:szCs w:val="21"/>
              </w:rPr>
            </w:pPr>
            <w:r>
              <w:rPr>
                <w:rFonts w:hint="eastAsia"/>
                <w:color w:val="auto"/>
                <w:sz w:val="21"/>
                <w:szCs w:val="21"/>
              </w:rPr>
              <w:t>受奖情况</w:t>
            </w:r>
          </w:p>
        </w:tc>
      </w:tr>
      <w:tr w14:paraId="3C55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12" w:type="dxa"/>
            <w:noWrap/>
          </w:tcPr>
          <w:p w14:paraId="155802E0">
            <w:pPr>
              <w:pStyle w:val="258"/>
              <w:tabs>
                <w:tab w:val="left" w:pos="6882"/>
                <w:tab w:val="left" w:pos="7510"/>
              </w:tabs>
              <w:spacing w:line="440" w:lineRule="exact"/>
              <w:ind w:firstLine="0"/>
              <w:jc w:val="both"/>
              <w:rPr>
                <w:color w:val="auto"/>
                <w:sz w:val="21"/>
                <w:szCs w:val="21"/>
              </w:rPr>
            </w:pPr>
          </w:p>
        </w:tc>
        <w:tc>
          <w:tcPr>
            <w:tcW w:w="1513" w:type="dxa"/>
            <w:gridSpan w:val="2"/>
            <w:noWrap/>
          </w:tcPr>
          <w:p w14:paraId="155FBC31">
            <w:pPr>
              <w:pStyle w:val="258"/>
              <w:tabs>
                <w:tab w:val="left" w:pos="6882"/>
                <w:tab w:val="left" w:pos="7510"/>
              </w:tabs>
              <w:spacing w:line="440" w:lineRule="exact"/>
              <w:ind w:firstLine="0"/>
              <w:jc w:val="both"/>
              <w:rPr>
                <w:color w:val="auto"/>
                <w:sz w:val="21"/>
                <w:szCs w:val="21"/>
              </w:rPr>
            </w:pPr>
          </w:p>
        </w:tc>
        <w:tc>
          <w:tcPr>
            <w:tcW w:w="1512" w:type="dxa"/>
            <w:noWrap/>
          </w:tcPr>
          <w:p w14:paraId="3A5E896D">
            <w:pPr>
              <w:pStyle w:val="258"/>
              <w:tabs>
                <w:tab w:val="left" w:pos="6882"/>
                <w:tab w:val="left" w:pos="7510"/>
              </w:tabs>
              <w:spacing w:line="440" w:lineRule="exact"/>
              <w:ind w:firstLine="0"/>
              <w:jc w:val="both"/>
              <w:rPr>
                <w:color w:val="auto"/>
                <w:sz w:val="21"/>
                <w:szCs w:val="21"/>
              </w:rPr>
            </w:pPr>
          </w:p>
        </w:tc>
        <w:tc>
          <w:tcPr>
            <w:tcW w:w="1513" w:type="dxa"/>
            <w:noWrap/>
          </w:tcPr>
          <w:p w14:paraId="20D5692F">
            <w:pPr>
              <w:pStyle w:val="258"/>
              <w:tabs>
                <w:tab w:val="left" w:pos="6882"/>
                <w:tab w:val="left" w:pos="7510"/>
              </w:tabs>
              <w:spacing w:line="440" w:lineRule="exact"/>
              <w:ind w:firstLine="0"/>
              <w:jc w:val="both"/>
              <w:rPr>
                <w:color w:val="auto"/>
                <w:sz w:val="21"/>
                <w:szCs w:val="21"/>
              </w:rPr>
            </w:pPr>
          </w:p>
        </w:tc>
        <w:tc>
          <w:tcPr>
            <w:tcW w:w="1513" w:type="dxa"/>
            <w:noWrap/>
          </w:tcPr>
          <w:p w14:paraId="1456A3A2">
            <w:pPr>
              <w:pStyle w:val="258"/>
              <w:tabs>
                <w:tab w:val="left" w:pos="6882"/>
                <w:tab w:val="left" w:pos="7510"/>
              </w:tabs>
              <w:spacing w:line="440" w:lineRule="exact"/>
              <w:ind w:firstLine="0"/>
              <w:jc w:val="both"/>
              <w:rPr>
                <w:color w:val="auto"/>
                <w:sz w:val="21"/>
                <w:szCs w:val="21"/>
              </w:rPr>
            </w:pPr>
          </w:p>
        </w:tc>
        <w:tc>
          <w:tcPr>
            <w:tcW w:w="1513" w:type="dxa"/>
            <w:noWrap/>
          </w:tcPr>
          <w:p w14:paraId="56B76571">
            <w:pPr>
              <w:pStyle w:val="258"/>
              <w:tabs>
                <w:tab w:val="left" w:pos="6882"/>
                <w:tab w:val="left" w:pos="7510"/>
              </w:tabs>
              <w:spacing w:line="440" w:lineRule="exact"/>
              <w:ind w:firstLine="0"/>
              <w:jc w:val="both"/>
              <w:rPr>
                <w:color w:val="auto"/>
                <w:sz w:val="21"/>
                <w:szCs w:val="21"/>
              </w:rPr>
            </w:pPr>
          </w:p>
        </w:tc>
      </w:tr>
      <w:tr w14:paraId="2C6F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12" w:type="dxa"/>
            <w:noWrap/>
          </w:tcPr>
          <w:p w14:paraId="577954F7">
            <w:pPr>
              <w:pStyle w:val="258"/>
              <w:tabs>
                <w:tab w:val="left" w:pos="6882"/>
                <w:tab w:val="left" w:pos="7510"/>
              </w:tabs>
              <w:spacing w:line="440" w:lineRule="exact"/>
              <w:ind w:firstLine="0"/>
              <w:jc w:val="both"/>
              <w:rPr>
                <w:color w:val="auto"/>
                <w:sz w:val="21"/>
                <w:szCs w:val="21"/>
              </w:rPr>
            </w:pPr>
          </w:p>
        </w:tc>
        <w:tc>
          <w:tcPr>
            <w:tcW w:w="1513" w:type="dxa"/>
            <w:gridSpan w:val="2"/>
            <w:noWrap/>
          </w:tcPr>
          <w:p w14:paraId="6A1A8B54">
            <w:pPr>
              <w:pStyle w:val="258"/>
              <w:tabs>
                <w:tab w:val="left" w:pos="6882"/>
                <w:tab w:val="left" w:pos="7510"/>
              </w:tabs>
              <w:spacing w:line="440" w:lineRule="exact"/>
              <w:ind w:firstLine="0"/>
              <w:jc w:val="both"/>
              <w:rPr>
                <w:color w:val="auto"/>
                <w:sz w:val="21"/>
                <w:szCs w:val="21"/>
              </w:rPr>
            </w:pPr>
          </w:p>
        </w:tc>
        <w:tc>
          <w:tcPr>
            <w:tcW w:w="1512" w:type="dxa"/>
            <w:noWrap/>
          </w:tcPr>
          <w:p w14:paraId="1E2D13D3">
            <w:pPr>
              <w:pStyle w:val="258"/>
              <w:tabs>
                <w:tab w:val="left" w:pos="6882"/>
                <w:tab w:val="left" w:pos="7510"/>
              </w:tabs>
              <w:spacing w:line="440" w:lineRule="exact"/>
              <w:ind w:firstLine="0"/>
              <w:jc w:val="both"/>
              <w:rPr>
                <w:color w:val="auto"/>
                <w:sz w:val="21"/>
                <w:szCs w:val="21"/>
              </w:rPr>
            </w:pPr>
          </w:p>
        </w:tc>
        <w:tc>
          <w:tcPr>
            <w:tcW w:w="1513" w:type="dxa"/>
            <w:noWrap/>
          </w:tcPr>
          <w:p w14:paraId="4E12CE29">
            <w:pPr>
              <w:pStyle w:val="258"/>
              <w:tabs>
                <w:tab w:val="left" w:pos="6882"/>
                <w:tab w:val="left" w:pos="7510"/>
              </w:tabs>
              <w:spacing w:line="440" w:lineRule="exact"/>
              <w:ind w:firstLine="0"/>
              <w:jc w:val="both"/>
              <w:rPr>
                <w:color w:val="auto"/>
                <w:sz w:val="21"/>
                <w:szCs w:val="21"/>
              </w:rPr>
            </w:pPr>
          </w:p>
        </w:tc>
        <w:tc>
          <w:tcPr>
            <w:tcW w:w="1513" w:type="dxa"/>
            <w:noWrap/>
          </w:tcPr>
          <w:p w14:paraId="22030E9E">
            <w:pPr>
              <w:pStyle w:val="258"/>
              <w:tabs>
                <w:tab w:val="left" w:pos="6882"/>
                <w:tab w:val="left" w:pos="7510"/>
              </w:tabs>
              <w:spacing w:line="440" w:lineRule="exact"/>
              <w:ind w:firstLine="0"/>
              <w:jc w:val="both"/>
              <w:rPr>
                <w:color w:val="auto"/>
                <w:sz w:val="21"/>
                <w:szCs w:val="21"/>
              </w:rPr>
            </w:pPr>
          </w:p>
        </w:tc>
        <w:tc>
          <w:tcPr>
            <w:tcW w:w="1513" w:type="dxa"/>
            <w:noWrap/>
          </w:tcPr>
          <w:p w14:paraId="47865884">
            <w:pPr>
              <w:pStyle w:val="258"/>
              <w:tabs>
                <w:tab w:val="left" w:pos="6882"/>
                <w:tab w:val="left" w:pos="7510"/>
              </w:tabs>
              <w:spacing w:line="440" w:lineRule="exact"/>
              <w:ind w:firstLine="0"/>
              <w:jc w:val="both"/>
              <w:rPr>
                <w:color w:val="auto"/>
                <w:sz w:val="21"/>
                <w:szCs w:val="21"/>
              </w:rPr>
            </w:pPr>
          </w:p>
        </w:tc>
      </w:tr>
      <w:tr w14:paraId="7F51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12" w:type="dxa"/>
            <w:noWrap/>
          </w:tcPr>
          <w:p w14:paraId="3B638C5A">
            <w:pPr>
              <w:pStyle w:val="258"/>
              <w:tabs>
                <w:tab w:val="left" w:pos="6882"/>
                <w:tab w:val="left" w:pos="7510"/>
              </w:tabs>
              <w:spacing w:line="440" w:lineRule="exact"/>
              <w:ind w:firstLine="0"/>
              <w:jc w:val="both"/>
              <w:rPr>
                <w:color w:val="auto"/>
                <w:sz w:val="21"/>
                <w:szCs w:val="21"/>
              </w:rPr>
            </w:pPr>
          </w:p>
        </w:tc>
        <w:tc>
          <w:tcPr>
            <w:tcW w:w="1513" w:type="dxa"/>
            <w:gridSpan w:val="2"/>
            <w:noWrap/>
          </w:tcPr>
          <w:p w14:paraId="1FFE93D7">
            <w:pPr>
              <w:pStyle w:val="258"/>
              <w:tabs>
                <w:tab w:val="left" w:pos="6882"/>
                <w:tab w:val="left" w:pos="7510"/>
              </w:tabs>
              <w:spacing w:line="440" w:lineRule="exact"/>
              <w:ind w:firstLine="0"/>
              <w:jc w:val="both"/>
              <w:rPr>
                <w:color w:val="auto"/>
                <w:sz w:val="21"/>
                <w:szCs w:val="21"/>
              </w:rPr>
            </w:pPr>
          </w:p>
        </w:tc>
        <w:tc>
          <w:tcPr>
            <w:tcW w:w="1512" w:type="dxa"/>
            <w:noWrap/>
          </w:tcPr>
          <w:p w14:paraId="1011E675">
            <w:pPr>
              <w:pStyle w:val="258"/>
              <w:tabs>
                <w:tab w:val="left" w:pos="6882"/>
                <w:tab w:val="left" w:pos="7510"/>
              </w:tabs>
              <w:spacing w:line="440" w:lineRule="exact"/>
              <w:ind w:firstLine="0"/>
              <w:jc w:val="both"/>
              <w:rPr>
                <w:color w:val="auto"/>
                <w:sz w:val="21"/>
                <w:szCs w:val="21"/>
              </w:rPr>
            </w:pPr>
          </w:p>
        </w:tc>
        <w:tc>
          <w:tcPr>
            <w:tcW w:w="1513" w:type="dxa"/>
            <w:noWrap/>
          </w:tcPr>
          <w:p w14:paraId="0EE78279">
            <w:pPr>
              <w:pStyle w:val="258"/>
              <w:tabs>
                <w:tab w:val="left" w:pos="6882"/>
                <w:tab w:val="left" w:pos="7510"/>
              </w:tabs>
              <w:spacing w:line="440" w:lineRule="exact"/>
              <w:ind w:firstLine="0"/>
              <w:jc w:val="both"/>
              <w:rPr>
                <w:color w:val="auto"/>
                <w:sz w:val="21"/>
                <w:szCs w:val="21"/>
              </w:rPr>
            </w:pPr>
          </w:p>
        </w:tc>
        <w:tc>
          <w:tcPr>
            <w:tcW w:w="1513" w:type="dxa"/>
            <w:noWrap/>
          </w:tcPr>
          <w:p w14:paraId="051F11C7">
            <w:pPr>
              <w:pStyle w:val="258"/>
              <w:tabs>
                <w:tab w:val="left" w:pos="6882"/>
                <w:tab w:val="left" w:pos="7510"/>
              </w:tabs>
              <w:spacing w:line="440" w:lineRule="exact"/>
              <w:ind w:firstLine="0"/>
              <w:jc w:val="both"/>
              <w:rPr>
                <w:color w:val="auto"/>
                <w:sz w:val="21"/>
                <w:szCs w:val="21"/>
              </w:rPr>
            </w:pPr>
          </w:p>
        </w:tc>
        <w:tc>
          <w:tcPr>
            <w:tcW w:w="1513" w:type="dxa"/>
            <w:noWrap/>
          </w:tcPr>
          <w:p w14:paraId="7E1C4A89">
            <w:pPr>
              <w:pStyle w:val="258"/>
              <w:tabs>
                <w:tab w:val="left" w:pos="6882"/>
                <w:tab w:val="left" w:pos="7510"/>
              </w:tabs>
              <w:spacing w:line="440" w:lineRule="exact"/>
              <w:ind w:firstLine="0"/>
              <w:jc w:val="both"/>
              <w:rPr>
                <w:color w:val="auto"/>
                <w:sz w:val="21"/>
                <w:szCs w:val="21"/>
              </w:rPr>
            </w:pPr>
          </w:p>
        </w:tc>
      </w:tr>
    </w:tbl>
    <w:p w14:paraId="28642CA8">
      <w:pPr>
        <w:spacing w:line="440" w:lineRule="exact"/>
        <w:rPr>
          <w:rFonts w:ascii="宋体" w:hAnsi="宋体" w:cs="宋体"/>
          <w:color w:val="auto"/>
          <w:szCs w:val="21"/>
        </w:rPr>
      </w:pPr>
      <w:r>
        <w:rPr>
          <w:rFonts w:hint="eastAsia" w:ascii="宋体" w:hAnsi="宋体" w:cs="宋体"/>
          <w:color w:val="auto"/>
          <w:szCs w:val="21"/>
        </w:rPr>
        <w:t>备注：</w:t>
      </w:r>
    </w:p>
    <w:p w14:paraId="5D566EB7">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1.主要人员指项目经理、项目总工、安全管理员及其它主要人员，</w:t>
      </w:r>
      <w:r>
        <w:rPr>
          <w:rFonts w:hint="eastAsia" w:ascii="宋体" w:hAnsi="宋体" w:cs="宋体"/>
          <w:color w:val="auto"/>
        </w:rPr>
        <w:t xml:space="preserve"> 每个人员按照以上格式填写（可扩展为多页），</w:t>
      </w:r>
      <w:r>
        <w:rPr>
          <w:rFonts w:hint="eastAsia" w:ascii="宋体" w:hAnsi="宋体" w:cs="宋体"/>
          <w:color w:val="auto"/>
          <w:szCs w:val="21"/>
        </w:rPr>
        <w:t>项目数可以根据需要增加。</w:t>
      </w:r>
    </w:p>
    <w:p w14:paraId="0E9AC0FE">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2.本表后附主要人员本表所列证书扫描件并加盖供应商电子签章。</w:t>
      </w:r>
      <w:bookmarkEnd w:id="105"/>
      <w:bookmarkEnd w:id="106"/>
      <w:bookmarkEnd w:id="107"/>
      <w:bookmarkEnd w:id="108"/>
      <w:bookmarkEnd w:id="109"/>
    </w:p>
    <w:p w14:paraId="63AB39BA">
      <w:pPr>
        <w:spacing w:line="440" w:lineRule="exact"/>
        <w:ind w:right="-817" w:rightChars="-389"/>
        <w:contextualSpacing/>
        <w:rPr>
          <w:rFonts w:ascii="宋体" w:hAnsi="宋体" w:cs="宋体"/>
          <w:color w:val="auto"/>
          <w:sz w:val="24"/>
        </w:rPr>
      </w:pPr>
    </w:p>
    <w:p w14:paraId="281347B8">
      <w:pPr>
        <w:spacing w:line="440" w:lineRule="exact"/>
        <w:ind w:right="-817" w:rightChars="-389" w:firstLine="2160" w:firstLineChars="900"/>
        <w:contextualSpacing/>
        <w:rPr>
          <w:rFonts w:ascii="宋体" w:hAnsi="宋体" w:cs="宋体"/>
          <w:color w:val="auto"/>
          <w:sz w:val="24"/>
        </w:rPr>
      </w:pPr>
      <w:r>
        <w:rPr>
          <w:rFonts w:hint="eastAsia" w:ascii="宋体" w:hAnsi="宋体" w:cs="宋体"/>
          <w:color w:val="auto"/>
          <w:sz w:val="24"/>
        </w:rPr>
        <w:t>法定代表人或者委托代理人（签字或者电子签名）：</w:t>
      </w:r>
    </w:p>
    <w:p w14:paraId="6F569AC4">
      <w:pPr>
        <w:spacing w:line="440" w:lineRule="exact"/>
        <w:ind w:right="-817" w:rightChars="-389" w:firstLine="5280" w:firstLineChars="2200"/>
        <w:contextualSpacing/>
        <w:rPr>
          <w:rFonts w:ascii="宋体" w:hAnsi="宋体" w:cs="宋体"/>
          <w:color w:val="auto"/>
          <w:sz w:val="24"/>
        </w:rPr>
      </w:pPr>
      <w:r>
        <w:rPr>
          <w:rFonts w:hint="eastAsia" w:ascii="宋体" w:hAnsi="宋体" w:cs="宋体"/>
          <w:color w:val="auto"/>
          <w:sz w:val="24"/>
        </w:rPr>
        <w:t xml:space="preserve">供应商（电子签章）：      </w:t>
      </w:r>
    </w:p>
    <w:p w14:paraId="7A6229D7">
      <w:pPr>
        <w:spacing w:line="440" w:lineRule="exact"/>
        <w:ind w:right="-817" w:rightChars="-389" w:firstLine="5520" w:firstLineChars="2300"/>
        <w:contextualSpacing/>
        <w:rPr>
          <w:rFonts w:ascii="宋体" w:hAnsi="宋体" w:cs="宋体"/>
          <w:color w:val="auto"/>
          <w:sz w:val="24"/>
        </w:rPr>
      </w:pPr>
      <w:r>
        <w:rPr>
          <w:rFonts w:hint="eastAsia" w:ascii="宋体" w:hAnsi="宋体" w:cs="宋体"/>
          <w:color w:val="auto"/>
          <w:sz w:val="24"/>
        </w:rPr>
        <w:t>日期：   年   月   日</w:t>
      </w:r>
    </w:p>
    <w:p w14:paraId="45E1EBD6">
      <w:pPr>
        <w:spacing w:line="440" w:lineRule="exact"/>
        <w:rPr>
          <w:rFonts w:ascii="宋体" w:hAnsi="宋体" w:cs="宋体"/>
          <w:color w:val="auto"/>
          <w:szCs w:val="21"/>
        </w:rPr>
      </w:pPr>
      <w:r>
        <w:rPr>
          <w:rFonts w:hint="eastAsia" w:ascii="宋体" w:hAnsi="宋体" w:cs="宋体"/>
          <w:color w:val="auto"/>
          <w:sz w:val="24"/>
        </w:rPr>
        <w:br w:type="page"/>
      </w:r>
    </w:p>
    <w:p w14:paraId="786005C5">
      <w:pPr>
        <w:spacing w:before="146" w:line="440" w:lineRule="exact"/>
        <w:ind w:right="142"/>
        <w:jc w:val="center"/>
        <w:rPr>
          <w:rFonts w:ascii="宋体" w:hAnsi="宋体" w:cs="宋体"/>
          <w:b/>
          <w:bCs/>
          <w:color w:val="auto"/>
          <w:sz w:val="40"/>
          <w:szCs w:val="40"/>
        </w:rPr>
      </w:pPr>
      <w:r>
        <w:rPr>
          <w:rFonts w:hint="eastAsia" w:ascii="宋体" w:hAnsi="宋体" w:cs="宋体"/>
          <w:b/>
          <w:color w:val="auto"/>
          <w:sz w:val="32"/>
          <w:szCs w:val="32"/>
        </w:rPr>
        <w:t>农民工工资保证金承诺书</w:t>
      </w:r>
    </w:p>
    <w:p w14:paraId="62E0DC7E">
      <w:pPr>
        <w:spacing w:line="440" w:lineRule="exact"/>
        <w:rPr>
          <w:rFonts w:ascii="宋体" w:hAnsi="宋体" w:cs="宋体"/>
          <w:color w:val="auto"/>
          <w:sz w:val="24"/>
          <w:szCs w:val="24"/>
        </w:rPr>
      </w:pPr>
      <w:r>
        <w:rPr>
          <w:rFonts w:hint="eastAsia" w:ascii="宋体" w:hAnsi="宋体" w:cs="宋体"/>
          <w:color w:val="auto"/>
          <w:sz w:val="24"/>
          <w:szCs w:val="24"/>
        </w:rPr>
        <w:t>致：（采购人名称）</w:t>
      </w:r>
    </w:p>
    <w:p w14:paraId="304118C9">
      <w:pPr>
        <w:spacing w:line="440" w:lineRule="exact"/>
        <w:ind w:firstLine="480"/>
        <w:rPr>
          <w:rFonts w:ascii="宋体" w:hAnsi="宋体" w:cs="宋体"/>
          <w:color w:val="auto"/>
          <w:sz w:val="24"/>
          <w:szCs w:val="24"/>
          <w:u w:val="single"/>
        </w:rPr>
      </w:pPr>
      <w:r>
        <w:rPr>
          <w:rFonts w:hint="eastAsia" w:ascii="宋体" w:hAnsi="宋体" w:cs="宋体"/>
          <w:color w:val="auto"/>
          <w:sz w:val="24"/>
          <w:szCs w:val="24"/>
        </w:rPr>
        <w:t>根据《保障农民工工资支付条例》（中华人民共和国国务院令第724号）、《关于明确农民工工资保证金制度有关问题的通知》（桂薪联发﹝2016﹞2号）及《广西壮族自治区工程建设领域农民工工资保证金规定实施办法》（桂人社规〔2021〕16号）、 《广西壮族自治区人力资源和社会保障厅等8部门关于印发广西壮族自治区工程建设领域农民工工资专用账户管理暂行办法实施细则的通知》（桂人社规〔2022〕5号）等规定，在项目的磋商中，我单位对农民工工资的支付作出以下郑重承诺：</w:t>
      </w:r>
    </w:p>
    <w:p w14:paraId="17A0AD3A">
      <w:pPr>
        <w:spacing w:line="440" w:lineRule="exact"/>
        <w:ind w:firstLine="480"/>
        <w:rPr>
          <w:rFonts w:ascii="宋体" w:hAnsi="宋体" w:cs="宋体"/>
          <w:color w:val="auto"/>
          <w:sz w:val="24"/>
          <w:szCs w:val="24"/>
        </w:rPr>
      </w:pPr>
      <w:r>
        <w:rPr>
          <w:rFonts w:hint="eastAsia" w:ascii="宋体" w:hAnsi="宋体" w:cs="宋体"/>
          <w:color w:val="auto"/>
          <w:sz w:val="24"/>
          <w:szCs w:val="24"/>
        </w:rPr>
        <w:t>（一）我单位在本采购项目递交响应文件截止时间</w:t>
      </w:r>
      <w:r>
        <w:rPr>
          <w:rFonts w:hint="eastAsia" w:ascii="宋体" w:hAnsi="宋体" w:cs="宋体"/>
          <w:color w:val="auto"/>
          <w:sz w:val="24"/>
          <w:szCs w:val="24"/>
          <w:u w:val="single"/>
        </w:rPr>
        <w:t xml:space="preserve">         （开标日）</w:t>
      </w:r>
      <w:r>
        <w:rPr>
          <w:rFonts w:hint="eastAsia" w:ascii="宋体" w:hAnsi="宋体" w:cs="宋体"/>
          <w:color w:val="auto"/>
          <w:sz w:val="24"/>
          <w:szCs w:val="24"/>
        </w:rPr>
        <w:t>前所承建的工程项目，不存在拖欠或克扣农民工工资的行为。</w:t>
      </w:r>
    </w:p>
    <w:p w14:paraId="1752155F">
      <w:pPr>
        <w:spacing w:line="440" w:lineRule="exact"/>
        <w:ind w:firstLine="480"/>
        <w:rPr>
          <w:rFonts w:ascii="宋体" w:hAnsi="宋体" w:cs="宋体"/>
          <w:color w:val="auto"/>
          <w:sz w:val="24"/>
          <w:szCs w:val="24"/>
        </w:rPr>
      </w:pPr>
      <w:r>
        <w:rPr>
          <w:rFonts w:hint="eastAsia" w:ascii="宋体" w:hAnsi="宋体" w:cs="宋体"/>
          <w:color w:val="auto"/>
          <w:sz w:val="24"/>
          <w:szCs w:val="24"/>
        </w:rPr>
        <w:t>（二）成交后，我单位同意在签订合同前在工程项目所在地商业银行开设农民工工资保证金专用账户，并按磋商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408F2BB0">
      <w:pPr>
        <w:spacing w:line="440" w:lineRule="exact"/>
        <w:ind w:firstLine="480"/>
        <w:rPr>
          <w:rFonts w:ascii="宋体" w:hAnsi="宋体" w:cs="宋体"/>
          <w:color w:val="auto"/>
          <w:sz w:val="24"/>
          <w:szCs w:val="24"/>
        </w:rPr>
      </w:pPr>
      <w:r>
        <w:rPr>
          <w:rFonts w:hint="eastAsia" w:ascii="宋体" w:hAnsi="宋体" w:cs="宋体"/>
          <w:color w:val="auto"/>
          <w:sz w:val="24"/>
          <w:szCs w:val="24"/>
        </w:rPr>
        <w:t>（三）在项目实施过程中，若出现结算价与成交价不一致时，以实际结算金额按磋商文件规定的计算额度存入农民工工资保证金。</w:t>
      </w:r>
    </w:p>
    <w:p w14:paraId="78B23B84">
      <w:pPr>
        <w:spacing w:line="440" w:lineRule="exact"/>
        <w:ind w:firstLine="480"/>
        <w:rPr>
          <w:rFonts w:ascii="宋体" w:hAnsi="宋体" w:cs="宋体"/>
          <w:color w:val="auto"/>
          <w:sz w:val="24"/>
          <w:szCs w:val="24"/>
        </w:rPr>
      </w:pPr>
      <w:r>
        <w:rPr>
          <w:rFonts w:hint="eastAsia" w:ascii="宋体" w:hAnsi="宋体" w:cs="宋体"/>
          <w:color w:val="auto"/>
          <w:sz w:val="24"/>
          <w:szCs w:val="24"/>
        </w:rPr>
        <w:t>（四）我单位向建设单位承诺依法足额支付农民工工资，一旦我单位（包含我单位的分包商）承建的项目出现拖欠农民工工资情况的，可由劳动保障、交通主管部门（或授权机构）及建设单位根据相关规定从其农民工工资保证金中先予支取。</w:t>
      </w:r>
    </w:p>
    <w:p w14:paraId="1263B1B4">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（五）其它未尽事宜按《保障农民工工资支付条例》（中华人民共和国国务院令第724号）及《广西壮族自治区工程建设领域农民工工资保证金规定实施办法》（桂人社规〔2021〕16号）、 《广西壮族自治区人力资源和社会保障厅等8部门关于印发广西壮族自治区工程建设领域农民工工资专用账户管理暂行办法实施细则的通知》（桂人社规〔2022〕5号）等有关规定执行。</w:t>
      </w:r>
    </w:p>
    <w:p w14:paraId="779152F4">
      <w:pPr>
        <w:spacing w:line="440" w:lineRule="exact"/>
        <w:ind w:firstLine="2462" w:firstLineChars="1026"/>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法定代表人或者委托代理人（签字或者电子签名）：                    </w:t>
      </w:r>
    </w:p>
    <w:p w14:paraId="320C5400">
      <w:pPr>
        <w:spacing w:line="440" w:lineRule="exact"/>
        <w:ind w:firstLine="2462" w:firstLineChars="1026"/>
        <w:rPr>
          <w:rFonts w:hint="eastAsia" w:ascii="宋体" w:hAnsi="宋体" w:eastAsia="宋体" w:cs="宋体"/>
          <w:color w:val="auto"/>
          <w:sz w:val="24"/>
          <w:szCs w:val="24"/>
        </w:rPr>
      </w:pPr>
      <w:r>
        <w:rPr>
          <w:rFonts w:hint="eastAsia" w:ascii="宋体" w:hAnsi="宋体" w:eastAsia="宋体" w:cs="宋体"/>
          <w:color w:val="auto"/>
          <w:sz w:val="24"/>
          <w:szCs w:val="24"/>
        </w:rPr>
        <w:t xml:space="preserve">供应商（电子签章）：      </w:t>
      </w:r>
    </w:p>
    <w:p w14:paraId="11185045">
      <w:pPr>
        <w:spacing w:line="440" w:lineRule="exact"/>
        <w:ind w:firstLine="2462" w:firstLineChars="1026"/>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00CD46D0">
      <w:pPr>
        <w:adjustRightInd w:val="0"/>
        <w:snapToGrid w:val="0"/>
        <w:spacing w:line="440" w:lineRule="exact"/>
        <w:ind w:firstLine="7040" w:firstLineChars="1600"/>
        <w:rPr>
          <w:rFonts w:ascii="宋体" w:hAnsi="宋体" w:cs="宋体"/>
          <w:bCs/>
          <w:color w:val="auto"/>
          <w:sz w:val="44"/>
          <w:szCs w:val="44"/>
        </w:rPr>
      </w:pPr>
    </w:p>
    <w:p w14:paraId="3C2C340E">
      <w:pPr>
        <w:spacing w:line="440" w:lineRule="exact"/>
        <w:rPr>
          <w:rFonts w:ascii="宋体" w:hAnsi="宋体" w:cs="宋体"/>
          <w:b/>
          <w:bCs/>
          <w:color w:val="auto"/>
          <w:sz w:val="22"/>
          <w:szCs w:val="22"/>
        </w:rPr>
      </w:pPr>
      <w:r>
        <w:rPr>
          <w:rFonts w:hint="eastAsia" w:ascii="宋体" w:hAnsi="宋体" w:cs="宋体"/>
          <w:b/>
          <w:bCs/>
          <w:color w:val="auto"/>
          <w:sz w:val="22"/>
          <w:szCs w:val="22"/>
        </w:rPr>
        <w:t>（注：农民工工资保证金额度按中标价（A）金额计算：小于5000万元（含5000万元）的，按A×2%存入； 5000万元以上的，按5000×2%+（A-5000）×1.5%存入。）</w:t>
      </w:r>
    </w:p>
    <w:p w14:paraId="67ACB4F1">
      <w:pPr>
        <w:spacing w:line="440" w:lineRule="exact"/>
        <w:rPr>
          <w:rFonts w:ascii="宋体" w:hAnsi="宋体" w:cs="宋体"/>
          <w:color w:val="auto"/>
          <w:sz w:val="32"/>
          <w:szCs w:val="32"/>
        </w:rPr>
      </w:pPr>
      <w:r>
        <w:rPr>
          <w:rFonts w:hint="eastAsia" w:ascii="宋体" w:hAnsi="宋体" w:cs="宋体"/>
          <w:color w:val="auto"/>
          <w:sz w:val="32"/>
          <w:szCs w:val="32"/>
        </w:rPr>
        <w:br w:type="page"/>
      </w:r>
    </w:p>
    <w:p w14:paraId="2C3C7E5A">
      <w:pPr>
        <w:spacing w:before="146" w:line="440" w:lineRule="exact"/>
        <w:ind w:right="142"/>
        <w:jc w:val="center"/>
        <w:rPr>
          <w:rFonts w:ascii="宋体" w:hAnsi="宋体" w:cs="宋体"/>
          <w:b/>
          <w:color w:val="auto"/>
          <w:sz w:val="32"/>
          <w:szCs w:val="32"/>
        </w:rPr>
      </w:pPr>
      <w:r>
        <w:rPr>
          <w:rFonts w:hint="eastAsia" w:ascii="宋体" w:hAnsi="宋体" w:cs="宋体"/>
          <w:b/>
          <w:color w:val="auto"/>
          <w:sz w:val="32"/>
          <w:szCs w:val="32"/>
        </w:rPr>
        <w:t>近年类似项目业绩情况表</w:t>
      </w:r>
    </w:p>
    <w:tbl>
      <w:tblPr>
        <w:tblStyle w:val="47"/>
        <w:tblW w:w="8352" w:type="dxa"/>
        <w:jc w:val="center"/>
        <w:tblLayout w:type="fixed"/>
        <w:tblCellMar>
          <w:top w:w="0" w:type="dxa"/>
          <w:left w:w="10" w:type="dxa"/>
          <w:bottom w:w="0" w:type="dxa"/>
          <w:right w:w="10" w:type="dxa"/>
        </w:tblCellMar>
      </w:tblPr>
      <w:tblGrid>
        <w:gridCol w:w="2275"/>
        <w:gridCol w:w="6077"/>
      </w:tblGrid>
      <w:tr w14:paraId="4DB7B1CA">
        <w:tblPrEx>
          <w:tblCellMar>
            <w:top w:w="0" w:type="dxa"/>
            <w:left w:w="10" w:type="dxa"/>
            <w:bottom w:w="0" w:type="dxa"/>
            <w:right w:w="10" w:type="dxa"/>
          </w:tblCellMar>
        </w:tblPrEx>
        <w:trPr>
          <w:trHeight w:val="571" w:hRule="exact"/>
          <w:jc w:val="center"/>
        </w:trPr>
        <w:tc>
          <w:tcPr>
            <w:tcW w:w="2275" w:type="dxa"/>
            <w:tcBorders>
              <w:top w:val="single" w:color="auto" w:sz="4" w:space="0"/>
              <w:left w:val="single" w:color="auto" w:sz="4" w:space="0"/>
            </w:tcBorders>
            <w:shd w:val="clear" w:color="auto" w:fill="auto"/>
            <w:noWrap/>
            <w:vAlign w:val="center"/>
          </w:tcPr>
          <w:p w14:paraId="12998329">
            <w:pPr>
              <w:pStyle w:val="260"/>
              <w:spacing w:line="440" w:lineRule="exact"/>
              <w:ind w:firstLine="0"/>
              <w:jc w:val="center"/>
              <w:rPr>
                <w:color w:val="auto"/>
                <w:sz w:val="24"/>
                <w:szCs w:val="24"/>
              </w:rPr>
            </w:pPr>
            <w:r>
              <w:rPr>
                <w:rFonts w:hint="eastAsia"/>
                <w:color w:val="auto"/>
                <w:sz w:val="24"/>
                <w:szCs w:val="24"/>
              </w:rPr>
              <w:t>项目名称</w:t>
            </w:r>
          </w:p>
        </w:tc>
        <w:tc>
          <w:tcPr>
            <w:tcW w:w="6077" w:type="dxa"/>
            <w:tcBorders>
              <w:top w:val="single" w:color="auto" w:sz="4" w:space="0"/>
              <w:left w:val="single" w:color="auto" w:sz="4" w:space="0"/>
              <w:right w:val="single" w:color="auto" w:sz="4" w:space="0"/>
            </w:tcBorders>
            <w:shd w:val="clear" w:color="auto" w:fill="auto"/>
            <w:noWrap/>
          </w:tcPr>
          <w:p w14:paraId="572E49BC">
            <w:pPr>
              <w:pStyle w:val="259"/>
              <w:spacing w:line="440" w:lineRule="exact"/>
              <w:rPr>
                <w:rFonts w:ascii="宋体" w:hAnsi="宋体" w:eastAsia="宋体" w:cs="宋体"/>
                <w:color w:val="auto"/>
              </w:rPr>
            </w:pPr>
          </w:p>
        </w:tc>
      </w:tr>
      <w:tr w14:paraId="05211A94">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auto"/>
            <w:noWrap/>
            <w:vAlign w:val="center"/>
          </w:tcPr>
          <w:p w14:paraId="5EC6BA8C">
            <w:pPr>
              <w:pStyle w:val="260"/>
              <w:spacing w:line="440" w:lineRule="exact"/>
              <w:ind w:firstLine="0"/>
              <w:jc w:val="center"/>
              <w:rPr>
                <w:color w:val="auto"/>
                <w:sz w:val="24"/>
                <w:szCs w:val="24"/>
              </w:rPr>
            </w:pPr>
            <w:r>
              <w:rPr>
                <w:rFonts w:hint="eastAsia"/>
                <w:color w:val="auto"/>
                <w:sz w:val="24"/>
                <w:szCs w:val="24"/>
              </w:rPr>
              <w:t>项目所在地</w:t>
            </w:r>
          </w:p>
        </w:tc>
        <w:tc>
          <w:tcPr>
            <w:tcW w:w="6077" w:type="dxa"/>
            <w:tcBorders>
              <w:top w:val="single" w:color="auto" w:sz="4" w:space="0"/>
              <w:left w:val="single" w:color="auto" w:sz="4" w:space="0"/>
              <w:right w:val="single" w:color="auto" w:sz="4" w:space="0"/>
            </w:tcBorders>
            <w:shd w:val="clear" w:color="auto" w:fill="auto"/>
            <w:noWrap/>
          </w:tcPr>
          <w:p w14:paraId="40FCF448">
            <w:pPr>
              <w:pStyle w:val="259"/>
              <w:spacing w:line="440" w:lineRule="exact"/>
              <w:rPr>
                <w:rFonts w:ascii="宋体" w:hAnsi="宋体" w:eastAsia="宋体" w:cs="宋体"/>
                <w:color w:val="auto"/>
              </w:rPr>
            </w:pPr>
          </w:p>
        </w:tc>
      </w:tr>
      <w:tr w14:paraId="30002FFB">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auto"/>
            <w:noWrap/>
            <w:vAlign w:val="center"/>
          </w:tcPr>
          <w:p w14:paraId="39BC6EFD">
            <w:pPr>
              <w:pStyle w:val="260"/>
              <w:spacing w:line="440" w:lineRule="exact"/>
              <w:ind w:firstLine="0"/>
              <w:jc w:val="center"/>
              <w:rPr>
                <w:color w:val="auto"/>
                <w:sz w:val="24"/>
                <w:szCs w:val="24"/>
              </w:rPr>
            </w:pPr>
            <w:r>
              <w:rPr>
                <w:rFonts w:hint="eastAsia"/>
                <w:color w:val="auto"/>
                <w:sz w:val="24"/>
                <w:szCs w:val="24"/>
              </w:rPr>
              <w:t>发包人名称</w:t>
            </w:r>
          </w:p>
        </w:tc>
        <w:tc>
          <w:tcPr>
            <w:tcW w:w="6077" w:type="dxa"/>
            <w:tcBorders>
              <w:top w:val="single" w:color="auto" w:sz="4" w:space="0"/>
              <w:left w:val="single" w:color="auto" w:sz="4" w:space="0"/>
              <w:right w:val="single" w:color="auto" w:sz="4" w:space="0"/>
            </w:tcBorders>
            <w:shd w:val="clear" w:color="auto" w:fill="auto"/>
            <w:noWrap/>
          </w:tcPr>
          <w:p w14:paraId="5EEED3A2">
            <w:pPr>
              <w:pStyle w:val="259"/>
              <w:spacing w:line="440" w:lineRule="exact"/>
              <w:rPr>
                <w:rFonts w:ascii="宋体" w:hAnsi="宋体" w:eastAsia="宋体" w:cs="宋体"/>
                <w:color w:val="auto"/>
              </w:rPr>
            </w:pPr>
          </w:p>
        </w:tc>
      </w:tr>
      <w:tr w14:paraId="2DB80E91">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auto"/>
            <w:noWrap/>
            <w:vAlign w:val="center"/>
          </w:tcPr>
          <w:p w14:paraId="1E59BF54">
            <w:pPr>
              <w:pStyle w:val="260"/>
              <w:spacing w:line="440" w:lineRule="exact"/>
              <w:ind w:firstLine="0"/>
              <w:jc w:val="center"/>
              <w:rPr>
                <w:color w:val="auto"/>
                <w:sz w:val="24"/>
                <w:szCs w:val="24"/>
              </w:rPr>
            </w:pPr>
            <w:r>
              <w:rPr>
                <w:rFonts w:hint="eastAsia"/>
                <w:color w:val="auto"/>
                <w:sz w:val="24"/>
                <w:szCs w:val="24"/>
              </w:rPr>
              <w:t>发包人地址</w:t>
            </w:r>
          </w:p>
        </w:tc>
        <w:tc>
          <w:tcPr>
            <w:tcW w:w="6077" w:type="dxa"/>
            <w:tcBorders>
              <w:top w:val="single" w:color="auto" w:sz="4" w:space="0"/>
              <w:left w:val="single" w:color="auto" w:sz="4" w:space="0"/>
              <w:right w:val="single" w:color="auto" w:sz="4" w:space="0"/>
            </w:tcBorders>
            <w:shd w:val="clear" w:color="auto" w:fill="auto"/>
            <w:noWrap/>
          </w:tcPr>
          <w:p w14:paraId="5D6B9A14">
            <w:pPr>
              <w:pStyle w:val="259"/>
              <w:spacing w:line="440" w:lineRule="exact"/>
              <w:rPr>
                <w:rFonts w:ascii="宋体" w:hAnsi="宋体" w:eastAsia="宋体" w:cs="宋体"/>
                <w:color w:val="auto"/>
              </w:rPr>
            </w:pPr>
          </w:p>
        </w:tc>
      </w:tr>
      <w:tr w14:paraId="01DB3ED2">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auto"/>
            <w:noWrap/>
            <w:vAlign w:val="center"/>
          </w:tcPr>
          <w:p w14:paraId="15C0B180">
            <w:pPr>
              <w:pStyle w:val="260"/>
              <w:spacing w:line="440" w:lineRule="exact"/>
              <w:ind w:firstLine="0"/>
              <w:jc w:val="center"/>
              <w:rPr>
                <w:color w:val="auto"/>
                <w:sz w:val="24"/>
                <w:szCs w:val="24"/>
              </w:rPr>
            </w:pPr>
            <w:r>
              <w:rPr>
                <w:rFonts w:hint="eastAsia"/>
                <w:color w:val="auto"/>
                <w:sz w:val="24"/>
                <w:szCs w:val="24"/>
              </w:rPr>
              <w:t>发包人电话</w:t>
            </w:r>
          </w:p>
        </w:tc>
        <w:tc>
          <w:tcPr>
            <w:tcW w:w="6077" w:type="dxa"/>
            <w:tcBorders>
              <w:top w:val="single" w:color="auto" w:sz="4" w:space="0"/>
              <w:left w:val="single" w:color="auto" w:sz="4" w:space="0"/>
              <w:right w:val="single" w:color="auto" w:sz="4" w:space="0"/>
            </w:tcBorders>
            <w:shd w:val="clear" w:color="auto" w:fill="auto"/>
            <w:noWrap/>
          </w:tcPr>
          <w:p w14:paraId="259C2824">
            <w:pPr>
              <w:pStyle w:val="259"/>
              <w:spacing w:line="440" w:lineRule="exact"/>
              <w:rPr>
                <w:rFonts w:ascii="宋体" w:hAnsi="宋体" w:eastAsia="宋体" w:cs="宋体"/>
                <w:color w:val="auto"/>
              </w:rPr>
            </w:pPr>
          </w:p>
        </w:tc>
      </w:tr>
      <w:tr w14:paraId="6D88A957">
        <w:tblPrEx>
          <w:tblCellMar>
            <w:top w:w="0" w:type="dxa"/>
            <w:left w:w="10" w:type="dxa"/>
            <w:bottom w:w="0" w:type="dxa"/>
            <w:right w:w="10" w:type="dxa"/>
          </w:tblCellMar>
        </w:tblPrEx>
        <w:trPr>
          <w:trHeight w:val="571" w:hRule="exact"/>
          <w:jc w:val="center"/>
        </w:trPr>
        <w:tc>
          <w:tcPr>
            <w:tcW w:w="2275" w:type="dxa"/>
            <w:tcBorders>
              <w:top w:val="single" w:color="auto" w:sz="4" w:space="0"/>
              <w:left w:val="single" w:color="auto" w:sz="4" w:space="0"/>
            </w:tcBorders>
            <w:shd w:val="clear" w:color="auto" w:fill="auto"/>
            <w:noWrap/>
            <w:vAlign w:val="center"/>
          </w:tcPr>
          <w:p w14:paraId="3DE797EB">
            <w:pPr>
              <w:pStyle w:val="260"/>
              <w:spacing w:line="440" w:lineRule="exact"/>
              <w:ind w:firstLine="0"/>
              <w:jc w:val="center"/>
              <w:rPr>
                <w:color w:val="auto"/>
                <w:sz w:val="24"/>
                <w:szCs w:val="24"/>
              </w:rPr>
            </w:pPr>
            <w:r>
              <w:rPr>
                <w:rFonts w:hint="eastAsia"/>
                <w:color w:val="auto"/>
                <w:sz w:val="24"/>
                <w:szCs w:val="24"/>
              </w:rPr>
              <w:t>签约合同价</w:t>
            </w:r>
          </w:p>
        </w:tc>
        <w:tc>
          <w:tcPr>
            <w:tcW w:w="6077" w:type="dxa"/>
            <w:tcBorders>
              <w:top w:val="single" w:color="auto" w:sz="4" w:space="0"/>
              <w:left w:val="single" w:color="auto" w:sz="4" w:space="0"/>
              <w:right w:val="single" w:color="auto" w:sz="4" w:space="0"/>
            </w:tcBorders>
            <w:shd w:val="clear" w:color="auto" w:fill="auto"/>
            <w:noWrap/>
          </w:tcPr>
          <w:p w14:paraId="6DD54F59">
            <w:pPr>
              <w:pStyle w:val="259"/>
              <w:spacing w:line="440" w:lineRule="exact"/>
              <w:rPr>
                <w:rFonts w:ascii="宋体" w:hAnsi="宋体" w:eastAsia="宋体" w:cs="宋体"/>
                <w:color w:val="auto"/>
              </w:rPr>
            </w:pPr>
          </w:p>
        </w:tc>
      </w:tr>
      <w:tr w14:paraId="67DCF233">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auto"/>
            <w:noWrap/>
            <w:vAlign w:val="center"/>
          </w:tcPr>
          <w:p w14:paraId="7B58F1DB">
            <w:pPr>
              <w:pStyle w:val="260"/>
              <w:spacing w:line="440" w:lineRule="exact"/>
              <w:ind w:firstLine="0"/>
              <w:jc w:val="center"/>
              <w:rPr>
                <w:color w:val="auto"/>
                <w:sz w:val="24"/>
                <w:szCs w:val="24"/>
              </w:rPr>
            </w:pPr>
            <w:r>
              <w:rPr>
                <w:rFonts w:hint="eastAsia"/>
                <w:color w:val="auto"/>
                <w:sz w:val="24"/>
                <w:szCs w:val="24"/>
              </w:rPr>
              <w:t>开工日期</w:t>
            </w:r>
          </w:p>
        </w:tc>
        <w:tc>
          <w:tcPr>
            <w:tcW w:w="6077" w:type="dxa"/>
            <w:tcBorders>
              <w:top w:val="single" w:color="auto" w:sz="4" w:space="0"/>
              <w:left w:val="single" w:color="auto" w:sz="4" w:space="0"/>
              <w:right w:val="single" w:color="auto" w:sz="4" w:space="0"/>
            </w:tcBorders>
            <w:shd w:val="clear" w:color="auto" w:fill="auto"/>
            <w:noWrap/>
          </w:tcPr>
          <w:p w14:paraId="3A365D09">
            <w:pPr>
              <w:pStyle w:val="259"/>
              <w:spacing w:line="440" w:lineRule="exact"/>
              <w:rPr>
                <w:rFonts w:ascii="宋体" w:hAnsi="宋体" w:eastAsia="宋体" w:cs="宋体"/>
                <w:color w:val="auto"/>
              </w:rPr>
            </w:pPr>
          </w:p>
        </w:tc>
      </w:tr>
      <w:tr w14:paraId="3C5FDFC0">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auto"/>
            <w:noWrap/>
            <w:vAlign w:val="center"/>
          </w:tcPr>
          <w:p w14:paraId="0F06FD13">
            <w:pPr>
              <w:pStyle w:val="260"/>
              <w:spacing w:line="440" w:lineRule="exact"/>
              <w:ind w:firstLine="0"/>
              <w:jc w:val="center"/>
              <w:rPr>
                <w:color w:val="auto"/>
                <w:sz w:val="24"/>
                <w:szCs w:val="24"/>
              </w:rPr>
            </w:pPr>
            <w:r>
              <w:rPr>
                <w:rFonts w:hint="eastAsia"/>
                <w:color w:val="auto"/>
                <w:sz w:val="24"/>
                <w:szCs w:val="24"/>
              </w:rPr>
              <w:t>完工日期</w:t>
            </w:r>
          </w:p>
        </w:tc>
        <w:tc>
          <w:tcPr>
            <w:tcW w:w="6077" w:type="dxa"/>
            <w:tcBorders>
              <w:top w:val="single" w:color="auto" w:sz="4" w:space="0"/>
              <w:left w:val="single" w:color="auto" w:sz="4" w:space="0"/>
              <w:right w:val="single" w:color="auto" w:sz="4" w:space="0"/>
            </w:tcBorders>
            <w:shd w:val="clear" w:color="auto" w:fill="auto"/>
            <w:noWrap/>
          </w:tcPr>
          <w:p w14:paraId="4E9BFD7D">
            <w:pPr>
              <w:pStyle w:val="259"/>
              <w:spacing w:line="440" w:lineRule="exact"/>
              <w:rPr>
                <w:rFonts w:ascii="宋体" w:hAnsi="宋体" w:eastAsia="宋体" w:cs="宋体"/>
                <w:color w:val="auto"/>
              </w:rPr>
            </w:pPr>
          </w:p>
        </w:tc>
      </w:tr>
      <w:tr w14:paraId="576EA4E3">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auto"/>
            <w:noWrap/>
            <w:vAlign w:val="center"/>
          </w:tcPr>
          <w:p w14:paraId="5AE05B08">
            <w:pPr>
              <w:pStyle w:val="260"/>
              <w:spacing w:line="440" w:lineRule="exact"/>
              <w:ind w:firstLine="0"/>
              <w:jc w:val="center"/>
              <w:rPr>
                <w:color w:val="auto"/>
                <w:sz w:val="24"/>
                <w:szCs w:val="24"/>
              </w:rPr>
            </w:pPr>
            <w:r>
              <w:rPr>
                <w:rFonts w:hint="eastAsia"/>
                <w:color w:val="auto"/>
                <w:sz w:val="24"/>
                <w:szCs w:val="24"/>
              </w:rPr>
              <w:t>承担的工作</w:t>
            </w:r>
          </w:p>
        </w:tc>
        <w:tc>
          <w:tcPr>
            <w:tcW w:w="6077" w:type="dxa"/>
            <w:tcBorders>
              <w:top w:val="single" w:color="auto" w:sz="4" w:space="0"/>
              <w:left w:val="single" w:color="auto" w:sz="4" w:space="0"/>
              <w:right w:val="single" w:color="auto" w:sz="4" w:space="0"/>
            </w:tcBorders>
            <w:shd w:val="clear" w:color="auto" w:fill="auto"/>
            <w:noWrap/>
          </w:tcPr>
          <w:p w14:paraId="51521A43">
            <w:pPr>
              <w:pStyle w:val="259"/>
              <w:spacing w:line="440" w:lineRule="exact"/>
              <w:rPr>
                <w:rFonts w:ascii="宋体" w:hAnsi="宋体" w:eastAsia="宋体" w:cs="宋体"/>
                <w:color w:val="auto"/>
              </w:rPr>
            </w:pPr>
          </w:p>
        </w:tc>
      </w:tr>
      <w:tr w14:paraId="7E283DD1">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auto"/>
            <w:noWrap/>
            <w:vAlign w:val="center"/>
          </w:tcPr>
          <w:p w14:paraId="518B7128">
            <w:pPr>
              <w:pStyle w:val="260"/>
              <w:spacing w:line="440" w:lineRule="exact"/>
              <w:ind w:firstLine="0"/>
              <w:jc w:val="center"/>
              <w:rPr>
                <w:color w:val="auto"/>
                <w:sz w:val="24"/>
                <w:szCs w:val="24"/>
              </w:rPr>
            </w:pPr>
            <w:r>
              <w:rPr>
                <w:rFonts w:hint="eastAsia"/>
                <w:color w:val="auto"/>
                <w:sz w:val="24"/>
                <w:szCs w:val="24"/>
              </w:rPr>
              <w:t>工程质量</w:t>
            </w:r>
          </w:p>
        </w:tc>
        <w:tc>
          <w:tcPr>
            <w:tcW w:w="6077" w:type="dxa"/>
            <w:tcBorders>
              <w:top w:val="single" w:color="auto" w:sz="4" w:space="0"/>
              <w:left w:val="single" w:color="auto" w:sz="4" w:space="0"/>
              <w:right w:val="single" w:color="auto" w:sz="4" w:space="0"/>
            </w:tcBorders>
            <w:shd w:val="clear" w:color="auto" w:fill="auto"/>
            <w:noWrap/>
          </w:tcPr>
          <w:p w14:paraId="1BA7CAFD">
            <w:pPr>
              <w:pStyle w:val="259"/>
              <w:spacing w:line="440" w:lineRule="exact"/>
              <w:rPr>
                <w:rFonts w:ascii="宋体" w:hAnsi="宋体" w:eastAsia="宋体" w:cs="宋体"/>
                <w:color w:val="auto"/>
              </w:rPr>
            </w:pPr>
          </w:p>
        </w:tc>
      </w:tr>
      <w:tr w14:paraId="3ED18E14">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auto"/>
            <w:noWrap/>
            <w:vAlign w:val="center"/>
          </w:tcPr>
          <w:p w14:paraId="7FB5BD4D">
            <w:pPr>
              <w:pStyle w:val="260"/>
              <w:spacing w:line="440" w:lineRule="exact"/>
              <w:ind w:firstLine="0"/>
              <w:jc w:val="center"/>
              <w:rPr>
                <w:color w:val="auto"/>
                <w:sz w:val="24"/>
                <w:szCs w:val="24"/>
              </w:rPr>
            </w:pPr>
            <w:r>
              <w:rPr>
                <w:rFonts w:hint="eastAsia"/>
                <w:color w:val="auto"/>
                <w:sz w:val="24"/>
                <w:szCs w:val="24"/>
              </w:rPr>
              <w:t>项目经理</w:t>
            </w:r>
          </w:p>
        </w:tc>
        <w:tc>
          <w:tcPr>
            <w:tcW w:w="6077" w:type="dxa"/>
            <w:tcBorders>
              <w:top w:val="single" w:color="auto" w:sz="4" w:space="0"/>
              <w:left w:val="single" w:color="auto" w:sz="4" w:space="0"/>
              <w:right w:val="single" w:color="auto" w:sz="4" w:space="0"/>
            </w:tcBorders>
            <w:shd w:val="clear" w:color="auto" w:fill="auto"/>
            <w:noWrap/>
          </w:tcPr>
          <w:p w14:paraId="68513C28">
            <w:pPr>
              <w:pStyle w:val="259"/>
              <w:spacing w:line="440" w:lineRule="exact"/>
              <w:rPr>
                <w:rFonts w:ascii="宋体" w:hAnsi="宋体" w:eastAsia="宋体" w:cs="宋体"/>
                <w:color w:val="auto"/>
              </w:rPr>
            </w:pPr>
          </w:p>
        </w:tc>
      </w:tr>
      <w:tr w14:paraId="0DE7E124">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auto"/>
            <w:noWrap/>
            <w:vAlign w:val="center"/>
          </w:tcPr>
          <w:p w14:paraId="47DD49DD">
            <w:pPr>
              <w:pStyle w:val="260"/>
              <w:spacing w:line="440" w:lineRule="exact"/>
              <w:ind w:firstLine="0"/>
              <w:jc w:val="center"/>
              <w:rPr>
                <w:color w:val="auto"/>
                <w:sz w:val="24"/>
                <w:szCs w:val="24"/>
              </w:rPr>
            </w:pPr>
            <w:r>
              <w:rPr>
                <w:rFonts w:hint="eastAsia"/>
                <w:color w:val="auto"/>
                <w:sz w:val="24"/>
                <w:szCs w:val="24"/>
              </w:rPr>
              <w:t>技术负责人</w:t>
            </w:r>
          </w:p>
        </w:tc>
        <w:tc>
          <w:tcPr>
            <w:tcW w:w="6077" w:type="dxa"/>
            <w:tcBorders>
              <w:top w:val="single" w:color="auto" w:sz="4" w:space="0"/>
              <w:left w:val="single" w:color="auto" w:sz="4" w:space="0"/>
              <w:right w:val="single" w:color="auto" w:sz="4" w:space="0"/>
            </w:tcBorders>
            <w:shd w:val="clear" w:color="auto" w:fill="auto"/>
            <w:noWrap/>
          </w:tcPr>
          <w:p w14:paraId="2E0ADB4D">
            <w:pPr>
              <w:pStyle w:val="259"/>
              <w:spacing w:line="440" w:lineRule="exact"/>
              <w:rPr>
                <w:rFonts w:ascii="宋体" w:hAnsi="宋体" w:eastAsia="宋体" w:cs="宋体"/>
                <w:color w:val="auto"/>
              </w:rPr>
            </w:pPr>
          </w:p>
        </w:tc>
      </w:tr>
      <w:tr w14:paraId="71B9117C">
        <w:tblPrEx>
          <w:tblCellMar>
            <w:top w:w="0" w:type="dxa"/>
            <w:left w:w="10" w:type="dxa"/>
            <w:bottom w:w="0" w:type="dxa"/>
            <w:right w:w="10" w:type="dxa"/>
          </w:tblCellMar>
        </w:tblPrEx>
        <w:trPr>
          <w:trHeight w:val="850" w:hRule="exact"/>
          <w:jc w:val="center"/>
        </w:trPr>
        <w:tc>
          <w:tcPr>
            <w:tcW w:w="2275" w:type="dxa"/>
            <w:tcBorders>
              <w:top w:val="single" w:color="auto" w:sz="4" w:space="0"/>
              <w:left w:val="single" w:color="auto" w:sz="4" w:space="0"/>
            </w:tcBorders>
            <w:shd w:val="clear" w:color="auto" w:fill="auto"/>
            <w:noWrap/>
            <w:vAlign w:val="center"/>
          </w:tcPr>
          <w:p w14:paraId="0B0F31BE">
            <w:pPr>
              <w:pStyle w:val="260"/>
              <w:spacing w:line="440" w:lineRule="exact"/>
              <w:ind w:firstLine="0"/>
              <w:jc w:val="center"/>
              <w:rPr>
                <w:color w:val="auto"/>
                <w:sz w:val="24"/>
                <w:szCs w:val="24"/>
              </w:rPr>
            </w:pPr>
            <w:r>
              <w:rPr>
                <w:rFonts w:hint="eastAsia"/>
                <w:color w:val="auto"/>
                <w:sz w:val="24"/>
                <w:szCs w:val="24"/>
              </w:rPr>
              <w:t>监理人和总监理工程师以及电话</w:t>
            </w:r>
          </w:p>
        </w:tc>
        <w:tc>
          <w:tcPr>
            <w:tcW w:w="6077" w:type="dxa"/>
            <w:tcBorders>
              <w:top w:val="single" w:color="auto" w:sz="4" w:space="0"/>
              <w:left w:val="single" w:color="auto" w:sz="4" w:space="0"/>
              <w:right w:val="single" w:color="auto" w:sz="4" w:space="0"/>
            </w:tcBorders>
            <w:shd w:val="clear" w:color="auto" w:fill="auto"/>
            <w:noWrap/>
          </w:tcPr>
          <w:p w14:paraId="22252CCA">
            <w:pPr>
              <w:pStyle w:val="259"/>
              <w:spacing w:line="440" w:lineRule="exact"/>
              <w:rPr>
                <w:rFonts w:ascii="宋体" w:hAnsi="宋体" w:eastAsia="宋体" w:cs="宋体"/>
                <w:color w:val="auto"/>
                <w:lang w:eastAsia="zh-CN"/>
              </w:rPr>
            </w:pPr>
          </w:p>
        </w:tc>
      </w:tr>
      <w:tr w14:paraId="02A41B58">
        <w:tblPrEx>
          <w:tblCellMar>
            <w:top w:w="0" w:type="dxa"/>
            <w:left w:w="10" w:type="dxa"/>
            <w:bottom w:w="0" w:type="dxa"/>
            <w:right w:w="10" w:type="dxa"/>
          </w:tblCellMar>
        </w:tblPrEx>
        <w:trPr>
          <w:trHeight w:val="583" w:hRule="exact"/>
          <w:jc w:val="center"/>
        </w:trPr>
        <w:tc>
          <w:tcPr>
            <w:tcW w:w="2275" w:type="dxa"/>
            <w:tcBorders>
              <w:top w:val="single" w:color="auto" w:sz="4" w:space="0"/>
              <w:left w:val="single" w:color="auto" w:sz="4" w:space="0"/>
            </w:tcBorders>
            <w:shd w:val="clear" w:color="auto" w:fill="auto"/>
            <w:noWrap/>
            <w:vAlign w:val="center"/>
          </w:tcPr>
          <w:p w14:paraId="0450C965">
            <w:pPr>
              <w:pStyle w:val="260"/>
              <w:spacing w:line="440" w:lineRule="exact"/>
              <w:ind w:firstLine="0"/>
              <w:jc w:val="center"/>
              <w:rPr>
                <w:color w:val="auto"/>
                <w:sz w:val="24"/>
                <w:szCs w:val="24"/>
              </w:rPr>
            </w:pPr>
            <w:r>
              <w:rPr>
                <w:rFonts w:hint="eastAsia"/>
                <w:color w:val="auto"/>
                <w:sz w:val="24"/>
                <w:szCs w:val="24"/>
              </w:rPr>
              <w:t>合同项目描述</w:t>
            </w:r>
          </w:p>
        </w:tc>
        <w:tc>
          <w:tcPr>
            <w:tcW w:w="6077" w:type="dxa"/>
            <w:tcBorders>
              <w:top w:val="single" w:color="auto" w:sz="4" w:space="0"/>
              <w:left w:val="single" w:color="auto" w:sz="4" w:space="0"/>
              <w:right w:val="single" w:color="auto" w:sz="4" w:space="0"/>
            </w:tcBorders>
            <w:shd w:val="clear" w:color="auto" w:fill="auto"/>
            <w:noWrap/>
          </w:tcPr>
          <w:p w14:paraId="10B16AFE">
            <w:pPr>
              <w:pStyle w:val="259"/>
              <w:spacing w:line="440" w:lineRule="exact"/>
              <w:rPr>
                <w:rFonts w:ascii="宋体" w:hAnsi="宋体" w:eastAsia="宋体" w:cs="宋体"/>
                <w:color w:val="auto"/>
              </w:rPr>
            </w:pPr>
          </w:p>
        </w:tc>
      </w:tr>
      <w:tr w14:paraId="40491BC1">
        <w:tblPrEx>
          <w:tblCellMar>
            <w:top w:w="0" w:type="dxa"/>
            <w:left w:w="10" w:type="dxa"/>
            <w:bottom w:w="0" w:type="dxa"/>
            <w:right w:w="10" w:type="dxa"/>
          </w:tblCellMar>
        </w:tblPrEx>
        <w:trPr>
          <w:trHeight w:val="483" w:hRule="exact"/>
          <w:jc w:val="center"/>
        </w:trPr>
        <w:tc>
          <w:tcPr>
            <w:tcW w:w="2275" w:type="dxa"/>
            <w:tcBorders>
              <w:top w:val="single" w:color="auto" w:sz="4" w:space="0"/>
              <w:left w:val="single" w:color="auto" w:sz="4" w:space="0"/>
              <w:bottom w:val="single" w:color="auto" w:sz="4" w:space="0"/>
            </w:tcBorders>
            <w:shd w:val="clear" w:color="auto" w:fill="auto"/>
            <w:noWrap/>
            <w:vAlign w:val="center"/>
          </w:tcPr>
          <w:p w14:paraId="67AC0A44">
            <w:pPr>
              <w:pStyle w:val="260"/>
              <w:spacing w:line="440" w:lineRule="exact"/>
              <w:ind w:firstLine="0"/>
              <w:jc w:val="center"/>
              <w:rPr>
                <w:color w:val="auto"/>
                <w:sz w:val="24"/>
                <w:szCs w:val="24"/>
              </w:rPr>
            </w:pPr>
            <w:r>
              <w:rPr>
                <w:rFonts w:hint="eastAsia"/>
                <w:color w:val="auto"/>
                <w:sz w:val="24"/>
                <w:szCs w:val="24"/>
              </w:rPr>
              <w:t>备注</w:t>
            </w:r>
          </w:p>
        </w:tc>
        <w:tc>
          <w:tcPr>
            <w:tcW w:w="60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F7320">
            <w:pPr>
              <w:pStyle w:val="260"/>
              <w:spacing w:line="440" w:lineRule="exact"/>
              <w:ind w:firstLine="0"/>
              <w:rPr>
                <w:color w:val="auto"/>
                <w:sz w:val="24"/>
                <w:szCs w:val="24"/>
              </w:rPr>
            </w:pPr>
          </w:p>
        </w:tc>
      </w:tr>
    </w:tbl>
    <w:p w14:paraId="77695BBD">
      <w:pPr>
        <w:pStyle w:val="259"/>
        <w:spacing w:after="319" w:line="440" w:lineRule="exact"/>
        <w:rPr>
          <w:rFonts w:ascii="宋体" w:hAnsi="宋体" w:eastAsia="宋体" w:cs="宋体"/>
          <w:color w:val="auto"/>
          <w:lang w:eastAsia="zh-CN"/>
        </w:rPr>
      </w:pPr>
    </w:p>
    <w:p w14:paraId="73AB089D">
      <w:pPr>
        <w:pStyle w:val="264"/>
        <w:shd w:val="clear" w:color="auto" w:fill="auto"/>
        <w:spacing w:before="0" w:line="440" w:lineRule="exact"/>
        <w:ind w:firstLine="400"/>
        <w:rPr>
          <w:rFonts w:ascii="宋体" w:hAnsi="宋体" w:eastAsia="宋体" w:cs="宋体"/>
          <w:color w:val="auto"/>
          <w:sz w:val="21"/>
          <w:szCs w:val="21"/>
        </w:rPr>
      </w:pPr>
      <w:r>
        <w:rPr>
          <w:rFonts w:hint="eastAsia" w:ascii="宋体" w:hAnsi="宋体" w:eastAsia="宋体" w:cs="宋体"/>
          <w:color w:val="auto"/>
          <w:sz w:val="21"/>
          <w:szCs w:val="21"/>
        </w:rPr>
        <w:t>注：1.每张表格只填写一个项目，并标明序号。</w:t>
      </w:r>
    </w:p>
    <w:p w14:paraId="4EF0D1C7">
      <w:pPr>
        <w:spacing w:line="440" w:lineRule="exact"/>
        <w:ind w:right="-817" w:rightChars="-389" w:firstLine="840" w:firstLineChars="400"/>
        <w:contextualSpacing/>
        <w:rPr>
          <w:rFonts w:ascii="宋体" w:hAnsi="宋体" w:cs="宋体"/>
          <w:color w:val="auto"/>
          <w:szCs w:val="21"/>
        </w:rPr>
      </w:pPr>
      <w:r>
        <w:rPr>
          <w:rFonts w:hint="eastAsia" w:ascii="宋体" w:hAnsi="宋体" w:cs="宋体"/>
          <w:color w:val="auto"/>
          <w:szCs w:val="21"/>
        </w:rPr>
        <w:t>2.竞标人应根据评分法的要求在本表后附相关证明材料。</w:t>
      </w:r>
    </w:p>
    <w:p w14:paraId="7F49EC2C">
      <w:pPr>
        <w:spacing w:line="440" w:lineRule="exact"/>
        <w:ind w:right="-817" w:rightChars="-389" w:firstLine="2640" w:firstLineChars="1100"/>
        <w:contextualSpacing/>
        <w:rPr>
          <w:rFonts w:ascii="宋体" w:hAnsi="宋体" w:cs="宋体"/>
          <w:color w:val="auto"/>
          <w:sz w:val="24"/>
        </w:rPr>
      </w:pPr>
    </w:p>
    <w:p w14:paraId="26E090CD">
      <w:pPr>
        <w:spacing w:line="440" w:lineRule="exact"/>
        <w:ind w:right="-817" w:rightChars="-389" w:firstLine="2640" w:firstLineChars="1100"/>
        <w:contextualSpacing/>
        <w:rPr>
          <w:rFonts w:ascii="宋体" w:hAnsi="宋体" w:cs="宋体"/>
          <w:color w:val="auto"/>
          <w:sz w:val="24"/>
        </w:rPr>
      </w:pPr>
      <w:r>
        <w:rPr>
          <w:rFonts w:hint="eastAsia" w:ascii="宋体" w:hAnsi="宋体" w:cs="宋体"/>
          <w:color w:val="auto"/>
          <w:sz w:val="24"/>
        </w:rPr>
        <w:t>法定代表人或者委托代理人（签字或者电子签名）：</w:t>
      </w:r>
    </w:p>
    <w:p w14:paraId="19D16627">
      <w:pPr>
        <w:spacing w:line="440" w:lineRule="exact"/>
        <w:ind w:right="-817" w:rightChars="-389" w:firstLine="2640" w:firstLineChars="1100"/>
        <w:contextualSpacing/>
        <w:rPr>
          <w:rFonts w:ascii="宋体" w:hAnsi="宋体" w:cs="宋体"/>
          <w:color w:val="auto"/>
          <w:sz w:val="24"/>
        </w:rPr>
      </w:pPr>
      <w:r>
        <w:rPr>
          <w:rFonts w:hint="eastAsia" w:ascii="宋体" w:hAnsi="宋体" w:cs="宋体"/>
          <w:color w:val="auto"/>
          <w:sz w:val="24"/>
        </w:rPr>
        <w:t xml:space="preserve">供应商（电子签章）：      </w:t>
      </w:r>
    </w:p>
    <w:p w14:paraId="6455EA51">
      <w:pPr>
        <w:spacing w:line="440" w:lineRule="exact"/>
        <w:ind w:right="-817" w:rightChars="-389" w:firstLine="4080" w:firstLineChars="1700"/>
        <w:contextualSpacing/>
        <w:rPr>
          <w:rFonts w:ascii="宋体" w:hAnsi="宋体" w:cs="宋体"/>
          <w:color w:val="auto"/>
          <w:sz w:val="24"/>
        </w:rPr>
      </w:pPr>
      <w:r>
        <w:rPr>
          <w:rFonts w:hint="eastAsia" w:ascii="宋体" w:hAnsi="宋体" w:cs="宋体"/>
          <w:color w:val="auto"/>
          <w:sz w:val="24"/>
        </w:rPr>
        <w:t>日期：   年   月   日</w:t>
      </w:r>
    </w:p>
    <w:p w14:paraId="5F43DF2F">
      <w:pPr>
        <w:spacing w:line="440" w:lineRule="exact"/>
        <w:rPr>
          <w:rFonts w:ascii="宋体" w:hAnsi="宋体" w:cs="宋体"/>
          <w:color w:val="auto"/>
          <w:szCs w:val="21"/>
        </w:rPr>
      </w:pPr>
      <w:r>
        <w:rPr>
          <w:rFonts w:hint="eastAsia" w:ascii="宋体" w:hAnsi="宋体" w:cs="宋体"/>
          <w:color w:val="auto"/>
          <w:sz w:val="24"/>
        </w:rPr>
        <w:br w:type="page"/>
      </w:r>
    </w:p>
    <w:p w14:paraId="74B190CB">
      <w:pPr>
        <w:spacing w:line="440" w:lineRule="exact"/>
        <w:rPr>
          <w:rFonts w:ascii="宋体" w:hAnsi="宋体" w:cs="宋体"/>
          <w:color w:val="auto"/>
          <w:sz w:val="24"/>
        </w:rPr>
      </w:pPr>
      <w:r>
        <w:rPr>
          <w:rFonts w:hint="eastAsia" w:ascii="宋体" w:hAnsi="宋体" w:cs="宋体"/>
          <w:b/>
          <w:bCs/>
          <w:color w:val="auto"/>
          <w:sz w:val="32"/>
          <w:szCs w:val="32"/>
        </w:rPr>
        <w:t>四、其他文书、文件格式</w:t>
      </w:r>
    </w:p>
    <w:p w14:paraId="6F131B13">
      <w:pPr>
        <w:spacing w:line="440" w:lineRule="exact"/>
        <w:rPr>
          <w:rFonts w:ascii="宋体" w:hAnsi="宋体" w:cs="宋体"/>
          <w:color w:val="auto"/>
          <w:sz w:val="24"/>
        </w:rPr>
      </w:pPr>
    </w:p>
    <w:p w14:paraId="6F68ABE4">
      <w:pPr>
        <w:spacing w:line="440" w:lineRule="exact"/>
        <w:jc w:val="center"/>
        <w:rPr>
          <w:rFonts w:ascii="宋体" w:hAnsi="宋体" w:cs="宋体"/>
          <w:b/>
          <w:bCs/>
          <w:color w:val="auto"/>
          <w:sz w:val="32"/>
          <w:szCs w:val="32"/>
        </w:rPr>
      </w:pPr>
      <w:r>
        <w:rPr>
          <w:rFonts w:hint="eastAsia" w:ascii="宋体" w:hAnsi="宋体" w:cs="宋体"/>
          <w:b/>
          <w:bCs/>
          <w:color w:val="auto"/>
          <w:sz w:val="32"/>
          <w:szCs w:val="32"/>
        </w:rPr>
        <w:t>质疑函（格式）</w:t>
      </w:r>
    </w:p>
    <w:p w14:paraId="27D422CA">
      <w:pPr>
        <w:pStyle w:val="28"/>
        <w:spacing w:line="440" w:lineRule="exact"/>
        <w:ind w:firstLine="482" w:firstLineChars="200"/>
        <w:contextualSpacing/>
        <w:rPr>
          <w:rFonts w:hAnsi="宋体" w:cs="宋体"/>
          <w:b/>
          <w:bCs/>
          <w:color w:val="auto"/>
          <w:sz w:val="24"/>
          <w:szCs w:val="24"/>
        </w:rPr>
      </w:pPr>
      <w:r>
        <w:rPr>
          <w:rFonts w:hint="eastAsia" w:hAnsi="宋体" w:cs="宋体"/>
          <w:b/>
          <w:bCs/>
          <w:color w:val="auto"/>
          <w:sz w:val="24"/>
          <w:szCs w:val="24"/>
        </w:rPr>
        <w:t>一、质疑供应商基本信息：</w:t>
      </w:r>
    </w:p>
    <w:p w14:paraId="442FDA70">
      <w:pPr>
        <w:pStyle w:val="28"/>
        <w:spacing w:line="440" w:lineRule="exact"/>
        <w:ind w:firstLine="480" w:firstLineChars="200"/>
        <w:contextualSpacing/>
        <w:rPr>
          <w:rFonts w:hAnsi="宋体" w:cs="宋体"/>
          <w:bCs/>
          <w:color w:val="auto"/>
          <w:sz w:val="24"/>
          <w:szCs w:val="24"/>
          <w:u w:val="single"/>
        </w:rPr>
      </w:pPr>
      <w:r>
        <w:rPr>
          <w:rFonts w:hint="eastAsia" w:hAnsi="宋体" w:cs="宋体"/>
          <w:bCs/>
          <w:color w:val="auto"/>
          <w:sz w:val="24"/>
          <w:szCs w:val="24"/>
        </w:rPr>
        <w:t>质疑供应商：</w:t>
      </w:r>
    </w:p>
    <w:p w14:paraId="63949BE0">
      <w:pPr>
        <w:pStyle w:val="28"/>
        <w:spacing w:line="440" w:lineRule="exact"/>
        <w:ind w:firstLine="480" w:firstLineChars="200"/>
        <w:contextualSpacing/>
        <w:rPr>
          <w:rFonts w:hAnsi="宋体" w:cs="宋体"/>
          <w:bCs/>
          <w:color w:val="auto"/>
          <w:sz w:val="24"/>
          <w:szCs w:val="24"/>
        </w:rPr>
      </w:pPr>
      <w:r>
        <w:rPr>
          <w:rFonts w:hint="eastAsia" w:hAnsi="宋体" w:cs="宋体"/>
          <w:bCs/>
          <w:color w:val="auto"/>
          <w:sz w:val="24"/>
          <w:szCs w:val="24"/>
        </w:rPr>
        <w:t>地址：邮编：</w:t>
      </w:r>
    </w:p>
    <w:p w14:paraId="6858C880">
      <w:pPr>
        <w:pStyle w:val="28"/>
        <w:spacing w:line="440" w:lineRule="exact"/>
        <w:ind w:firstLine="480" w:firstLineChars="200"/>
        <w:contextualSpacing/>
        <w:rPr>
          <w:rFonts w:hAnsi="宋体" w:cs="宋体"/>
          <w:bCs/>
          <w:color w:val="auto"/>
          <w:sz w:val="24"/>
          <w:szCs w:val="24"/>
        </w:rPr>
      </w:pPr>
      <w:r>
        <w:rPr>
          <w:rFonts w:hint="eastAsia" w:hAnsi="宋体" w:cs="宋体"/>
          <w:bCs/>
          <w:color w:val="auto"/>
          <w:sz w:val="24"/>
          <w:szCs w:val="24"/>
        </w:rPr>
        <w:t>联系人：联系电话：</w:t>
      </w:r>
    </w:p>
    <w:p w14:paraId="43789588">
      <w:pPr>
        <w:pStyle w:val="28"/>
        <w:spacing w:line="440" w:lineRule="exact"/>
        <w:ind w:firstLine="480" w:firstLineChars="200"/>
        <w:contextualSpacing/>
        <w:rPr>
          <w:rFonts w:hAnsi="宋体" w:cs="宋体"/>
          <w:bCs/>
          <w:color w:val="auto"/>
          <w:sz w:val="24"/>
          <w:szCs w:val="24"/>
        </w:rPr>
      </w:pPr>
      <w:r>
        <w:rPr>
          <w:rFonts w:hint="eastAsia" w:hAnsi="宋体" w:cs="宋体"/>
          <w:bCs/>
          <w:color w:val="auto"/>
          <w:sz w:val="24"/>
          <w:szCs w:val="24"/>
        </w:rPr>
        <w:t>授权代表：</w:t>
      </w:r>
    </w:p>
    <w:p w14:paraId="1785263F">
      <w:pPr>
        <w:pStyle w:val="28"/>
        <w:spacing w:line="440" w:lineRule="exact"/>
        <w:ind w:firstLine="480" w:firstLineChars="200"/>
        <w:contextualSpacing/>
        <w:rPr>
          <w:rFonts w:hAnsi="宋体" w:cs="宋体"/>
          <w:bCs/>
          <w:color w:val="auto"/>
          <w:sz w:val="24"/>
          <w:szCs w:val="24"/>
          <w:u w:val="single"/>
        </w:rPr>
      </w:pPr>
      <w:r>
        <w:rPr>
          <w:rFonts w:hint="eastAsia" w:hAnsi="宋体" w:cs="宋体"/>
          <w:bCs/>
          <w:color w:val="auto"/>
          <w:sz w:val="24"/>
          <w:szCs w:val="24"/>
        </w:rPr>
        <w:t>联系电话：</w:t>
      </w:r>
    </w:p>
    <w:p w14:paraId="73853E04">
      <w:pPr>
        <w:pStyle w:val="28"/>
        <w:spacing w:line="440" w:lineRule="exact"/>
        <w:ind w:firstLine="480" w:firstLineChars="200"/>
        <w:contextualSpacing/>
        <w:rPr>
          <w:rFonts w:hAnsi="宋体" w:cs="宋体"/>
          <w:bCs/>
          <w:color w:val="auto"/>
          <w:sz w:val="24"/>
          <w:szCs w:val="24"/>
        </w:rPr>
      </w:pPr>
      <w:r>
        <w:rPr>
          <w:rFonts w:hint="eastAsia" w:hAnsi="宋体" w:cs="宋体"/>
          <w:bCs/>
          <w:color w:val="auto"/>
          <w:sz w:val="24"/>
          <w:szCs w:val="24"/>
        </w:rPr>
        <w:t>地址：邮编：</w:t>
      </w:r>
    </w:p>
    <w:p w14:paraId="6BF5DBF1">
      <w:pPr>
        <w:pStyle w:val="28"/>
        <w:spacing w:line="440" w:lineRule="exact"/>
        <w:ind w:firstLine="482" w:firstLineChars="200"/>
        <w:contextualSpacing/>
        <w:rPr>
          <w:rFonts w:hAnsi="宋体" w:cs="宋体"/>
          <w:b/>
          <w:bCs/>
          <w:color w:val="auto"/>
          <w:sz w:val="24"/>
          <w:szCs w:val="24"/>
        </w:rPr>
      </w:pPr>
      <w:r>
        <w:rPr>
          <w:rFonts w:hint="eastAsia" w:hAnsi="宋体" w:cs="宋体"/>
          <w:b/>
          <w:bCs/>
          <w:color w:val="auto"/>
          <w:sz w:val="24"/>
          <w:szCs w:val="24"/>
        </w:rPr>
        <w:t>二、质疑项目基本情况：</w:t>
      </w:r>
    </w:p>
    <w:p w14:paraId="3E08DE78">
      <w:pPr>
        <w:pStyle w:val="28"/>
        <w:spacing w:line="440" w:lineRule="exact"/>
        <w:ind w:left="25" w:leftChars="12" w:firstLine="472" w:firstLineChars="197"/>
        <w:contextualSpacing/>
        <w:rPr>
          <w:rFonts w:hAnsi="宋体" w:cs="宋体"/>
          <w:color w:val="auto"/>
          <w:sz w:val="24"/>
          <w:szCs w:val="24"/>
        </w:rPr>
      </w:pPr>
      <w:r>
        <w:rPr>
          <w:rFonts w:hint="eastAsia" w:hAnsi="宋体" w:cs="宋体"/>
          <w:bCs/>
          <w:color w:val="auto"/>
          <w:sz w:val="24"/>
          <w:szCs w:val="24"/>
        </w:rPr>
        <w:t>质疑</w:t>
      </w:r>
      <w:r>
        <w:rPr>
          <w:rFonts w:hint="eastAsia" w:hAnsi="宋体" w:cs="宋体"/>
          <w:color w:val="auto"/>
          <w:sz w:val="24"/>
          <w:szCs w:val="24"/>
        </w:rPr>
        <w:t>项目的名称：</w:t>
      </w:r>
    </w:p>
    <w:p w14:paraId="265C9F74">
      <w:pPr>
        <w:pStyle w:val="28"/>
        <w:spacing w:line="440" w:lineRule="exact"/>
        <w:ind w:left="25" w:leftChars="12" w:firstLine="472" w:firstLineChars="197"/>
        <w:contextualSpacing/>
        <w:rPr>
          <w:rFonts w:hAnsi="宋体" w:cs="宋体"/>
          <w:color w:val="auto"/>
          <w:sz w:val="24"/>
          <w:szCs w:val="24"/>
        </w:rPr>
      </w:pPr>
      <w:r>
        <w:rPr>
          <w:rFonts w:hint="eastAsia" w:hAnsi="宋体" w:cs="宋体"/>
          <w:bCs/>
          <w:color w:val="auto"/>
          <w:sz w:val="24"/>
          <w:szCs w:val="24"/>
        </w:rPr>
        <w:t>质疑</w:t>
      </w:r>
      <w:r>
        <w:rPr>
          <w:rFonts w:hint="eastAsia" w:hAnsi="宋体" w:cs="宋体"/>
          <w:color w:val="auto"/>
          <w:sz w:val="24"/>
          <w:szCs w:val="24"/>
        </w:rPr>
        <w:t>项目的编号：</w:t>
      </w:r>
    </w:p>
    <w:p w14:paraId="0C5C7C5A">
      <w:pPr>
        <w:pStyle w:val="28"/>
        <w:spacing w:line="440" w:lineRule="exact"/>
        <w:ind w:left="25" w:leftChars="12" w:firstLine="472" w:firstLineChars="197"/>
        <w:contextualSpacing/>
        <w:rPr>
          <w:rFonts w:hAnsi="宋体" w:cs="宋体"/>
          <w:color w:val="auto"/>
          <w:sz w:val="24"/>
          <w:szCs w:val="24"/>
        </w:rPr>
      </w:pPr>
      <w:r>
        <w:rPr>
          <w:rFonts w:hint="eastAsia" w:hAnsi="宋体" w:cs="宋体"/>
          <w:color w:val="auto"/>
          <w:sz w:val="24"/>
          <w:szCs w:val="24"/>
        </w:rPr>
        <w:t>采购人名称：</w:t>
      </w:r>
    </w:p>
    <w:p w14:paraId="49116627">
      <w:pPr>
        <w:pStyle w:val="28"/>
        <w:spacing w:line="440" w:lineRule="exact"/>
        <w:ind w:left="25" w:leftChars="12" w:firstLine="472" w:firstLineChars="197"/>
        <w:contextualSpacing/>
        <w:rPr>
          <w:rFonts w:hAnsi="宋体" w:cs="宋体"/>
          <w:color w:val="auto"/>
          <w:sz w:val="24"/>
          <w:szCs w:val="24"/>
        </w:rPr>
      </w:pPr>
      <w:r>
        <w:rPr>
          <w:rFonts w:hint="eastAsia" w:hAnsi="宋体" w:cs="宋体"/>
          <w:color w:val="auto"/>
          <w:sz w:val="24"/>
          <w:szCs w:val="24"/>
        </w:rPr>
        <w:t>质疑事项：</w:t>
      </w:r>
    </w:p>
    <w:p w14:paraId="0F1AFCB3">
      <w:pPr>
        <w:pStyle w:val="28"/>
        <w:spacing w:line="440" w:lineRule="exact"/>
        <w:ind w:left="25" w:leftChars="12" w:firstLine="352" w:firstLineChars="147"/>
        <w:contextualSpacing/>
        <w:rPr>
          <w:rFonts w:hAnsi="宋体" w:cs="宋体"/>
          <w:color w:val="auto"/>
          <w:sz w:val="24"/>
          <w:szCs w:val="24"/>
        </w:rPr>
      </w:pPr>
      <w:r>
        <w:rPr>
          <w:rFonts w:hint="eastAsia" w:hAnsi="宋体" w:cs="宋体"/>
          <w:color w:val="auto"/>
          <w:sz w:val="24"/>
          <w:szCs w:val="24"/>
        </w:rPr>
        <w:t>□采购文件   采购文件获取日期：</w:t>
      </w:r>
    </w:p>
    <w:p w14:paraId="579EAFF7">
      <w:pPr>
        <w:pStyle w:val="28"/>
        <w:spacing w:line="440" w:lineRule="exact"/>
        <w:ind w:left="25" w:leftChars="12" w:firstLine="352" w:firstLineChars="147"/>
        <w:contextualSpacing/>
        <w:rPr>
          <w:rFonts w:hAnsi="宋体" w:cs="宋体"/>
          <w:color w:val="auto"/>
          <w:sz w:val="24"/>
          <w:szCs w:val="24"/>
        </w:rPr>
      </w:pPr>
      <w:r>
        <w:rPr>
          <w:rFonts w:hint="eastAsia" w:hAnsi="宋体" w:cs="宋体"/>
          <w:color w:val="auto"/>
          <w:sz w:val="24"/>
          <w:szCs w:val="24"/>
        </w:rPr>
        <w:t xml:space="preserve">□采购过程   </w:t>
      </w:r>
    </w:p>
    <w:p w14:paraId="35A25B18">
      <w:pPr>
        <w:pStyle w:val="28"/>
        <w:spacing w:line="440" w:lineRule="exact"/>
        <w:ind w:left="25" w:leftChars="12" w:firstLine="352" w:firstLineChars="147"/>
        <w:contextualSpacing/>
        <w:rPr>
          <w:rFonts w:hAnsi="宋体" w:cs="宋体"/>
          <w:bCs/>
          <w:color w:val="auto"/>
          <w:sz w:val="24"/>
          <w:szCs w:val="24"/>
          <w:u w:val="single"/>
        </w:rPr>
      </w:pPr>
      <w:r>
        <w:rPr>
          <w:rFonts w:hint="eastAsia" w:hAnsi="宋体" w:cs="宋体"/>
          <w:color w:val="auto"/>
          <w:sz w:val="24"/>
          <w:szCs w:val="24"/>
        </w:rPr>
        <w:t xml:space="preserve">□成交结果   </w:t>
      </w:r>
    </w:p>
    <w:p w14:paraId="722BD1AE">
      <w:pPr>
        <w:pStyle w:val="28"/>
        <w:spacing w:line="440" w:lineRule="exact"/>
        <w:ind w:left="25" w:leftChars="12" w:firstLine="472" w:firstLineChars="196"/>
        <w:contextualSpacing/>
        <w:rPr>
          <w:rFonts w:hAnsi="宋体" w:cs="宋体"/>
          <w:b/>
          <w:color w:val="auto"/>
          <w:sz w:val="24"/>
          <w:szCs w:val="24"/>
        </w:rPr>
      </w:pPr>
      <w:r>
        <w:rPr>
          <w:rFonts w:hint="eastAsia" w:hAnsi="宋体" w:cs="宋体"/>
          <w:b/>
          <w:color w:val="auto"/>
          <w:sz w:val="24"/>
          <w:szCs w:val="24"/>
        </w:rPr>
        <w:t>三、质疑事项具体内容</w:t>
      </w:r>
    </w:p>
    <w:p w14:paraId="3B39219B">
      <w:pPr>
        <w:pStyle w:val="28"/>
        <w:spacing w:line="440" w:lineRule="exact"/>
        <w:ind w:left="25" w:leftChars="12" w:firstLine="472" w:firstLineChars="197"/>
        <w:contextualSpacing/>
        <w:rPr>
          <w:rFonts w:hAnsi="宋体" w:cs="宋体"/>
          <w:color w:val="auto"/>
          <w:sz w:val="24"/>
          <w:szCs w:val="24"/>
        </w:rPr>
      </w:pPr>
      <w:r>
        <w:rPr>
          <w:rFonts w:hint="eastAsia" w:hAnsi="宋体" w:cs="宋体"/>
          <w:color w:val="auto"/>
          <w:sz w:val="24"/>
          <w:szCs w:val="24"/>
        </w:rPr>
        <w:t>质疑事项1：</w:t>
      </w:r>
    </w:p>
    <w:p w14:paraId="56661CC2">
      <w:pPr>
        <w:pStyle w:val="28"/>
        <w:spacing w:line="440" w:lineRule="exact"/>
        <w:ind w:left="25" w:leftChars="12" w:firstLine="472" w:firstLineChars="197"/>
        <w:contextualSpacing/>
        <w:rPr>
          <w:rFonts w:hAnsi="宋体" w:cs="宋体"/>
          <w:color w:val="auto"/>
          <w:sz w:val="24"/>
          <w:szCs w:val="24"/>
        </w:rPr>
      </w:pPr>
      <w:r>
        <w:rPr>
          <w:rFonts w:hint="eastAsia" w:hAnsi="宋体" w:cs="宋体"/>
          <w:color w:val="auto"/>
          <w:sz w:val="24"/>
          <w:szCs w:val="24"/>
        </w:rPr>
        <w:t>事实依据：</w:t>
      </w:r>
    </w:p>
    <w:p w14:paraId="1C2640F3">
      <w:pPr>
        <w:pStyle w:val="28"/>
        <w:spacing w:line="440" w:lineRule="exact"/>
        <w:ind w:left="25" w:leftChars="12" w:firstLine="472" w:firstLineChars="197"/>
        <w:contextualSpacing/>
        <w:rPr>
          <w:rFonts w:hAnsi="宋体" w:cs="宋体"/>
          <w:color w:val="auto"/>
          <w:sz w:val="24"/>
          <w:szCs w:val="24"/>
        </w:rPr>
      </w:pPr>
      <w:r>
        <w:rPr>
          <w:rFonts w:hint="eastAsia" w:hAnsi="宋体" w:cs="宋体"/>
          <w:color w:val="auto"/>
          <w:sz w:val="24"/>
          <w:szCs w:val="24"/>
        </w:rPr>
        <w:t>法律依据：</w:t>
      </w:r>
    </w:p>
    <w:p w14:paraId="19359A62">
      <w:pPr>
        <w:pStyle w:val="28"/>
        <w:spacing w:line="440" w:lineRule="exact"/>
        <w:ind w:left="25" w:leftChars="12" w:firstLine="472" w:firstLineChars="197"/>
        <w:contextualSpacing/>
        <w:rPr>
          <w:rFonts w:hAnsi="宋体" w:cs="宋体"/>
          <w:color w:val="auto"/>
          <w:sz w:val="24"/>
          <w:szCs w:val="24"/>
        </w:rPr>
      </w:pPr>
      <w:r>
        <w:rPr>
          <w:rFonts w:hint="eastAsia" w:hAnsi="宋体" w:cs="宋体"/>
          <w:color w:val="auto"/>
          <w:sz w:val="24"/>
          <w:szCs w:val="24"/>
        </w:rPr>
        <w:t>质疑事项2</w:t>
      </w:r>
    </w:p>
    <w:p w14:paraId="0BEA19D0">
      <w:pPr>
        <w:pStyle w:val="28"/>
        <w:spacing w:line="440" w:lineRule="exact"/>
        <w:ind w:left="25" w:leftChars="12" w:firstLine="472" w:firstLineChars="197"/>
        <w:contextualSpacing/>
        <w:rPr>
          <w:rFonts w:hAnsi="宋体" w:cs="宋体"/>
          <w:color w:val="auto"/>
          <w:sz w:val="24"/>
          <w:szCs w:val="24"/>
        </w:rPr>
      </w:pPr>
      <w:r>
        <w:rPr>
          <w:rFonts w:hint="eastAsia" w:hAnsi="宋体" w:cs="宋体"/>
          <w:color w:val="auto"/>
          <w:sz w:val="24"/>
          <w:szCs w:val="24"/>
        </w:rPr>
        <w:t>……</w:t>
      </w:r>
    </w:p>
    <w:p w14:paraId="712228F8">
      <w:pPr>
        <w:pStyle w:val="28"/>
        <w:spacing w:line="440" w:lineRule="exact"/>
        <w:ind w:left="25" w:leftChars="12" w:firstLine="472" w:firstLineChars="197"/>
        <w:contextualSpacing/>
        <w:rPr>
          <w:rFonts w:hAnsi="宋体" w:cs="宋体"/>
          <w:color w:val="auto"/>
          <w:sz w:val="24"/>
          <w:szCs w:val="24"/>
        </w:rPr>
      </w:pPr>
      <w:r>
        <w:rPr>
          <w:rFonts w:hint="eastAsia" w:hAnsi="宋体" w:cs="宋体"/>
          <w:color w:val="auto"/>
          <w:sz w:val="24"/>
          <w:szCs w:val="24"/>
        </w:rPr>
        <w:t>四、与质疑事项相关的质疑请求：</w:t>
      </w:r>
    </w:p>
    <w:p w14:paraId="1EA884AD">
      <w:pPr>
        <w:pStyle w:val="28"/>
        <w:spacing w:line="440" w:lineRule="exact"/>
        <w:ind w:left="25" w:leftChars="12" w:firstLine="472" w:firstLineChars="197"/>
        <w:contextualSpacing/>
        <w:rPr>
          <w:rFonts w:hAnsi="宋体" w:cs="宋体"/>
          <w:color w:val="auto"/>
          <w:sz w:val="24"/>
          <w:szCs w:val="24"/>
        </w:rPr>
      </w:pPr>
      <w:r>
        <w:rPr>
          <w:rFonts w:hint="eastAsia" w:hAnsi="宋体" w:cs="宋体"/>
          <w:color w:val="auto"/>
          <w:sz w:val="24"/>
          <w:szCs w:val="24"/>
        </w:rPr>
        <w:t>请求：</w:t>
      </w:r>
    </w:p>
    <w:p w14:paraId="2E949821">
      <w:pPr>
        <w:pStyle w:val="28"/>
        <w:spacing w:line="440" w:lineRule="exact"/>
        <w:ind w:left="25" w:leftChars="12" w:firstLine="352" w:firstLineChars="147"/>
        <w:contextualSpacing/>
        <w:rPr>
          <w:rFonts w:hAnsi="宋体" w:cs="宋体"/>
          <w:color w:val="auto"/>
          <w:sz w:val="24"/>
          <w:szCs w:val="24"/>
        </w:rPr>
      </w:pPr>
    </w:p>
    <w:p w14:paraId="5EB6E59B">
      <w:pPr>
        <w:pStyle w:val="28"/>
        <w:spacing w:line="440" w:lineRule="exact"/>
        <w:ind w:left="25" w:leftChars="12" w:firstLine="472" w:firstLineChars="197"/>
        <w:contextualSpacing/>
        <w:rPr>
          <w:rFonts w:hAnsi="宋体" w:cs="宋体"/>
          <w:color w:val="auto"/>
          <w:sz w:val="24"/>
          <w:szCs w:val="24"/>
        </w:rPr>
      </w:pPr>
      <w:r>
        <w:rPr>
          <w:rFonts w:hint="eastAsia" w:hAnsi="宋体" w:cs="宋体"/>
          <w:color w:val="auto"/>
          <w:sz w:val="24"/>
          <w:szCs w:val="24"/>
        </w:rPr>
        <w:t>签字（签章）：                                       公章：</w:t>
      </w:r>
    </w:p>
    <w:p w14:paraId="1DFBA29C">
      <w:pPr>
        <w:pStyle w:val="28"/>
        <w:spacing w:line="440" w:lineRule="exact"/>
        <w:ind w:firstLine="480" w:firstLineChars="200"/>
        <w:contextualSpacing/>
        <w:rPr>
          <w:rFonts w:hAnsi="宋体" w:cs="宋体"/>
          <w:b/>
          <w:color w:val="auto"/>
          <w:sz w:val="24"/>
          <w:szCs w:val="24"/>
        </w:rPr>
      </w:pPr>
      <w:r>
        <w:rPr>
          <w:rFonts w:hint="eastAsia" w:hAnsi="宋体" w:cs="宋体"/>
          <w:color w:val="auto"/>
          <w:sz w:val="24"/>
          <w:szCs w:val="24"/>
        </w:rPr>
        <w:t>日期：</w:t>
      </w:r>
    </w:p>
    <w:p w14:paraId="688D70FE">
      <w:pPr>
        <w:pStyle w:val="28"/>
        <w:spacing w:line="440" w:lineRule="exact"/>
        <w:contextualSpacing/>
        <w:rPr>
          <w:rFonts w:hAnsi="宋体" w:cs="宋体"/>
          <w:b/>
          <w:color w:val="auto"/>
          <w:sz w:val="24"/>
          <w:szCs w:val="24"/>
        </w:rPr>
      </w:pPr>
      <w:r>
        <w:rPr>
          <w:rFonts w:hint="eastAsia" w:hAnsi="宋体" w:cs="宋体"/>
          <w:b/>
          <w:color w:val="auto"/>
          <w:sz w:val="24"/>
          <w:szCs w:val="24"/>
        </w:rPr>
        <w:t>说明：</w:t>
      </w:r>
    </w:p>
    <w:p w14:paraId="3E5C4EE5">
      <w:pPr>
        <w:pStyle w:val="28"/>
        <w:spacing w:line="440" w:lineRule="exact"/>
        <w:ind w:left="25" w:leftChars="12" w:firstLine="354" w:firstLineChars="147"/>
        <w:contextualSpacing/>
        <w:rPr>
          <w:rFonts w:hAnsi="宋体" w:cs="宋体"/>
          <w:b/>
          <w:bCs/>
          <w:color w:val="auto"/>
          <w:sz w:val="24"/>
          <w:szCs w:val="24"/>
        </w:rPr>
      </w:pPr>
      <w:r>
        <w:rPr>
          <w:rFonts w:hint="eastAsia" w:hAnsi="宋体" w:cs="宋体"/>
          <w:b/>
          <w:color w:val="auto"/>
          <w:sz w:val="24"/>
          <w:szCs w:val="24"/>
        </w:rPr>
        <w:t>1.供应商提出质疑时，应提交质疑函和必要的证明材料</w:t>
      </w:r>
      <w:r>
        <w:rPr>
          <w:rFonts w:hint="eastAsia" w:hAnsi="宋体" w:cs="宋体"/>
          <w:b/>
          <w:bCs/>
          <w:color w:val="auto"/>
          <w:sz w:val="24"/>
          <w:szCs w:val="24"/>
        </w:rPr>
        <w:t>。</w:t>
      </w:r>
    </w:p>
    <w:p w14:paraId="7642EFDD">
      <w:pPr>
        <w:pStyle w:val="28"/>
        <w:spacing w:line="440" w:lineRule="exact"/>
        <w:ind w:left="25" w:leftChars="12" w:firstLine="354" w:firstLineChars="147"/>
        <w:contextualSpacing/>
        <w:rPr>
          <w:rFonts w:hAnsi="宋体" w:cs="宋体"/>
          <w:b/>
          <w:color w:val="auto"/>
          <w:sz w:val="24"/>
          <w:szCs w:val="24"/>
        </w:rPr>
      </w:pPr>
      <w:r>
        <w:rPr>
          <w:rFonts w:hint="eastAsia" w:hAnsi="宋体" w:cs="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47D3BC4">
      <w:pPr>
        <w:pStyle w:val="28"/>
        <w:spacing w:line="440" w:lineRule="exact"/>
        <w:ind w:left="25" w:leftChars="12" w:firstLine="354" w:firstLineChars="147"/>
        <w:contextualSpacing/>
        <w:rPr>
          <w:rFonts w:hAnsi="宋体" w:cs="宋体"/>
          <w:b/>
          <w:color w:val="auto"/>
          <w:sz w:val="24"/>
          <w:szCs w:val="24"/>
        </w:rPr>
      </w:pPr>
      <w:r>
        <w:rPr>
          <w:rFonts w:hint="eastAsia" w:hAnsi="宋体" w:cs="宋体"/>
          <w:b/>
          <w:color w:val="auto"/>
          <w:sz w:val="24"/>
          <w:szCs w:val="24"/>
        </w:rPr>
        <w:t>3.质疑函的质疑事项应具体、明确，并有必要的事实依据和法律依据。</w:t>
      </w:r>
    </w:p>
    <w:p w14:paraId="44DEEEB5">
      <w:pPr>
        <w:pStyle w:val="28"/>
        <w:spacing w:line="440" w:lineRule="exact"/>
        <w:ind w:left="25" w:leftChars="12" w:firstLine="354" w:firstLineChars="147"/>
        <w:contextualSpacing/>
        <w:rPr>
          <w:rFonts w:hAnsi="宋体" w:cs="宋体"/>
          <w:b/>
          <w:color w:val="auto"/>
          <w:sz w:val="24"/>
          <w:szCs w:val="24"/>
        </w:rPr>
      </w:pPr>
      <w:r>
        <w:rPr>
          <w:rFonts w:hint="eastAsia" w:hAnsi="宋体" w:cs="宋体"/>
          <w:b/>
          <w:color w:val="auto"/>
          <w:sz w:val="24"/>
          <w:szCs w:val="24"/>
        </w:rPr>
        <w:t>4.质疑函的质疑请求应与质疑事项相关。</w:t>
      </w:r>
    </w:p>
    <w:p w14:paraId="0724BCB7">
      <w:pPr>
        <w:pStyle w:val="28"/>
        <w:spacing w:line="440" w:lineRule="exact"/>
        <w:ind w:left="25" w:leftChars="12" w:firstLine="354" w:firstLineChars="147"/>
        <w:contextualSpacing/>
        <w:rPr>
          <w:rFonts w:hAnsi="宋体" w:cs="宋体"/>
          <w:b/>
          <w:color w:val="auto"/>
        </w:rPr>
      </w:pPr>
      <w:r>
        <w:rPr>
          <w:rFonts w:hint="eastAsia" w:hAnsi="宋体" w:cs="宋体"/>
          <w:b/>
          <w:color w:val="auto"/>
          <w:sz w:val="24"/>
          <w:szCs w:val="24"/>
        </w:rPr>
        <w:t>5.质疑供应商为法人或者其他组织的，质疑函应由法定代表人、主要负责人，或者其授权代表签字或者盖章，并加盖公章。</w:t>
      </w:r>
    </w:p>
    <w:p w14:paraId="6BC5B2FA">
      <w:pPr>
        <w:pStyle w:val="28"/>
        <w:snapToGrid w:val="0"/>
        <w:spacing w:line="440" w:lineRule="exact"/>
        <w:rPr>
          <w:rFonts w:hAnsi="宋体" w:cs="宋体"/>
          <w:b/>
          <w:color w:val="auto"/>
          <w:sz w:val="24"/>
          <w:szCs w:val="24"/>
        </w:rPr>
      </w:pPr>
    </w:p>
    <w:p w14:paraId="609A5338">
      <w:pPr>
        <w:spacing w:line="440" w:lineRule="exact"/>
        <w:rPr>
          <w:rFonts w:ascii="宋体" w:hAnsi="宋体" w:cs="宋体"/>
          <w:color w:val="auto"/>
          <w:sz w:val="32"/>
          <w:szCs w:val="40"/>
        </w:rPr>
      </w:pPr>
    </w:p>
    <w:p w14:paraId="6A8D7732">
      <w:pPr>
        <w:spacing w:line="440" w:lineRule="exact"/>
        <w:rPr>
          <w:rFonts w:ascii="宋体" w:hAnsi="宋体" w:cs="宋体"/>
          <w:color w:val="auto"/>
          <w:sz w:val="32"/>
          <w:szCs w:val="40"/>
        </w:rPr>
      </w:pPr>
    </w:p>
    <w:p w14:paraId="4366D8B3">
      <w:pPr>
        <w:spacing w:line="440" w:lineRule="exact"/>
        <w:rPr>
          <w:rFonts w:ascii="宋体" w:hAnsi="宋体" w:cs="宋体"/>
          <w:color w:val="auto"/>
          <w:sz w:val="32"/>
          <w:szCs w:val="40"/>
        </w:rPr>
      </w:pPr>
    </w:p>
    <w:p w14:paraId="5B581B04">
      <w:pPr>
        <w:spacing w:line="440" w:lineRule="exact"/>
        <w:rPr>
          <w:rFonts w:ascii="宋体" w:hAnsi="宋体" w:cs="宋体"/>
          <w:color w:val="auto"/>
          <w:sz w:val="32"/>
          <w:szCs w:val="40"/>
        </w:rPr>
      </w:pPr>
    </w:p>
    <w:p w14:paraId="29A94DD3">
      <w:pPr>
        <w:spacing w:line="440" w:lineRule="exact"/>
        <w:rPr>
          <w:rFonts w:ascii="宋体" w:hAnsi="宋体" w:cs="宋体"/>
          <w:color w:val="auto"/>
          <w:sz w:val="32"/>
          <w:szCs w:val="40"/>
        </w:rPr>
      </w:pPr>
    </w:p>
    <w:p w14:paraId="7F09BFC0">
      <w:pPr>
        <w:spacing w:line="440" w:lineRule="exact"/>
        <w:rPr>
          <w:rFonts w:ascii="宋体" w:hAnsi="宋体" w:cs="宋体"/>
          <w:color w:val="auto"/>
          <w:sz w:val="32"/>
          <w:szCs w:val="40"/>
        </w:rPr>
      </w:pPr>
    </w:p>
    <w:p w14:paraId="6D5DB8B4">
      <w:pPr>
        <w:spacing w:line="440" w:lineRule="exact"/>
        <w:rPr>
          <w:rFonts w:ascii="宋体" w:hAnsi="宋体" w:cs="宋体"/>
          <w:color w:val="auto"/>
          <w:sz w:val="32"/>
          <w:szCs w:val="40"/>
        </w:rPr>
      </w:pPr>
    </w:p>
    <w:p w14:paraId="52BF021F">
      <w:pPr>
        <w:pStyle w:val="66"/>
        <w:spacing w:line="440" w:lineRule="exact"/>
        <w:ind w:firstLine="0" w:firstLineChars="0"/>
        <w:rPr>
          <w:rFonts w:ascii="宋体" w:hAnsi="宋体" w:eastAsia="宋体" w:cs="宋体"/>
          <w:color w:val="auto"/>
          <w:lang w:eastAsia="zh-CN" w:bidi="ar-SA"/>
        </w:rPr>
      </w:pPr>
    </w:p>
    <w:p w14:paraId="63CB7D33">
      <w:pPr>
        <w:pStyle w:val="66"/>
        <w:spacing w:line="440" w:lineRule="exact"/>
        <w:ind w:firstLine="0" w:firstLineChars="0"/>
        <w:rPr>
          <w:rFonts w:ascii="宋体" w:hAnsi="宋体" w:eastAsia="宋体" w:cs="宋体"/>
          <w:color w:val="auto"/>
          <w:lang w:eastAsia="zh-CN" w:bidi="ar-SA"/>
        </w:rPr>
      </w:pPr>
    </w:p>
    <w:p w14:paraId="033106E5">
      <w:pPr>
        <w:rPr>
          <w:rFonts w:ascii="宋体" w:hAnsi="宋体" w:cs="宋体"/>
          <w:b/>
          <w:bCs/>
          <w:color w:val="auto"/>
          <w:sz w:val="32"/>
          <w:szCs w:val="32"/>
        </w:rPr>
      </w:pPr>
      <w:r>
        <w:rPr>
          <w:rFonts w:hint="eastAsia" w:ascii="宋体" w:hAnsi="宋体" w:cs="宋体"/>
          <w:b/>
          <w:bCs/>
          <w:color w:val="auto"/>
          <w:sz w:val="32"/>
          <w:szCs w:val="32"/>
        </w:rPr>
        <w:br w:type="page"/>
      </w:r>
    </w:p>
    <w:p w14:paraId="557C503C">
      <w:pPr>
        <w:spacing w:line="440" w:lineRule="exact"/>
        <w:jc w:val="center"/>
        <w:rPr>
          <w:rFonts w:ascii="宋体" w:hAnsi="宋体" w:cs="宋体"/>
          <w:color w:val="auto"/>
          <w:sz w:val="44"/>
          <w:szCs w:val="44"/>
        </w:rPr>
      </w:pPr>
      <w:r>
        <w:rPr>
          <w:rFonts w:hint="eastAsia" w:ascii="宋体" w:hAnsi="宋体" w:cs="宋体"/>
          <w:b/>
          <w:bCs/>
          <w:color w:val="auto"/>
          <w:sz w:val="32"/>
          <w:szCs w:val="32"/>
        </w:rPr>
        <w:t>投诉书（格式）</w:t>
      </w:r>
    </w:p>
    <w:p w14:paraId="2D4EA5EA">
      <w:pPr>
        <w:pStyle w:val="28"/>
        <w:snapToGrid w:val="0"/>
        <w:spacing w:line="440" w:lineRule="exact"/>
        <w:ind w:firstLine="482" w:firstLineChars="200"/>
        <w:rPr>
          <w:rFonts w:hAnsi="宋体" w:cs="宋体"/>
          <w:b/>
          <w:bCs/>
          <w:color w:val="auto"/>
          <w:sz w:val="24"/>
          <w:szCs w:val="24"/>
        </w:rPr>
      </w:pPr>
    </w:p>
    <w:p w14:paraId="14E9CC67">
      <w:pPr>
        <w:pStyle w:val="28"/>
        <w:snapToGrid w:val="0"/>
        <w:spacing w:line="440" w:lineRule="exact"/>
        <w:ind w:firstLine="482" w:firstLineChars="200"/>
        <w:rPr>
          <w:rFonts w:hAnsi="宋体" w:cs="宋体"/>
          <w:b/>
          <w:bCs/>
          <w:color w:val="auto"/>
          <w:sz w:val="24"/>
          <w:szCs w:val="24"/>
        </w:rPr>
      </w:pPr>
      <w:r>
        <w:rPr>
          <w:rFonts w:hint="eastAsia" w:hAnsi="宋体" w:cs="宋体"/>
          <w:b/>
          <w:bCs/>
          <w:color w:val="auto"/>
          <w:sz w:val="24"/>
          <w:szCs w:val="24"/>
        </w:rPr>
        <w:t>一、投诉相关主体基本情况：</w:t>
      </w:r>
    </w:p>
    <w:p w14:paraId="48327B1F">
      <w:pPr>
        <w:pStyle w:val="28"/>
        <w:snapToGrid w:val="0"/>
        <w:spacing w:line="440" w:lineRule="exact"/>
        <w:ind w:firstLine="480" w:firstLineChars="200"/>
        <w:rPr>
          <w:rFonts w:hAnsi="宋体" w:cs="宋体"/>
          <w:bCs/>
          <w:color w:val="auto"/>
          <w:sz w:val="24"/>
          <w:szCs w:val="24"/>
          <w:u w:val="single"/>
        </w:rPr>
      </w:pPr>
      <w:r>
        <w:rPr>
          <w:rFonts w:hint="eastAsia" w:hAnsi="宋体" w:cs="宋体"/>
          <w:bCs/>
          <w:color w:val="auto"/>
          <w:sz w:val="24"/>
          <w:szCs w:val="24"/>
        </w:rPr>
        <w:t>供应商：</w:t>
      </w:r>
    </w:p>
    <w:p w14:paraId="7CE043B2">
      <w:pPr>
        <w:pStyle w:val="28"/>
        <w:snapToGrid w:val="0"/>
        <w:spacing w:line="440" w:lineRule="exact"/>
        <w:ind w:firstLine="480" w:firstLineChars="200"/>
        <w:rPr>
          <w:rFonts w:hAnsi="宋体" w:cs="宋体"/>
          <w:bCs/>
          <w:color w:val="auto"/>
          <w:sz w:val="24"/>
          <w:szCs w:val="24"/>
        </w:rPr>
      </w:pPr>
      <w:r>
        <w:rPr>
          <w:rFonts w:hint="eastAsia" w:hAnsi="宋体" w:cs="宋体"/>
          <w:bCs/>
          <w:color w:val="auto"/>
          <w:sz w:val="24"/>
          <w:szCs w:val="24"/>
        </w:rPr>
        <w:t>地址：邮编：</w:t>
      </w:r>
    </w:p>
    <w:p w14:paraId="244789F9">
      <w:pPr>
        <w:pStyle w:val="28"/>
        <w:snapToGrid w:val="0"/>
        <w:spacing w:line="440" w:lineRule="exact"/>
        <w:ind w:firstLine="480" w:firstLineChars="200"/>
        <w:rPr>
          <w:rFonts w:hAnsi="宋体" w:cs="宋体"/>
          <w:bCs/>
          <w:color w:val="auto"/>
          <w:sz w:val="24"/>
          <w:szCs w:val="24"/>
          <w:u w:val="single"/>
        </w:rPr>
      </w:pPr>
      <w:r>
        <w:rPr>
          <w:rFonts w:hint="eastAsia" w:hAnsi="宋体" w:cs="宋体"/>
          <w:bCs/>
          <w:color w:val="auto"/>
          <w:sz w:val="24"/>
          <w:szCs w:val="24"/>
        </w:rPr>
        <w:t>法定代表人/主要负责人：</w:t>
      </w:r>
    </w:p>
    <w:p w14:paraId="518780FD">
      <w:pPr>
        <w:pStyle w:val="28"/>
        <w:snapToGrid w:val="0"/>
        <w:spacing w:line="440" w:lineRule="exact"/>
        <w:ind w:firstLine="480" w:firstLineChars="200"/>
        <w:rPr>
          <w:rFonts w:hAnsi="宋体" w:cs="宋体"/>
          <w:bCs/>
          <w:color w:val="auto"/>
          <w:sz w:val="24"/>
          <w:szCs w:val="24"/>
        </w:rPr>
      </w:pPr>
      <w:r>
        <w:rPr>
          <w:rFonts w:hint="eastAsia" w:hAnsi="宋体" w:cs="宋体"/>
          <w:bCs/>
          <w:color w:val="auto"/>
          <w:sz w:val="24"/>
          <w:szCs w:val="24"/>
        </w:rPr>
        <w:t>联系电话：</w:t>
      </w:r>
    </w:p>
    <w:p w14:paraId="26A46B0C">
      <w:pPr>
        <w:pStyle w:val="28"/>
        <w:snapToGrid w:val="0"/>
        <w:spacing w:line="440" w:lineRule="exact"/>
        <w:ind w:firstLine="480" w:firstLineChars="200"/>
        <w:rPr>
          <w:rFonts w:hAnsi="宋体" w:cs="宋体"/>
          <w:bCs/>
          <w:color w:val="auto"/>
          <w:sz w:val="24"/>
          <w:szCs w:val="24"/>
          <w:u w:val="single"/>
        </w:rPr>
      </w:pPr>
      <w:r>
        <w:rPr>
          <w:rFonts w:hint="eastAsia" w:hAnsi="宋体" w:cs="宋体"/>
          <w:bCs/>
          <w:color w:val="auto"/>
          <w:sz w:val="24"/>
          <w:szCs w:val="24"/>
        </w:rPr>
        <w:t>授权代表：联系电话：</w:t>
      </w:r>
    </w:p>
    <w:p w14:paraId="0654539F">
      <w:pPr>
        <w:pStyle w:val="28"/>
        <w:snapToGrid w:val="0"/>
        <w:spacing w:line="440" w:lineRule="exact"/>
        <w:ind w:firstLine="480" w:firstLineChars="200"/>
        <w:rPr>
          <w:rFonts w:hAnsi="宋体" w:cs="宋体"/>
          <w:bCs/>
          <w:color w:val="auto"/>
          <w:sz w:val="24"/>
          <w:szCs w:val="24"/>
          <w:u w:val="single"/>
        </w:rPr>
      </w:pPr>
      <w:r>
        <w:rPr>
          <w:rFonts w:hint="eastAsia" w:hAnsi="宋体" w:cs="宋体"/>
          <w:bCs/>
          <w:color w:val="auto"/>
          <w:sz w:val="24"/>
          <w:szCs w:val="24"/>
        </w:rPr>
        <w:t>地址：</w:t>
      </w:r>
    </w:p>
    <w:p w14:paraId="10130D58">
      <w:pPr>
        <w:pStyle w:val="28"/>
        <w:snapToGrid w:val="0"/>
        <w:spacing w:line="440" w:lineRule="exact"/>
        <w:ind w:firstLine="480" w:firstLineChars="200"/>
        <w:rPr>
          <w:rFonts w:hAnsi="宋体" w:cs="宋体"/>
          <w:bCs/>
          <w:color w:val="auto"/>
          <w:sz w:val="24"/>
          <w:szCs w:val="24"/>
        </w:rPr>
      </w:pPr>
      <w:r>
        <w:rPr>
          <w:rFonts w:hint="eastAsia" w:hAnsi="宋体" w:cs="宋体"/>
          <w:bCs/>
          <w:color w:val="auto"/>
          <w:sz w:val="24"/>
          <w:szCs w:val="24"/>
        </w:rPr>
        <w:t>邮编：</w:t>
      </w:r>
    </w:p>
    <w:p w14:paraId="1FE43E5E">
      <w:pPr>
        <w:pStyle w:val="28"/>
        <w:snapToGrid w:val="0"/>
        <w:spacing w:line="440" w:lineRule="exact"/>
        <w:ind w:firstLine="480" w:firstLineChars="200"/>
        <w:rPr>
          <w:rFonts w:hAnsi="宋体" w:cs="宋体"/>
          <w:bCs/>
          <w:color w:val="auto"/>
          <w:sz w:val="24"/>
          <w:szCs w:val="24"/>
        </w:rPr>
      </w:pPr>
      <w:r>
        <w:rPr>
          <w:rFonts w:hint="eastAsia" w:hAnsi="宋体" w:cs="宋体"/>
          <w:bCs/>
          <w:color w:val="auto"/>
          <w:sz w:val="24"/>
          <w:szCs w:val="24"/>
        </w:rPr>
        <w:t>被投诉人1：</w:t>
      </w:r>
    </w:p>
    <w:p w14:paraId="5AF5B0C7">
      <w:pPr>
        <w:pStyle w:val="28"/>
        <w:snapToGrid w:val="0"/>
        <w:spacing w:line="440" w:lineRule="exact"/>
        <w:ind w:firstLine="480" w:firstLineChars="200"/>
        <w:rPr>
          <w:rFonts w:hAnsi="宋体" w:cs="宋体"/>
          <w:bCs/>
          <w:color w:val="auto"/>
          <w:sz w:val="24"/>
          <w:szCs w:val="24"/>
          <w:u w:val="single"/>
        </w:rPr>
      </w:pPr>
      <w:r>
        <w:rPr>
          <w:rFonts w:hint="eastAsia" w:hAnsi="宋体" w:cs="宋体"/>
          <w:bCs/>
          <w:color w:val="auto"/>
          <w:sz w:val="24"/>
          <w:szCs w:val="24"/>
        </w:rPr>
        <w:t>地址：</w:t>
      </w:r>
    </w:p>
    <w:p w14:paraId="2DD672C3">
      <w:pPr>
        <w:pStyle w:val="28"/>
        <w:snapToGrid w:val="0"/>
        <w:spacing w:line="440" w:lineRule="exact"/>
        <w:ind w:firstLine="480" w:firstLineChars="200"/>
        <w:rPr>
          <w:rFonts w:hAnsi="宋体" w:cs="宋体"/>
          <w:bCs/>
          <w:color w:val="auto"/>
          <w:sz w:val="24"/>
          <w:szCs w:val="24"/>
        </w:rPr>
      </w:pPr>
      <w:r>
        <w:rPr>
          <w:rFonts w:hint="eastAsia" w:hAnsi="宋体" w:cs="宋体"/>
          <w:bCs/>
          <w:color w:val="auto"/>
          <w:sz w:val="24"/>
          <w:szCs w:val="24"/>
        </w:rPr>
        <w:t>邮编：</w:t>
      </w:r>
    </w:p>
    <w:p w14:paraId="559D9B4C">
      <w:pPr>
        <w:pStyle w:val="28"/>
        <w:snapToGrid w:val="0"/>
        <w:spacing w:line="440" w:lineRule="exact"/>
        <w:ind w:firstLine="480" w:firstLineChars="200"/>
        <w:rPr>
          <w:rFonts w:hAnsi="宋体" w:cs="宋体"/>
          <w:bCs/>
          <w:color w:val="auto"/>
          <w:sz w:val="24"/>
          <w:szCs w:val="24"/>
          <w:u w:val="single"/>
        </w:rPr>
      </w:pPr>
      <w:r>
        <w:rPr>
          <w:rFonts w:hint="eastAsia" w:hAnsi="宋体" w:cs="宋体"/>
          <w:bCs/>
          <w:color w:val="auto"/>
          <w:sz w:val="24"/>
          <w:szCs w:val="24"/>
        </w:rPr>
        <w:t>联系人：联系电话：</w:t>
      </w:r>
    </w:p>
    <w:p w14:paraId="2F1A13DE">
      <w:pPr>
        <w:pStyle w:val="28"/>
        <w:snapToGrid w:val="0"/>
        <w:spacing w:line="440" w:lineRule="exact"/>
        <w:ind w:firstLine="480" w:firstLineChars="200"/>
        <w:rPr>
          <w:rFonts w:hAnsi="宋体" w:cs="宋体"/>
          <w:bCs/>
          <w:color w:val="auto"/>
          <w:sz w:val="24"/>
          <w:szCs w:val="24"/>
        </w:rPr>
      </w:pPr>
      <w:r>
        <w:rPr>
          <w:rFonts w:hint="eastAsia" w:hAnsi="宋体" w:cs="宋体"/>
          <w:bCs/>
          <w:color w:val="auto"/>
          <w:sz w:val="24"/>
          <w:szCs w:val="24"/>
        </w:rPr>
        <w:t>被投诉人2：</w:t>
      </w:r>
    </w:p>
    <w:p w14:paraId="45791BD4">
      <w:pPr>
        <w:pStyle w:val="28"/>
        <w:snapToGrid w:val="0"/>
        <w:spacing w:line="440" w:lineRule="exact"/>
        <w:ind w:firstLine="480" w:firstLineChars="200"/>
        <w:rPr>
          <w:rFonts w:hAnsi="宋体" w:cs="宋体"/>
          <w:bCs/>
          <w:color w:val="auto"/>
          <w:sz w:val="24"/>
          <w:szCs w:val="24"/>
        </w:rPr>
      </w:pPr>
      <w:r>
        <w:rPr>
          <w:rFonts w:hint="eastAsia" w:hAnsi="宋体" w:cs="宋体"/>
          <w:bCs/>
          <w:color w:val="auto"/>
          <w:sz w:val="24"/>
          <w:szCs w:val="24"/>
        </w:rPr>
        <w:t>……</w:t>
      </w:r>
    </w:p>
    <w:p w14:paraId="00235F95">
      <w:pPr>
        <w:pStyle w:val="28"/>
        <w:snapToGrid w:val="0"/>
        <w:spacing w:line="440" w:lineRule="exact"/>
        <w:ind w:firstLine="480" w:firstLineChars="200"/>
        <w:rPr>
          <w:rFonts w:hAnsi="宋体" w:cs="宋体"/>
          <w:bCs/>
          <w:color w:val="auto"/>
          <w:sz w:val="24"/>
          <w:szCs w:val="24"/>
          <w:u w:val="single"/>
        </w:rPr>
      </w:pPr>
      <w:r>
        <w:rPr>
          <w:rFonts w:hint="eastAsia" w:hAnsi="宋体" w:cs="宋体"/>
          <w:bCs/>
          <w:color w:val="auto"/>
          <w:sz w:val="24"/>
          <w:szCs w:val="24"/>
        </w:rPr>
        <w:t>相关供应商：</w:t>
      </w:r>
    </w:p>
    <w:p w14:paraId="416A97BA">
      <w:pPr>
        <w:pStyle w:val="28"/>
        <w:snapToGrid w:val="0"/>
        <w:spacing w:line="440" w:lineRule="exact"/>
        <w:ind w:firstLine="480" w:firstLineChars="200"/>
        <w:rPr>
          <w:rFonts w:hAnsi="宋体" w:cs="宋体"/>
          <w:bCs/>
          <w:color w:val="auto"/>
          <w:sz w:val="24"/>
          <w:szCs w:val="24"/>
          <w:u w:val="single"/>
        </w:rPr>
      </w:pPr>
      <w:r>
        <w:rPr>
          <w:rFonts w:hint="eastAsia" w:hAnsi="宋体" w:cs="宋体"/>
          <w:bCs/>
          <w:color w:val="auto"/>
          <w:sz w:val="24"/>
          <w:szCs w:val="24"/>
        </w:rPr>
        <w:t>地址：邮编：</w:t>
      </w:r>
    </w:p>
    <w:p w14:paraId="77913A80">
      <w:pPr>
        <w:pStyle w:val="28"/>
        <w:snapToGrid w:val="0"/>
        <w:spacing w:line="440" w:lineRule="exact"/>
        <w:ind w:firstLine="480" w:firstLineChars="200"/>
        <w:rPr>
          <w:rFonts w:hAnsi="宋体" w:cs="宋体"/>
          <w:bCs/>
          <w:color w:val="auto"/>
          <w:sz w:val="24"/>
          <w:szCs w:val="24"/>
        </w:rPr>
      </w:pPr>
      <w:r>
        <w:rPr>
          <w:rFonts w:hint="eastAsia" w:hAnsi="宋体" w:cs="宋体"/>
          <w:bCs/>
          <w:color w:val="auto"/>
          <w:sz w:val="24"/>
          <w:szCs w:val="24"/>
        </w:rPr>
        <w:t>联系人：联系电话：</w:t>
      </w:r>
    </w:p>
    <w:p w14:paraId="0AAD769C">
      <w:pPr>
        <w:pStyle w:val="28"/>
        <w:snapToGrid w:val="0"/>
        <w:spacing w:line="440" w:lineRule="exact"/>
        <w:ind w:firstLine="482" w:firstLineChars="200"/>
        <w:rPr>
          <w:rFonts w:hAnsi="宋体" w:cs="宋体"/>
          <w:b/>
          <w:bCs/>
          <w:color w:val="auto"/>
          <w:sz w:val="24"/>
          <w:szCs w:val="24"/>
        </w:rPr>
      </w:pPr>
      <w:r>
        <w:rPr>
          <w:rFonts w:hint="eastAsia" w:hAnsi="宋体" w:cs="宋体"/>
          <w:b/>
          <w:bCs/>
          <w:color w:val="auto"/>
          <w:sz w:val="24"/>
          <w:szCs w:val="24"/>
        </w:rPr>
        <w:t>二、投诉项目基本情况：</w:t>
      </w:r>
    </w:p>
    <w:p w14:paraId="4340E9DF">
      <w:pPr>
        <w:pStyle w:val="28"/>
        <w:spacing w:line="440" w:lineRule="exact"/>
        <w:ind w:left="25" w:leftChars="12" w:firstLine="472" w:firstLineChars="197"/>
        <w:rPr>
          <w:rFonts w:hAnsi="宋体" w:cs="宋体"/>
          <w:color w:val="auto"/>
          <w:sz w:val="24"/>
          <w:szCs w:val="24"/>
        </w:rPr>
      </w:pPr>
      <w:r>
        <w:rPr>
          <w:rFonts w:hint="eastAsia" w:hAnsi="宋体" w:cs="宋体"/>
          <w:bCs/>
          <w:color w:val="auto"/>
          <w:sz w:val="24"/>
          <w:szCs w:val="24"/>
        </w:rPr>
        <w:t>采购</w:t>
      </w:r>
      <w:r>
        <w:rPr>
          <w:rFonts w:hint="eastAsia" w:hAnsi="宋体" w:cs="宋体"/>
          <w:color w:val="auto"/>
          <w:sz w:val="24"/>
          <w:szCs w:val="24"/>
        </w:rPr>
        <w:t>项目的名称：</w:t>
      </w:r>
    </w:p>
    <w:p w14:paraId="4F60561F">
      <w:pPr>
        <w:pStyle w:val="28"/>
        <w:spacing w:line="440" w:lineRule="exact"/>
        <w:ind w:left="25" w:leftChars="12" w:firstLine="472" w:firstLineChars="197"/>
        <w:rPr>
          <w:rFonts w:hAnsi="宋体" w:cs="宋体"/>
          <w:color w:val="auto"/>
          <w:sz w:val="24"/>
          <w:szCs w:val="24"/>
        </w:rPr>
      </w:pPr>
      <w:r>
        <w:rPr>
          <w:rFonts w:hint="eastAsia" w:hAnsi="宋体" w:cs="宋体"/>
          <w:bCs/>
          <w:color w:val="auto"/>
          <w:sz w:val="24"/>
          <w:szCs w:val="24"/>
        </w:rPr>
        <w:t>采购</w:t>
      </w:r>
      <w:r>
        <w:rPr>
          <w:rFonts w:hint="eastAsia" w:hAnsi="宋体" w:cs="宋体"/>
          <w:color w:val="auto"/>
          <w:sz w:val="24"/>
          <w:szCs w:val="24"/>
        </w:rPr>
        <w:t>项目的编号：</w:t>
      </w:r>
    </w:p>
    <w:p w14:paraId="796429B9">
      <w:pPr>
        <w:pStyle w:val="28"/>
        <w:spacing w:line="440" w:lineRule="exact"/>
        <w:ind w:left="25" w:leftChars="12" w:firstLine="472" w:firstLineChars="197"/>
        <w:rPr>
          <w:rFonts w:hAnsi="宋体" w:cs="宋体"/>
          <w:bCs/>
          <w:color w:val="auto"/>
          <w:sz w:val="24"/>
          <w:szCs w:val="24"/>
          <w:u w:val="single"/>
        </w:rPr>
      </w:pPr>
      <w:r>
        <w:rPr>
          <w:rFonts w:hint="eastAsia" w:hAnsi="宋体" w:cs="宋体"/>
          <w:color w:val="auto"/>
          <w:sz w:val="24"/>
          <w:szCs w:val="24"/>
        </w:rPr>
        <w:t>采购人名称：</w:t>
      </w:r>
    </w:p>
    <w:p w14:paraId="51474995">
      <w:pPr>
        <w:pStyle w:val="28"/>
        <w:spacing w:line="440" w:lineRule="exact"/>
        <w:ind w:left="25" w:leftChars="12" w:firstLine="472" w:firstLineChars="197"/>
        <w:rPr>
          <w:rFonts w:hAnsi="宋体" w:cs="宋体"/>
          <w:bCs/>
          <w:color w:val="auto"/>
          <w:sz w:val="24"/>
          <w:szCs w:val="24"/>
          <w:u w:val="single"/>
        </w:rPr>
      </w:pPr>
      <w:r>
        <w:rPr>
          <w:rFonts w:hint="eastAsia" w:hAnsi="宋体" w:cs="宋体"/>
          <w:color w:val="auto"/>
          <w:sz w:val="24"/>
          <w:szCs w:val="24"/>
        </w:rPr>
        <w:t>代理机构名称：</w:t>
      </w:r>
    </w:p>
    <w:p w14:paraId="6131B2AA">
      <w:pPr>
        <w:pStyle w:val="28"/>
        <w:spacing w:line="440" w:lineRule="exact"/>
        <w:ind w:left="25" w:leftChars="12" w:firstLine="472" w:firstLineChars="197"/>
        <w:rPr>
          <w:rFonts w:hAnsi="宋体" w:cs="宋体"/>
          <w:bCs/>
          <w:color w:val="auto"/>
          <w:sz w:val="24"/>
          <w:szCs w:val="24"/>
          <w:u w:val="single"/>
        </w:rPr>
      </w:pPr>
      <w:r>
        <w:rPr>
          <w:rFonts w:hint="eastAsia" w:hAnsi="宋体" w:cs="宋体"/>
          <w:bCs/>
          <w:color w:val="auto"/>
          <w:sz w:val="24"/>
          <w:szCs w:val="24"/>
        </w:rPr>
        <w:t>采购文件公告：</w:t>
      </w:r>
      <w:r>
        <w:rPr>
          <w:rFonts w:hint="eastAsia" w:hAnsi="宋体" w:cs="宋体"/>
          <w:bCs/>
          <w:color w:val="auto"/>
          <w:sz w:val="24"/>
          <w:szCs w:val="24"/>
          <w:u w:val="single"/>
        </w:rPr>
        <w:t>是/否</w:t>
      </w:r>
      <w:r>
        <w:rPr>
          <w:rFonts w:hint="eastAsia" w:hAnsi="宋体" w:cs="宋体"/>
          <w:bCs/>
          <w:color w:val="auto"/>
          <w:sz w:val="24"/>
          <w:szCs w:val="24"/>
        </w:rPr>
        <w:t>公告期限：</w:t>
      </w:r>
    </w:p>
    <w:p w14:paraId="45114733">
      <w:pPr>
        <w:pStyle w:val="28"/>
        <w:spacing w:line="440" w:lineRule="exact"/>
        <w:ind w:left="25" w:leftChars="12" w:firstLine="472" w:firstLineChars="197"/>
        <w:rPr>
          <w:rFonts w:hAnsi="宋体" w:cs="宋体"/>
          <w:b/>
          <w:color w:val="auto"/>
          <w:sz w:val="24"/>
          <w:szCs w:val="24"/>
        </w:rPr>
      </w:pPr>
      <w:r>
        <w:rPr>
          <w:rFonts w:hint="eastAsia" w:hAnsi="宋体" w:cs="宋体"/>
          <w:bCs/>
          <w:color w:val="auto"/>
          <w:sz w:val="24"/>
          <w:szCs w:val="24"/>
        </w:rPr>
        <w:t>采购结果公告：</w:t>
      </w:r>
      <w:r>
        <w:rPr>
          <w:rFonts w:hint="eastAsia" w:hAnsi="宋体" w:cs="宋体"/>
          <w:bCs/>
          <w:color w:val="auto"/>
          <w:sz w:val="24"/>
          <w:szCs w:val="24"/>
          <w:u w:val="single"/>
        </w:rPr>
        <w:t>是/否</w:t>
      </w:r>
      <w:r>
        <w:rPr>
          <w:rFonts w:hint="eastAsia" w:hAnsi="宋体" w:cs="宋体"/>
          <w:bCs/>
          <w:color w:val="auto"/>
          <w:sz w:val="24"/>
          <w:szCs w:val="24"/>
        </w:rPr>
        <w:t>公告期限：</w:t>
      </w:r>
    </w:p>
    <w:p w14:paraId="1FBB405F">
      <w:pPr>
        <w:pStyle w:val="28"/>
        <w:spacing w:line="440" w:lineRule="exact"/>
        <w:ind w:left="25" w:leftChars="12" w:firstLine="472" w:firstLineChars="196"/>
        <w:rPr>
          <w:rFonts w:hAnsi="宋体" w:cs="宋体"/>
          <w:b/>
          <w:color w:val="auto"/>
          <w:sz w:val="24"/>
          <w:szCs w:val="24"/>
        </w:rPr>
      </w:pPr>
      <w:r>
        <w:rPr>
          <w:rFonts w:hint="eastAsia" w:hAnsi="宋体" w:cs="宋体"/>
          <w:b/>
          <w:color w:val="auto"/>
          <w:sz w:val="24"/>
          <w:szCs w:val="24"/>
        </w:rPr>
        <w:t>三、质疑基本情况</w:t>
      </w:r>
    </w:p>
    <w:p w14:paraId="723790AB">
      <w:pPr>
        <w:pStyle w:val="28"/>
        <w:spacing w:line="440" w:lineRule="exact"/>
        <w:ind w:firstLine="480" w:firstLineChars="200"/>
        <w:rPr>
          <w:rFonts w:hAnsi="宋体" w:cs="宋体"/>
          <w:color w:val="auto"/>
          <w:sz w:val="24"/>
          <w:szCs w:val="24"/>
        </w:rPr>
      </w:pPr>
      <w:r>
        <w:rPr>
          <w:rFonts w:hint="eastAsia" w:hAnsi="宋体" w:cs="宋体"/>
          <w:color w:val="auto"/>
          <w:sz w:val="24"/>
          <w:szCs w:val="24"/>
        </w:rPr>
        <w:t>投诉人于</w:t>
      </w:r>
      <w:r>
        <w:rPr>
          <w:rFonts w:hint="eastAsia" w:hAnsi="宋体" w:cs="宋体"/>
          <w:color w:val="auto"/>
          <w:sz w:val="24"/>
          <w:szCs w:val="24"/>
          <w:u w:val="single"/>
        </w:rPr>
        <w:t xml:space="preserve">    年  月  </w:t>
      </w:r>
      <w:r>
        <w:rPr>
          <w:rFonts w:hint="eastAsia" w:hAnsi="宋体" w:cs="宋体"/>
          <w:color w:val="auto"/>
          <w:sz w:val="24"/>
          <w:szCs w:val="24"/>
        </w:rPr>
        <w:t>日，向提出质疑，质疑事项为：</w:t>
      </w:r>
    </w:p>
    <w:p w14:paraId="54F71929">
      <w:pPr>
        <w:pStyle w:val="28"/>
        <w:spacing w:line="440" w:lineRule="exact"/>
        <w:rPr>
          <w:rFonts w:hAnsi="宋体" w:cs="宋体"/>
          <w:bCs/>
          <w:color w:val="auto"/>
          <w:sz w:val="24"/>
          <w:szCs w:val="24"/>
          <w:u w:val="single"/>
        </w:rPr>
      </w:pPr>
    </w:p>
    <w:p w14:paraId="461E5D4D">
      <w:pPr>
        <w:pStyle w:val="28"/>
        <w:spacing w:line="440" w:lineRule="exact"/>
        <w:ind w:firstLine="480" w:firstLineChars="200"/>
        <w:rPr>
          <w:rFonts w:hAnsi="宋体" w:cs="宋体"/>
          <w:color w:val="auto"/>
          <w:sz w:val="24"/>
          <w:szCs w:val="24"/>
        </w:rPr>
      </w:pPr>
      <w:r>
        <w:rPr>
          <w:rFonts w:hint="eastAsia" w:hAnsi="宋体" w:cs="宋体"/>
          <w:bCs/>
          <w:color w:val="auto"/>
          <w:sz w:val="24"/>
          <w:szCs w:val="24"/>
          <w:u w:val="single"/>
        </w:rPr>
        <w:t>采购人/代理机构</w:t>
      </w:r>
      <w:r>
        <w:rPr>
          <w:rFonts w:hint="eastAsia" w:hAnsi="宋体" w:cs="宋体"/>
          <w:bCs/>
          <w:color w:val="auto"/>
          <w:sz w:val="24"/>
          <w:szCs w:val="24"/>
        </w:rPr>
        <w:t>于</w:t>
      </w:r>
      <w:r>
        <w:rPr>
          <w:rFonts w:hint="eastAsia" w:hAnsi="宋体" w:cs="宋体"/>
          <w:color w:val="auto"/>
          <w:sz w:val="24"/>
          <w:szCs w:val="24"/>
        </w:rPr>
        <w:t xml:space="preserve">    年  月  日，</w:t>
      </w:r>
      <w:r>
        <w:rPr>
          <w:rFonts w:hint="eastAsia" w:hAnsi="宋体" w:cs="宋体"/>
          <w:bCs/>
          <w:color w:val="auto"/>
          <w:sz w:val="24"/>
          <w:szCs w:val="24"/>
        </w:rPr>
        <w:t xml:space="preserve">就质疑事项作出了答复/没有在法定期限内作出答复。                                                                                             </w:t>
      </w:r>
    </w:p>
    <w:p w14:paraId="1F4D30B0">
      <w:pPr>
        <w:pStyle w:val="28"/>
        <w:spacing w:line="440" w:lineRule="exact"/>
        <w:ind w:left="25" w:leftChars="12" w:firstLine="472" w:firstLineChars="196"/>
        <w:rPr>
          <w:rFonts w:hAnsi="宋体" w:cs="宋体"/>
          <w:b/>
          <w:color w:val="auto"/>
          <w:sz w:val="24"/>
          <w:szCs w:val="24"/>
        </w:rPr>
      </w:pPr>
      <w:r>
        <w:rPr>
          <w:rFonts w:hint="eastAsia" w:hAnsi="宋体" w:cs="宋体"/>
          <w:b/>
          <w:color w:val="auto"/>
          <w:sz w:val="24"/>
          <w:szCs w:val="24"/>
        </w:rPr>
        <w:t>四、投诉事项具体内容</w:t>
      </w:r>
    </w:p>
    <w:p w14:paraId="00025D3E">
      <w:pPr>
        <w:pStyle w:val="28"/>
        <w:spacing w:line="440" w:lineRule="exact"/>
        <w:ind w:left="25" w:leftChars="12" w:firstLine="472" w:firstLineChars="197"/>
        <w:rPr>
          <w:rFonts w:hAnsi="宋体" w:cs="宋体"/>
          <w:bCs/>
          <w:color w:val="auto"/>
          <w:sz w:val="24"/>
          <w:szCs w:val="24"/>
          <w:u w:val="single"/>
        </w:rPr>
      </w:pPr>
      <w:r>
        <w:rPr>
          <w:rFonts w:hint="eastAsia" w:hAnsi="宋体" w:cs="宋体"/>
          <w:color w:val="auto"/>
          <w:sz w:val="24"/>
          <w:szCs w:val="24"/>
        </w:rPr>
        <w:t>投诉事项1：</w:t>
      </w:r>
    </w:p>
    <w:p w14:paraId="5249EF6D">
      <w:pPr>
        <w:pStyle w:val="28"/>
        <w:spacing w:line="440" w:lineRule="exact"/>
        <w:ind w:firstLine="480" w:firstLineChars="200"/>
        <w:rPr>
          <w:rFonts w:hAnsi="宋体" w:cs="宋体"/>
          <w:color w:val="auto"/>
          <w:sz w:val="24"/>
          <w:szCs w:val="24"/>
        </w:rPr>
      </w:pPr>
      <w:r>
        <w:rPr>
          <w:rFonts w:hint="eastAsia" w:hAnsi="宋体" w:cs="宋体"/>
          <w:bCs/>
          <w:color w:val="auto"/>
          <w:sz w:val="24"/>
          <w:szCs w:val="24"/>
        </w:rPr>
        <w:t>事实依据：</w:t>
      </w:r>
    </w:p>
    <w:p w14:paraId="488D9254">
      <w:pPr>
        <w:pStyle w:val="28"/>
        <w:spacing w:line="440" w:lineRule="exact"/>
        <w:ind w:firstLine="480" w:firstLineChars="200"/>
        <w:rPr>
          <w:rFonts w:hAnsi="宋体" w:cs="宋体"/>
          <w:bCs/>
          <w:color w:val="auto"/>
          <w:sz w:val="24"/>
          <w:szCs w:val="24"/>
          <w:u w:val="single"/>
        </w:rPr>
      </w:pPr>
      <w:r>
        <w:rPr>
          <w:rFonts w:hint="eastAsia" w:hAnsi="宋体" w:cs="宋体"/>
          <w:bCs/>
          <w:color w:val="auto"/>
          <w:sz w:val="24"/>
          <w:szCs w:val="24"/>
        </w:rPr>
        <w:t>法律依据：</w:t>
      </w:r>
    </w:p>
    <w:p w14:paraId="2A4BE825">
      <w:pPr>
        <w:pStyle w:val="28"/>
        <w:spacing w:line="440" w:lineRule="exact"/>
        <w:ind w:left="25" w:leftChars="12" w:firstLine="472" w:firstLineChars="197"/>
        <w:rPr>
          <w:rFonts w:hAnsi="宋体" w:cs="宋体"/>
          <w:bCs/>
          <w:color w:val="auto"/>
          <w:sz w:val="24"/>
          <w:szCs w:val="24"/>
        </w:rPr>
      </w:pPr>
      <w:r>
        <w:rPr>
          <w:rFonts w:hint="eastAsia" w:hAnsi="宋体" w:cs="宋体"/>
          <w:color w:val="auto"/>
          <w:sz w:val="24"/>
          <w:szCs w:val="24"/>
        </w:rPr>
        <w:t xml:space="preserve">投诉事项2  </w:t>
      </w:r>
    </w:p>
    <w:p w14:paraId="33B0FDE2">
      <w:pPr>
        <w:pStyle w:val="28"/>
        <w:spacing w:line="440" w:lineRule="exact"/>
        <w:ind w:left="25" w:leftChars="12" w:firstLine="472" w:firstLineChars="197"/>
        <w:rPr>
          <w:rFonts w:hAnsi="宋体" w:cs="宋体"/>
          <w:bCs/>
          <w:color w:val="auto"/>
          <w:sz w:val="24"/>
          <w:szCs w:val="24"/>
        </w:rPr>
      </w:pPr>
      <w:r>
        <w:rPr>
          <w:rFonts w:hint="eastAsia" w:hAnsi="宋体" w:cs="宋体"/>
          <w:bCs/>
          <w:color w:val="auto"/>
          <w:sz w:val="24"/>
          <w:szCs w:val="24"/>
        </w:rPr>
        <w:t>……</w:t>
      </w:r>
    </w:p>
    <w:p w14:paraId="40A9343E">
      <w:pPr>
        <w:pStyle w:val="28"/>
        <w:spacing w:line="440" w:lineRule="exact"/>
        <w:ind w:left="25" w:leftChars="12" w:firstLine="472" w:firstLineChars="196"/>
        <w:rPr>
          <w:rFonts w:hAnsi="宋体" w:cs="宋体"/>
          <w:b/>
          <w:color w:val="auto"/>
          <w:sz w:val="24"/>
          <w:szCs w:val="24"/>
        </w:rPr>
      </w:pPr>
      <w:r>
        <w:rPr>
          <w:rFonts w:hint="eastAsia" w:hAnsi="宋体" w:cs="宋体"/>
          <w:b/>
          <w:color w:val="auto"/>
          <w:sz w:val="24"/>
          <w:szCs w:val="24"/>
        </w:rPr>
        <w:t>五、与投诉事项相关的投诉请求：</w:t>
      </w:r>
    </w:p>
    <w:p w14:paraId="0E5CAC09">
      <w:pPr>
        <w:pStyle w:val="28"/>
        <w:spacing w:line="440" w:lineRule="exact"/>
        <w:ind w:left="25" w:leftChars="12" w:firstLine="472" w:firstLineChars="197"/>
        <w:rPr>
          <w:rFonts w:hAnsi="宋体" w:cs="宋体"/>
          <w:color w:val="auto"/>
          <w:sz w:val="24"/>
          <w:szCs w:val="24"/>
        </w:rPr>
      </w:pPr>
      <w:r>
        <w:rPr>
          <w:rFonts w:hint="eastAsia" w:hAnsi="宋体" w:cs="宋体"/>
          <w:color w:val="auto"/>
          <w:sz w:val="24"/>
          <w:szCs w:val="24"/>
        </w:rPr>
        <w:t>请求：</w:t>
      </w:r>
    </w:p>
    <w:p w14:paraId="4574E8BF">
      <w:pPr>
        <w:pStyle w:val="28"/>
        <w:spacing w:line="440" w:lineRule="exact"/>
        <w:ind w:left="25" w:leftChars="12" w:firstLine="472" w:firstLineChars="197"/>
        <w:rPr>
          <w:rFonts w:hAnsi="宋体" w:cs="宋体"/>
          <w:color w:val="auto"/>
          <w:sz w:val="24"/>
          <w:szCs w:val="24"/>
        </w:rPr>
      </w:pPr>
      <w:r>
        <w:rPr>
          <w:rFonts w:hint="eastAsia" w:hAnsi="宋体" w:cs="宋体"/>
          <w:color w:val="auto"/>
          <w:sz w:val="24"/>
          <w:szCs w:val="24"/>
        </w:rPr>
        <w:t xml:space="preserve">签字（签章）：                                       </w:t>
      </w:r>
    </w:p>
    <w:p w14:paraId="269E4A04">
      <w:pPr>
        <w:pStyle w:val="28"/>
        <w:spacing w:line="440" w:lineRule="exact"/>
        <w:ind w:left="25" w:leftChars="12" w:firstLine="472" w:firstLineChars="197"/>
        <w:rPr>
          <w:rFonts w:hAnsi="宋体" w:cs="宋体"/>
          <w:color w:val="auto"/>
          <w:sz w:val="24"/>
          <w:szCs w:val="24"/>
        </w:rPr>
      </w:pPr>
      <w:r>
        <w:rPr>
          <w:rFonts w:hint="eastAsia" w:hAnsi="宋体" w:cs="宋体"/>
          <w:color w:val="auto"/>
          <w:sz w:val="24"/>
          <w:szCs w:val="24"/>
        </w:rPr>
        <w:t>公章：</w:t>
      </w:r>
    </w:p>
    <w:p w14:paraId="649C5E7F">
      <w:pPr>
        <w:pStyle w:val="28"/>
        <w:spacing w:line="440" w:lineRule="exact"/>
        <w:ind w:left="25" w:leftChars="12" w:firstLine="472" w:firstLineChars="197"/>
        <w:rPr>
          <w:rFonts w:hAnsi="宋体" w:cs="宋体"/>
          <w:color w:val="auto"/>
          <w:sz w:val="24"/>
          <w:szCs w:val="24"/>
        </w:rPr>
      </w:pPr>
      <w:r>
        <w:rPr>
          <w:rFonts w:hint="eastAsia" w:hAnsi="宋体" w:cs="宋体"/>
          <w:color w:val="auto"/>
          <w:sz w:val="24"/>
          <w:szCs w:val="24"/>
        </w:rPr>
        <w:t>日期：</w:t>
      </w:r>
    </w:p>
    <w:p w14:paraId="2515323A">
      <w:pPr>
        <w:pStyle w:val="28"/>
        <w:spacing w:line="440" w:lineRule="exact"/>
        <w:ind w:left="25" w:leftChars="12" w:firstLine="475" w:firstLineChars="197"/>
        <w:rPr>
          <w:rFonts w:hAnsi="宋体" w:cs="宋体"/>
          <w:b/>
          <w:color w:val="auto"/>
          <w:sz w:val="24"/>
          <w:szCs w:val="24"/>
        </w:rPr>
      </w:pPr>
    </w:p>
    <w:p w14:paraId="56651245">
      <w:pPr>
        <w:pStyle w:val="28"/>
        <w:snapToGrid w:val="0"/>
        <w:spacing w:line="440" w:lineRule="exact"/>
        <w:rPr>
          <w:rFonts w:hAnsi="宋体" w:cs="宋体"/>
          <w:b/>
          <w:color w:val="auto"/>
          <w:sz w:val="24"/>
          <w:szCs w:val="24"/>
        </w:rPr>
      </w:pPr>
      <w:r>
        <w:rPr>
          <w:rFonts w:hint="eastAsia" w:hAnsi="宋体" w:cs="宋体"/>
          <w:b/>
          <w:color w:val="auto"/>
          <w:sz w:val="24"/>
          <w:szCs w:val="24"/>
        </w:rPr>
        <w:t>说明：</w:t>
      </w:r>
    </w:p>
    <w:p w14:paraId="77B24493">
      <w:pPr>
        <w:pStyle w:val="28"/>
        <w:spacing w:line="440" w:lineRule="exact"/>
        <w:ind w:left="25" w:leftChars="12" w:firstLine="354" w:firstLineChars="147"/>
        <w:rPr>
          <w:rFonts w:hAnsi="宋体" w:cs="宋体"/>
          <w:b/>
          <w:bCs/>
          <w:color w:val="auto"/>
          <w:sz w:val="24"/>
          <w:szCs w:val="24"/>
        </w:rPr>
      </w:pPr>
      <w:r>
        <w:rPr>
          <w:rFonts w:hint="eastAsia" w:hAnsi="宋体" w:cs="宋体"/>
          <w:b/>
          <w:color w:val="auto"/>
          <w:sz w:val="24"/>
          <w:szCs w:val="24"/>
        </w:rPr>
        <w:t>1.投诉人提起投诉时，应当提交投诉书和必要的证明材料，并按照被投诉人和与投诉事项有关的供应商数量提供投诉书副本</w:t>
      </w:r>
      <w:r>
        <w:rPr>
          <w:rFonts w:hint="eastAsia" w:hAnsi="宋体" w:cs="宋体"/>
          <w:b/>
          <w:bCs/>
          <w:color w:val="auto"/>
          <w:sz w:val="24"/>
          <w:szCs w:val="24"/>
        </w:rPr>
        <w:t>。</w:t>
      </w:r>
    </w:p>
    <w:p w14:paraId="6DBE62E6">
      <w:pPr>
        <w:pStyle w:val="28"/>
        <w:spacing w:line="440" w:lineRule="exact"/>
        <w:ind w:left="25" w:leftChars="12" w:firstLine="354" w:firstLineChars="147"/>
        <w:rPr>
          <w:rFonts w:hAnsi="宋体" w:cs="宋体"/>
          <w:b/>
          <w:color w:val="auto"/>
          <w:sz w:val="24"/>
          <w:szCs w:val="24"/>
        </w:rPr>
      </w:pPr>
      <w:r>
        <w:rPr>
          <w:rFonts w:hint="eastAsia" w:hAnsi="宋体" w:cs="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3299805">
      <w:pPr>
        <w:pStyle w:val="28"/>
        <w:spacing w:line="440" w:lineRule="exact"/>
        <w:ind w:left="25" w:leftChars="12" w:firstLine="354" w:firstLineChars="147"/>
        <w:rPr>
          <w:rFonts w:hAnsi="宋体" w:cs="宋体"/>
          <w:b/>
          <w:color w:val="auto"/>
          <w:sz w:val="24"/>
          <w:szCs w:val="24"/>
        </w:rPr>
      </w:pPr>
      <w:r>
        <w:rPr>
          <w:rFonts w:hint="eastAsia" w:hAnsi="宋体" w:cs="宋体"/>
          <w:b/>
          <w:color w:val="auto"/>
          <w:sz w:val="24"/>
          <w:szCs w:val="24"/>
        </w:rPr>
        <w:t>3.投诉书应简要列明质疑事项，质疑函、质疑答复等作为附件材料提供。</w:t>
      </w:r>
    </w:p>
    <w:p w14:paraId="4C0CFEB7">
      <w:pPr>
        <w:pStyle w:val="28"/>
        <w:spacing w:line="440" w:lineRule="exact"/>
        <w:ind w:left="25" w:leftChars="12" w:firstLine="354" w:firstLineChars="147"/>
        <w:rPr>
          <w:rFonts w:hAnsi="宋体" w:cs="宋体"/>
          <w:b/>
          <w:color w:val="auto"/>
          <w:sz w:val="24"/>
          <w:szCs w:val="24"/>
        </w:rPr>
      </w:pPr>
      <w:r>
        <w:rPr>
          <w:rFonts w:hint="eastAsia" w:hAnsi="宋体" w:cs="宋体"/>
          <w:b/>
          <w:color w:val="auto"/>
          <w:sz w:val="24"/>
          <w:szCs w:val="24"/>
        </w:rPr>
        <w:t>4.投诉书的投诉事项应具体、明确，并有必要的事实依据和法律依据。</w:t>
      </w:r>
    </w:p>
    <w:p w14:paraId="797107DE">
      <w:pPr>
        <w:pStyle w:val="28"/>
        <w:spacing w:line="440" w:lineRule="exact"/>
        <w:ind w:left="25" w:leftChars="12" w:firstLine="354" w:firstLineChars="147"/>
        <w:rPr>
          <w:rFonts w:hAnsi="宋体" w:cs="宋体"/>
          <w:b/>
          <w:color w:val="auto"/>
          <w:sz w:val="24"/>
          <w:szCs w:val="24"/>
        </w:rPr>
      </w:pPr>
      <w:r>
        <w:rPr>
          <w:rFonts w:hint="eastAsia" w:hAnsi="宋体" w:cs="宋体"/>
          <w:b/>
          <w:color w:val="auto"/>
          <w:sz w:val="24"/>
          <w:szCs w:val="24"/>
        </w:rPr>
        <w:t>5.投诉书的投诉请求应与投诉事项相关。</w:t>
      </w:r>
    </w:p>
    <w:p w14:paraId="02921510">
      <w:pPr>
        <w:pStyle w:val="28"/>
        <w:spacing w:line="440" w:lineRule="exact"/>
        <w:ind w:left="25" w:leftChars="12" w:firstLine="354" w:firstLineChars="147"/>
        <w:rPr>
          <w:rFonts w:hAnsi="宋体" w:cs="宋体"/>
          <w:color w:val="auto"/>
        </w:rPr>
      </w:pPr>
      <w:r>
        <w:rPr>
          <w:rFonts w:hint="eastAsia" w:hAnsi="宋体" w:cs="宋体"/>
          <w:b/>
          <w:color w:val="auto"/>
          <w:sz w:val="24"/>
          <w:szCs w:val="24"/>
        </w:rPr>
        <w:t>6.投诉人为法人或者其他组织的，投诉书应由法定代表人、主要负责人，或者其授权代表签字或者盖章，并加盖公章。</w:t>
      </w:r>
    </w:p>
    <w:p w14:paraId="438E753E">
      <w:pPr>
        <w:spacing w:line="440" w:lineRule="exact"/>
        <w:rPr>
          <w:rFonts w:ascii="宋体" w:hAnsi="宋体" w:cs="宋体"/>
          <w:color w:val="auto"/>
        </w:rPr>
      </w:pPr>
      <w:r>
        <w:rPr>
          <w:rFonts w:hint="eastAsia" w:ascii="宋体" w:hAnsi="宋体" w:cs="宋体"/>
          <w:color w:val="auto"/>
        </w:rPr>
        <w:br w:type="page"/>
      </w:r>
    </w:p>
    <w:p w14:paraId="5F74B8B5">
      <w:pPr>
        <w:pStyle w:val="2"/>
        <w:spacing w:line="440" w:lineRule="exact"/>
        <w:jc w:val="center"/>
        <w:rPr>
          <w:rFonts w:ascii="宋体" w:hAnsi="宋体" w:cs="宋体"/>
          <w:color w:val="auto"/>
          <w:sz w:val="32"/>
          <w:szCs w:val="32"/>
        </w:rPr>
      </w:pPr>
      <w:bookmarkStart w:id="110" w:name="_Toc12453"/>
      <w:r>
        <w:rPr>
          <w:rFonts w:hint="eastAsia" w:ascii="宋体" w:hAnsi="宋体" w:cs="宋体"/>
          <w:color w:val="auto"/>
          <w:sz w:val="32"/>
          <w:szCs w:val="32"/>
        </w:rPr>
        <w:t>第七章</w:t>
      </w:r>
      <w:r>
        <w:rPr>
          <w:rFonts w:hint="eastAsia" w:ascii="宋体" w:hAnsi="宋体" w:cs="宋体"/>
          <w:color w:val="auto"/>
          <w:sz w:val="32"/>
          <w:szCs w:val="32"/>
          <w:lang w:val="en-US" w:eastAsia="zh-CN"/>
        </w:rPr>
        <w:t xml:space="preserve"> </w:t>
      </w:r>
      <w:r>
        <w:rPr>
          <w:rFonts w:hint="eastAsia" w:ascii="宋体" w:hAnsi="宋体" w:cs="宋体"/>
          <w:color w:val="auto"/>
          <w:sz w:val="32"/>
          <w:szCs w:val="32"/>
        </w:rPr>
        <w:t>合同条款及格式</w:t>
      </w:r>
      <w:bookmarkEnd w:id="110"/>
    </w:p>
    <w:p w14:paraId="04603A97">
      <w:pPr>
        <w:pStyle w:val="4"/>
        <w:jc w:val="center"/>
        <w:rPr>
          <w:rFonts w:ascii="宋体" w:hAnsi="宋体" w:cs="宋体"/>
          <w:color w:val="auto"/>
          <w:spacing w:val="2"/>
          <w:sz w:val="24"/>
          <w:szCs w:val="24"/>
        </w:rPr>
      </w:pPr>
      <w:r>
        <w:rPr>
          <w:rFonts w:hint="eastAsia"/>
          <w:color w:val="auto"/>
        </w:rPr>
        <w:t>第一节  合同协议书</w:t>
      </w:r>
    </w:p>
    <w:p w14:paraId="3154DA6F">
      <w:pPr>
        <w:spacing w:before="78" w:line="308" w:lineRule="auto"/>
        <w:ind w:right="92" w:firstLine="483"/>
        <w:rPr>
          <w:rFonts w:ascii="宋体" w:hAnsi="宋体" w:cs="宋体"/>
          <w:color w:val="auto"/>
          <w:sz w:val="24"/>
        </w:rPr>
      </w:pPr>
      <w:r>
        <w:rPr>
          <w:rFonts w:ascii="宋体" w:hAnsi="宋体" w:cs="宋体"/>
          <w:color w:val="auto"/>
          <w:spacing w:val="2"/>
          <w:sz w:val="24"/>
        </w:rPr>
        <w:t>为实施</w:t>
      </w:r>
      <w:r>
        <w:rPr>
          <w:rFonts w:hint="eastAsia" w:ascii="宋体" w:hAnsi="宋体" w:cs="宋体"/>
          <w:color w:val="auto"/>
          <w:spacing w:val="2"/>
          <w:sz w:val="24"/>
          <w:u w:val="single"/>
        </w:rPr>
        <w:t>广西壮族自治区钦州钦北公路养护中心2026年普通国省干线公路安全设施精细化提升工程（G210满都拉至防城港K3543+900～K3552+678段）</w:t>
      </w:r>
      <w:r>
        <w:rPr>
          <w:rFonts w:ascii="宋体" w:hAnsi="宋体" w:cs="宋体"/>
          <w:color w:val="auto"/>
          <w:spacing w:val="-44"/>
          <w:sz w:val="24"/>
        </w:rPr>
        <w:t>，</w:t>
      </w:r>
      <w:r>
        <w:rPr>
          <w:rFonts w:ascii="宋体" w:hAnsi="宋体" w:cs="宋体"/>
          <w:color w:val="auto"/>
          <w:spacing w:val="2"/>
          <w:sz w:val="24"/>
        </w:rPr>
        <w:t>发包人</w:t>
      </w:r>
      <w:r>
        <w:rPr>
          <w:rFonts w:hint="eastAsia" w:ascii="宋体" w:hAnsi="宋体" w:cs="宋体"/>
          <w:color w:val="auto"/>
          <w:spacing w:val="3"/>
          <w:sz w:val="24"/>
          <w:u w:val="single"/>
        </w:rPr>
        <w:t>广西壮族自治区钦州钦北公路养护中心</w:t>
      </w:r>
      <w:r>
        <w:rPr>
          <w:rFonts w:ascii="宋体" w:hAnsi="宋体" w:cs="宋体"/>
          <w:color w:val="auto"/>
          <w:spacing w:val="2"/>
          <w:sz w:val="24"/>
        </w:rPr>
        <w:t>（发包人名</w:t>
      </w:r>
      <w:r>
        <w:rPr>
          <w:rFonts w:ascii="宋体" w:hAnsi="宋体" w:cs="宋体"/>
          <w:color w:val="auto"/>
          <w:spacing w:val="-4"/>
          <w:sz w:val="24"/>
        </w:rPr>
        <w:t>称，以下简称“发包人”）与（承包</w:t>
      </w:r>
      <w:r>
        <w:rPr>
          <w:rFonts w:ascii="宋体" w:hAnsi="宋体" w:cs="宋体"/>
          <w:color w:val="auto"/>
          <w:spacing w:val="-5"/>
          <w:sz w:val="24"/>
        </w:rPr>
        <w:t>人名称，以下简称“承包人”）共同达成</w:t>
      </w:r>
      <w:r>
        <w:rPr>
          <w:rFonts w:ascii="宋体" w:hAnsi="宋体" w:cs="宋体"/>
          <w:color w:val="auto"/>
          <w:spacing w:val="-2"/>
          <w:sz w:val="24"/>
        </w:rPr>
        <w:t>如下协议。</w:t>
      </w:r>
    </w:p>
    <w:p w14:paraId="316BD5C4">
      <w:pPr>
        <w:spacing w:line="219" w:lineRule="auto"/>
        <w:ind w:left="499"/>
        <w:rPr>
          <w:rFonts w:ascii="宋体" w:hAnsi="宋体" w:cs="宋体"/>
          <w:color w:val="auto"/>
          <w:sz w:val="24"/>
        </w:rPr>
      </w:pPr>
      <w:r>
        <w:rPr>
          <w:rFonts w:eastAsia="Times New Roman"/>
          <w:color w:val="auto"/>
          <w:spacing w:val="-3"/>
          <w:sz w:val="24"/>
        </w:rPr>
        <w:t xml:space="preserve">1.  </w:t>
      </w:r>
      <w:r>
        <w:rPr>
          <w:rFonts w:ascii="宋体" w:hAnsi="宋体" w:cs="宋体"/>
          <w:color w:val="auto"/>
          <w:spacing w:val="-3"/>
          <w:sz w:val="24"/>
        </w:rPr>
        <w:t>项目概况与承包范围</w:t>
      </w:r>
    </w:p>
    <w:p w14:paraId="6D22AA21">
      <w:pPr>
        <w:spacing w:before="116" w:line="219" w:lineRule="auto"/>
        <w:ind w:left="492"/>
        <w:rPr>
          <w:rFonts w:ascii="宋体" w:hAnsi="宋体" w:cs="宋体"/>
          <w:color w:val="auto"/>
          <w:sz w:val="24"/>
        </w:rPr>
      </w:pPr>
      <w:r>
        <w:rPr>
          <w:rFonts w:ascii="宋体" w:hAnsi="宋体" w:cs="宋体"/>
          <w:color w:val="auto"/>
          <w:spacing w:val="-3"/>
          <w:sz w:val="24"/>
        </w:rPr>
        <w:t>（</w:t>
      </w:r>
      <w:r>
        <w:rPr>
          <w:rFonts w:eastAsia="Times New Roman"/>
          <w:color w:val="auto"/>
          <w:spacing w:val="-3"/>
          <w:sz w:val="24"/>
        </w:rPr>
        <w:t>1</w:t>
      </w:r>
      <w:r>
        <w:rPr>
          <w:rFonts w:ascii="宋体" w:hAnsi="宋体" w:cs="宋体"/>
          <w:color w:val="auto"/>
          <w:spacing w:val="-3"/>
          <w:sz w:val="24"/>
        </w:rPr>
        <w:t>）项目概况</w:t>
      </w:r>
    </w:p>
    <w:p w14:paraId="2DFF768B">
      <w:pPr>
        <w:spacing w:before="113" w:line="308" w:lineRule="auto"/>
        <w:ind w:firstLine="480"/>
        <w:rPr>
          <w:rFonts w:ascii="宋体" w:hAnsi="宋体" w:cs="宋体"/>
          <w:color w:val="auto"/>
          <w:sz w:val="24"/>
        </w:rPr>
      </w:pPr>
      <w:r>
        <w:rPr>
          <w:rFonts w:ascii="宋体" w:hAnsi="宋体" w:cs="宋体"/>
          <w:color w:val="auto"/>
          <w:spacing w:val="-2"/>
          <w:sz w:val="24"/>
        </w:rPr>
        <w:t>第标段由</w:t>
      </w:r>
      <w:r>
        <w:rPr>
          <w:rFonts w:eastAsia="Times New Roman"/>
          <w:color w:val="auto"/>
          <w:spacing w:val="-2"/>
          <w:sz w:val="24"/>
        </w:rPr>
        <w:t>K</w:t>
      </w:r>
      <w:r>
        <w:rPr>
          <w:rFonts w:ascii="宋体" w:hAnsi="宋体" w:cs="宋体"/>
          <w:color w:val="auto"/>
          <w:spacing w:val="-2"/>
          <w:sz w:val="24"/>
        </w:rPr>
        <w:t>＋至</w:t>
      </w:r>
      <w:r>
        <w:rPr>
          <w:rFonts w:eastAsia="Times New Roman"/>
          <w:color w:val="auto"/>
          <w:spacing w:val="-2"/>
          <w:sz w:val="24"/>
        </w:rPr>
        <w:t>K</w:t>
      </w:r>
      <w:r>
        <w:rPr>
          <w:rFonts w:ascii="宋体" w:hAnsi="宋体" w:cs="宋体"/>
          <w:color w:val="auto"/>
          <w:spacing w:val="-22"/>
          <w:sz w:val="24"/>
        </w:rPr>
        <w:t>＋，</w:t>
      </w:r>
      <w:r>
        <w:rPr>
          <w:rFonts w:ascii="宋体" w:hAnsi="宋体" w:cs="宋体"/>
          <w:color w:val="auto"/>
          <w:spacing w:val="-3"/>
          <w:sz w:val="24"/>
        </w:rPr>
        <w:t>长约</w:t>
      </w:r>
      <w:r>
        <w:rPr>
          <w:rFonts w:eastAsia="Times New Roman"/>
          <w:color w:val="auto"/>
          <w:spacing w:val="-3"/>
          <w:sz w:val="24"/>
        </w:rPr>
        <w:t>km</w:t>
      </w:r>
      <w:r>
        <w:rPr>
          <w:rFonts w:ascii="宋体" w:hAnsi="宋体" w:cs="宋体"/>
          <w:color w:val="auto"/>
          <w:spacing w:val="-3"/>
          <w:sz w:val="24"/>
        </w:rPr>
        <w:t>，公路等级为，设计速</w:t>
      </w:r>
      <w:r>
        <w:rPr>
          <w:rFonts w:ascii="宋体" w:hAnsi="宋体" w:cs="宋体"/>
          <w:color w:val="auto"/>
          <w:spacing w:val="-4"/>
          <w:sz w:val="24"/>
        </w:rPr>
        <w:t>度为，路面，有立交处；特大桥座，计长</w:t>
      </w:r>
      <w:r>
        <w:rPr>
          <w:rFonts w:eastAsia="Times New Roman"/>
          <w:color w:val="auto"/>
          <w:spacing w:val="-4"/>
          <w:sz w:val="24"/>
        </w:rPr>
        <w:t>m</w:t>
      </w:r>
      <w:r>
        <w:rPr>
          <w:rFonts w:ascii="宋体" w:hAnsi="宋体" w:cs="宋体"/>
          <w:color w:val="auto"/>
          <w:spacing w:val="-4"/>
          <w:sz w:val="24"/>
        </w:rPr>
        <w:t>；大</w:t>
      </w:r>
      <w:r>
        <w:rPr>
          <w:rFonts w:ascii="宋体" w:hAnsi="宋体" w:cs="宋体"/>
          <w:color w:val="auto"/>
          <w:spacing w:val="-5"/>
          <w:sz w:val="24"/>
        </w:rPr>
        <w:t>中小桥座，</w:t>
      </w:r>
      <w:r>
        <w:rPr>
          <w:rFonts w:ascii="宋体" w:hAnsi="宋体" w:cs="宋体"/>
          <w:color w:val="auto"/>
          <w:spacing w:val="4"/>
          <w:sz w:val="24"/>
        </w:rPr>
        <w:t>计长</w:t>
      </w:r>
      <w:r>
        <w:rPr>
          <w:rFonts w:eastAsia="Times New Roman"/>
          <w:color w:val="auto"/>
          <w:spacing w:val="4"/>
          <w:sz w:val="24"/>
        </w:rPr>
        <w:t>m</w:t>
      </w:r>
      <w:r>
        <w:rPr>
          <w:rFonts w:ascii="宋体" w:hAnsi="宋体" w:cs="宋体"/>
          <w:color w:val="auto"/>
          <w:spacing w:val="4"/>
          <w:sz w:val="24"/>
        </w:rPr>
        <w:t>；隧道座，计长</w:t>
      </w:r>
      <w:r>
        <w:rPr>
          <w:rFonts w:eastAsia="Times New Roman"/>
          <w:color w:val="auto"/>
          <w:spacing w:val="4"/>
          <w:sz w:val="24"/>
        </w:rPr>
        <w:t>m</w:t>
      </w:r>
      <w:r>
        <w:rPr>
          <w:rFonts w:ascii="宋体" w:hAnsi="宋体" w:cs="宋体"/>
          <w:color w:val="auto"/>
          <w:spacing w:val="4"/>
          <w:sz w:val="24"/>
        </w:rPr>
        <w:t>；涵洞座，计长</w:t>
      </w:r>
      <w:r>
        <w:rPr>
          <w:rFonts w:eastAsia="Times New Roman"/>
          <w:color w:val="auto"/>
          <w:spacing w:val="4"/>
          <w:sz w:val="24"/>
        </w:rPr>
        <w:t>m</w:t>
      </w:r>
      <w:r>
        <w:rPr>
          <w:rFonts w:ascii="宋体" w:hAnsi="宋体" w:cs="宋体"/>
          <w:color w:val="auto"/>
          <w:spacing w:val="4"/>
          <w:sz w:val="24"/>
        </w:rPr>
        <w:t>；地质灾害治理点</w:t>
      </w:r>
      <w:r>
        <w:rPr>
          <w:rFonts w:ascii="宋体" w:hAnsi="宋体" w:cs="宋体"/>
          <w:color w:val="auto"/>
          <w:spacing w:val="-3"/>
          <w:sz w:val="24"/>
        </w:rPr>
        <w:t>处，计长</w:t>
      </w:r>
      <w:r>
        <w:rPr>
          <w:rFonts w:eastAsia="Times New Roman"/>
          <w:color w:val="auto"/>
          <w:spacing w:val="-3"/>
          <w:sz w:val="24"/>
        </w:rPr>
        <w:t>m</w:t>
      </w:r>
      <w:r>
        <w:rPr>
          <w:rFonts w:ascii="宋体" w:hAnsi="宋体" w:cs="宋体"/>
          <w:color w:val="auto"/>
          <w:spacing w:val="-3"/>
          <w:sz w:val="24"/>
        </w:rPr>
        <w:t>；处治隐患里程</w:t>
      </w:r>
      <w:r>
        <w:rPr>
          <w:rFonts w:eastAsia="Times New Roman"/>
          <w:color w:val="auto"/>
          <w:spacing w:val="-3"/>
          <w:sz w:val="24"/>
        </w:rPr>
        <w:t>m</w:t>
      </w:r>
      <w:r>
        <w:rPr>
          <w:rFonts w:ascii="宋体" w:hAnsi="宋体" w:cs="宋体"/>
          <w:color w:val="auto"/>
          <w:spacing w:val="-3"/>
          <w:sz w:val="24"/>
        </w:rPr>
        <w:t>以及其他构造物工程等。</w:t>
      </w:r>
    </w:p>
    <w:p w14:paraId="395D9107">
      <w:pPr>
        <w:spacing w:before="78" w:line="308" w:lineRule="auto"/>
        <w:ind w:right="92" w:firstLine="483"/>
        <w:rPr>
          <w:rFonts w:ascii="宋体" w:hAnsi="宋体" w:cs="宋体"/>
          <w:color w:val="auto"/>
          <w:spacing w:val="2"/>
          <w:sz w:val="24"/>
        </w:rPr>
      </w:pPr>
      <w:r>
        <w:rPr>
          <w:rFonts w:ascii="宋体" w:hAnsi="宋体" w:cs="宋体"/>
          <w:color w:val="auto"/>
          <w:spacing w:val="2"/>
          <w:sz w:val="24"/>
        </w:rPr>
        <w:t>（2）养护承包范围：</w:t>
      </w:r>
      <w:r>
        <w:rPr>
          <w:rFonts w:hint="eastAsia" w:ascii="宋体" w:hAnsi="宋体" w:cs="宋体"/>
          <w:color w:val="auto"/>
          <w:spacing w:val="2"/>
          <w:sz w:val="24"/>
          <w:u w:val="single"/>
        </w:rPr>
        <w:t>本项目起点K3543+900位于钦州市钦北区大直镇G210与桃源路十字路口附近终点K3552+678 位于那他村至山松村之间，道路总长8.778Km ，道路路面为沥青混凝土路面。G210 满都拉至防城港3543+900~K3552+678 段，主要内容包括平交路口提升、完善平面交叉路口，弯道改善以及沿线交安设施。具体以图纸和工程量清单为准</w:t>
      </w:r>
      <w:r>
        <w:rPr>
          <w:rFonts w:ascii="宋体" w:hAnsi="宋体" w:cs="宋体"/>
          <w:color w:val="auto"/>
          <w:spacing w:val="2"/>
          <w:sz w:val="24"/>
        </w:rPr>
        <w:t>。</w:t>
      </w:r>
    </w:p>
    <w:p w14:paraId="67C6FE40">
      <w:pPr>
        <w:spacing w:before="116" w:line="219" w:lineRule="auto"/>
        <w:ind w:left="476"/>
        <w:rPr>
          <w:rFonts w:ascii="宋体" w:hAnsi="宋体" w:cs="宋体"/>
          <w:color w:val="auto"/>
          <w:sz w:val="24"/>
        </w:rPr>
      </w:pPr>
      <w:r>
        <w:rPr>
          <w:rFonts w:eastAsia="Times New Roman"/>
          <w:color w:val="auto"/>
          <w:spacing w:val="-1"/>
          <w:sz w:val="24"/>
        </w:rPr>
        <w:t xml:space="preserve">2.  </w:t>
      </w:r>
      <w:r>
        <w:rPr>
          <w:rFonts w:ascii="宋体" w:hAnsi="宋体" w:cs="宋体"/>
          <w:color w:val="auto"/>
          <w:spacing w:val="-1"/>
          <w:sz w:val="24"/>
        </w:rPr>
        <w:t>下列文件应视为构成合同文件的组成部分：</w:t>
      </w:r>
    </w:p>
    <w:p w14:paraId="23C236BB">
      <w:pPr>
        <w:spacing w:before="114" w:line="264" w:lineRule="auto"/>
        <w:ind w:right="90" w:firstLine="491"/>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1</w:t>
      </w:r>
      <w:r>
        <w:rPr>
          <w:rFonts w:ascii="宋体" w:hAnsi="宋体" w:cs="宋体"/>
          <w:color w:val="auto"/>
          <w:spacing w:val="4"/>
          <w:sz w:val="24"/>
        </w:rPr>
        <w:t>）本协议书及各种合同附件（含评标期间和合同谈判过程中的澄清文</w:t>
      </w:r>
      <w:r>
        <w:rPr>
          <w:rFonts w:ascii="宋体" w:hAnsi="宋体" w:cs="宋体"/>
          <w:color w:val="auto"/>
          <w:spacing w:val="3"/>
          <w:sz w:val="24"/>
        </w:rPr>
        <w:t>件和</w:t>
      </w:r>
      <w:r>
        <w:rPr>
          <w:rFonts w:ascii="宋体" w:hAnsi="宋体" w:cs="宋体"/>
          <w:color w:val="auto"/>
          <w:spacing w:val="-3"/>
          <w:sz w:val="24"/>
        </w:rPr>
        <w:t>补充资料</w:t>
      </w:r>
      <w:r>
        <w:rPr>
          <w:rFonts w:ascii="宋体" w:hAnsi="宋体" w:cs="宋体"/>
          <w:color w:val="auto"/>
          <w:spacing w:val="-62"/>
          <w:w w:val="97"/>
          <w:sz w:val="24"/>
        </w:rPr>
        <w:t>）；</w:t>
      </w:r>
    </w:p>
    <w:p w14:paraId="3EA4A7BD">
      <w:pPr>
        <w:spacing w:before="114" w:line="219" w:lineRule="auto"/>
        <w:ind w:left="492"/>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2</w:t>
      </w:r>
      <w:r>
        <w:rPr>
          <w:rFonts w:ascii="宋体" w:hAnsi="宋体" w:cs="宋体"/>
          <w:color w:val="auto"/>
          <w:spacing w:val="-2"/>
          <w:sz w:val="24"/>
        </w:rPr>
        <w:t>）中标通知书（如有</w:t>
      </w:r>
      <w:r>
        <w:rPr>
          <w:rFonts w:ascii="宋体" w:hAnsi="宋体" w:cs="宋体"/>
          <w:color w:val="auto"/>
          <w:spacing w:val="-62"/>
          <w:w w:val="97"/>
          <w:sz w:val="24"/>
        </w:rPr>
        <w:t>）；</w:t>
      </w:r>
    </w:p>
    <w:p w14:paraId="505B39DF">
      <w:pPr>
        <w:spacing w:before="114" w:line="219" w:lineRule="auto"/>
        <w:ind w:left="492"/>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3</w:t>
      </w:r>
      <w:r>
        <w:rPr>
          <w:rFonts w:ascii="宋体" w:hAnsi="宋体" w:cs="宋体"/>
          <w:color w:val="auto"/>
          <w:spacing w:val="-2"/>
          <w:sz w:val="24"/>
        </w:rPr>
        <w:t>）投标函及投标函附录（如有</w:t>
      </w:r>
      <w:r>
        <w:rPr>
          <w:rFonts w:ascii="宋体" w:hAnsi="宋体" w:cs="宋体"/>
          <w:color w:val="auto"/>
          <w:spacing w:val="-64"/>
          <w:sz w:val="24"/>
        </w:rPr>
        <w:t>）；</w:t>
      </w:r>
    </w:p>
    <w:p w14:paraId="7F418F91">
      <w:pPr>
        <w:spacing w:before="117" w:line="219" w:lineRule="auto"/>
        <w:ind w:left="492"/>
        <w:rPr>
          <w:rFonts w:ascii="宋体" w:hAnsi="宋体" w:cs="宋体"/>
          <w:color w:val="auto"/>
          <w:sz w:val="24"/>
        </w:rPr>
      </w:pPr>
      <w:r>
        <w:rPr>
          <w:rFonts w:ascii="宋体" w:hAnsi="宋体" w:cs="宋体"/>
          <w:color w:val="auto"/>
          <w:spacing w:val="-3"/>
          <w:sz w:val="24"/>
        </w:rPr>
        <w:t>（</w:t>
      </w:r>
      <w:r>
        <w:rPr>
          <w:rFonts w:eastAsia="Times New Roman"/>
          <w:color w:val="auto"/>
          <w:spacing w:val="-3"/>
          <w:sz w:val="24"/>
        </w:rPr>
        <w:t>4</w:t>
      </w:r>
      <w:r>
        <w:rPr>
          <w:rFonts w:ascii="宋体" w:hAnsi="宋体" w:cs="宋体"/>
          <w:color w:val="auto"/>
          <w:spacing w:val="-3"/>
          <w:sz w:val="24"/>
        </w:rPr>
        <w:t>）专用合同条款；</w:t>
      </w:r>
    </w:p>
    <w:p w14:paraId="2226B5A0">
      <w:pPr>
        <w:spacing w:before="116" w:line="219" w:lineRule="auto"/>
        <w:ind w:left="492"/>
        <w:rPr>
          <w:rFonts w:ascii="宋体" w:hAnsi="宋体" w:cs="宋体"/>
          <w:color w:val="auto"/>
          <w:sz w:val="24"/>
        </w:rPr>
      </w:pPr>
      <w:r>
        <w:rPr>
          <w:rFonts w:ascii="宋体" w:hAnsi="宋体" w:cs="宋体"/>
          <w:color w:val="auto"/>
          <w:spacing w:val="-3"/>
          <w:sz w:val="24"/>
        </w:rPr>
        <w:t>（</w:t>
      </w:r>
      <w:r>
        <w:rPr>
          <w:rFonts w:eastAsia="Times New Roman"/>
          <w:color w:val="auto"/>
          <w:spacing w:val="-3"/>
          <w:sz w:val="24"/>
        </w:rPr>
        <w:t>5</w:t>
      </w:r>
      <w:r>
        <w:rPr>
          <w:rFonts w:ascii="宋体" w:hAnsi="宋体" w:cs="宋体"/>
          <w:color w:val="auto"/>
          <w:spacing w:val="-3"/>
          <w:sz w:val="24"/>
        </w:rPr>
        <w:t>）通用合同条款；</w:t>
      </w:r>
    </w:p>
    <w:p w14:paraId="06CFDC01">
      <w:pPr>
        <w:spacing w:before="114" w:line="219" w:lineRule="auto"/>
        <w:ind w:left="492"/>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6</w:t>
      </w:r>
      <w:r>
        <w:rPr>
          <w:rFonts w:ascii="宋体" w:hAnsi="宋体" w:cs="宋体"/>
          <w:color w:val="auto"/>
          <w:spacing w:val="-1"/>
          <w:sz w:val="24"/>
        </w:rPr>
        <w:t>）工程量清单计量规则（或养护绩效管理规则</w:t>
      </w:r>
      <w:r>
        <w:rPr>
          <w:rFonts w:ascii="宋体" w:hAnsi="宋体" w:cs="宋体"/>
          <w:color w:val="auto"/>
          <w:spacing w:val="-62"/>
          <w:w w:val="97"/>
          <w:sz w:val="24"/>
        </w:rPr>
        <w:t>）；</w:t>
      </w:r>
    </w:p>
    <w:p w14:paraId="4E2B7E70">
      <w:pPr>
        <w:spacing w:before="116" w:line="219" w:lineRule="auto"/>
        <w:ind w:left="492"/>
        <w:rPr>
          <w:rFonts w:ascii="宋体" w:hAnsi="宋体" w:cs="宋体"/>
          <w:color w:val="auto"/>
          <w:sz w:val="24"/>
        </w:rPr>
      </w:pPr>
      <w:r>
        <w:rPr>
          <w:rFonts w:ascii="宋体" w:hAnsi="宋体" w:cs="宋体"/>
          <w:color w:val="auto"/>
          <w:spacing w:val="-3"/>
          <w:sz w:val="24"/>
        </w:rPr>
        <w:t>（</w:t>
      </w:r>
      <w:r>
        <w:rPr>
          <w:rFonts w:eastAsia="Times New Roman"/>
          <w:color w:val="auto"/>
          <w:spacing w:val="-3"/>
          <w:sz w:val="24"/>
        </w:rPr>
        <w:t>7</w:t>
      </w:r>
      <w:r>
        <w:rPr>
          <w:rFonts w:ascii="宋体" w:hAnsi="宋体" w:cs="宋体"/>
          <w:color w:val="auto"/>
          <w:spacing w:val="-3"/>
          <w:sz w:val="24"/>
        </w:rPr>
        <w:t>）技术规范；</w:t>
      </w:r>
    </w:p>
    <w:p w14:paraId="1DDECED0">
      <w:pPr>
        <w:spacing w:before="115" w:line="221" w:lineRule="auto"/>
        <w:ind w:left="492"/>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8</w:t>
      </w:r>
      <w:r>
        <w:rPr>
          <w:rFonts w:ascii="宋体" w:hAnsi="宋体" w:cs="宋体"/>
          <w:color w:val="auto"/>
          <w:spacing w:val="-4"/>
          <w:sz w:val="24"/>
        </w:rPr>
        <w:t>）图纸；</w:t>
      </w:r>
    </w:p>
    <w:p w14:paraId="7F447BA2">
      <w:pPr>
        <w:spacing w:before="112" w:line="218" w:lineRule="auto"/>
        <w:ind w:left="492"/>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9</w:t>
      </w:r>
      <w:r>
        <w:rPr>
          <w:rFonts w:ascii="宋体" w:hAnsi="宋体" w:cs="宋体"/>
          <w:color w:val="auto"/>
          <w:spacing w:val="-2"/>
          <w:sz w:val="24"/>
        </w:rPr>
        <w:t>）已标价工程量清单（或绩效清单</w:t>
      </w:r>
      <w:r>
        <w:rPr>
          <w:rFonts w:ascii="宋体" w:hAnsi="宋体" w:cs="宋体"/>
          <w:color w:val="auto"/>
          <w:spacing w:val="-62"/>
          <w:sz w:val="24"/>
        </w:rPr>
        <w:t>）；</w:t>
      </w:r>
    </w:p>
    <w:p w14:paraId="5264CDE1">
      <w:pPr>
        <w:spacing w:before="118" w:line="219" w:lineRule="auto"/>
        <w:ind w:left="492"/>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10</w:t>
      </w:r>
      <w:r>
        <w:rPr>
          <w:rFonts w:ascii="宋体" w:hAnsi="宋体" w:cs="宋体"/>
          <w:color w:val="auto"/>
          <w:spacing w:val="-2"/>
          <w:sz w:val="24"/>
        </w:rPr>
        <w:t>）承包人有关人员、设备投入的承诺；</w:t>
      </w:r>
    </w:p>
    <w:p w14:paraId="7C9D83C5">
      <w:pPr>
        <w:spacing w:before="116" w:line="219" w:lineRule="auto"/>
        <w:ind w:left="492"/>
        <w:rPr>
          <w:rFonts w:ascii="宋体" w:hAnsi="宋体" w:cs="宋体"/>
          <w:color w:val="auto"/>
          <w:spacing w:val="-3"/>
          <w:sz w:val="24"/>
        </w:rPr>
      </w:pPr>
      <w:r>
        <w:rPr>
          <w:rFonts w:ascii="宋体" w:hAnsi="宋体" w:cs="宋体"/>
          <w:color w:val="auto"/>
          <w:spacing w:val="-3"/>
          <w:sz w:val="24"/>
        </w:rPr>
        <w:t>（</w:t>
      </w:r>
      <w:r>
        <w:rPr>
          <w:rFonts w:eastAsia="Times New Roman"/>
          <w:color w:val="auto"/>
          <w:spacing w:val="-3"/>
          <w:sz w:val="24"/>
        </w:rPr>
        <w:t>11</w:t>
      </w:r>
      <w:r>
        <w:rPr>
          <w:rFonts w:ascii="宋体" w:hAnsi="宋体" w:cs="宋体"/>
          <w:color w:val="auto"/>
          <w:spacing w:val="-3"/>
          <w:sz w:val="24"/>
        </w:rPr>
        <w:t>）其他合同文件</w:t>
      </w:r>
      <w:r>
        <w:rPr>
          <w:rFonts w:hint="eastAsia" w:ascii="宋体" w:hAnsi="宋体" w:cs="宋体"/>
          <w:color w:val="auto"/>
          <w:spacing w:val="-3"/>
          <w:sz w:val="24"/>
        </w:rPr>
        <w:t>。</w:t>
      </w:r>
    </w:p>
    <w:p w14:paraId="35DCF86F">
      <w:pPr>
        <w:spacing w:before="114" w:line="308" w:lineRule="auto"/>
        <w:ind w:left="2" w:right="90" w:firstLine="480"/>
        <w:rPr>
          <w:rFonts w:ascii="宋体" w:hAnsi="宋体" w:cs="宋体"/>
          <w:color w:val="auto"/>
          <w:sz w:val="24"/>
        </w:rPr>
      </w:pPr>
      <w:r>
        <w:rPr>
          <w:rFonts w:ascii="宋体" w:hAnsi="宋体" w:cs="宋体"/>
          <w:color w:val="auto"/>
          <w:spacing w:val="1"/>
          <w:sz w:val="24"/>
        </w:rPr>
        <w:t>上述合同文件互相补充和解释。如果合同文件之间存</w:t>
      </w:r>
      <w:r>
        <w:rPr>
          <w:rFonts w:ascii="宋体" w:hAnsi="宋体" w:cs="宋体"/>
          <w:color w:val="auto"/>
          <w:sz w:val="24"/>
        </w:rPr>
        <w:t>在矛盾或不一致之处，以</w:t>
      </w:r>
      <w:r>
        <w:rPr>
          <w:rFonts w:ascii="宋体" w:hAnsi="宋体" w:cs="宋体"/>
          <w:color w:val="auto"/>
          <w:spacing w:val="-1"/>
          <w:sz w:val="24"/>
        </w:rPr>
        <w:t>上述文件的排列次序在先者为准。</w:t>
      </w:r>
    </w:p>
    <w:p w14:paraId="7D99091E">
      <w:pPr>
        <w:spacing w:before="1" w:line="262" w:lineRule="auto"/>
        <w:ind w:left="27" w:right="92" w:firstLine="454"/>
        <w:rPr>
          <w:rFonts w:ascii="宋体" w:hAnsi="宋体" w:cs="宋体"/>
          <w:color w:val="auto"/>
          <w:sz w:val="24"/>
        </w:rPr>
      </w:pPr>
      <w:r>
        <w:rPr>
          <w:rFonts w:eastAsia="Times New Roman"/>
          <w:color w:val="auto"/>
          <w:spacing w:val="6"/>
          <w:sz w:val="24"/>
        </w:rPr>
        <w:t xml:space="preserve">3.  </w:t>
      </w:r>
      <w:r>
        <w:rPr>
          <w:rFonts w:ascii="宋体" w:hAnsi="宋体" w:cs="宋体"/>
          <w:color w:val="auto"/>
          <w:spacing w:val="6"/>
          <w:sz w:val="24"/>
        </w:rPr>
        <w:t>根据工程量清单所列的预计数量和单价或</w:t>
      </w:r>
      <w:r>
        <w:rPr>
          <w:rFonts w:ascii="宋体" w:hAnsi="宋体" w:cs="宋体"/>
          <w:color w:val="auto"/>
          <w:spacing w:val="5"/>
          <w:sz w:val="24"/>
        </w:rPr>
        <w:t>总额价计算的签约合同价：人民</w:t>
      </w:r>
      <w:r>
        <w:rPr>
          <w:rFonts w:ascii="宋体" w:hAnsi="宋体" w:cs="宋体"/>
          <w:color w:val="auto"/>
          <w:spacing w:val="-12"/>
          <w:sz w:val="24"/>
        </w:rPr>
        <w:t>币（大写）元(</w:t>
      </w:r>
      <w:r>
        <w:rPr>
          <w:rFonts w:eastAsia="Times New Roman"/>
          <w:color w:val="auto"/>
          <w:spacing w:val="-12"/>
          <w:sz w:val="24"/>
        </w:rPr>
        <w:t>¥</w:t>
      </w:r>
      <w:r>
        <w:rPr>
          <w:rFonts w:ascii="宋体" w:hAnsi="宋体" w:cs="宋体"/>
          <w:color w:val="auto"/>
          <w:spacing w:val="-12"/>
          <w:sz w:val="24"/>
        </w:rPr>
        <w:t>)。</w:t>
      </w:r>
    </w:p>
    <w:p w14:paraId="6ECD16A5">
      <w:pPr>
        <w:spacing w:before="117" w:line="219" w:lineRule="auto"/>
        <w:ind w:left="475"/>
        <w:rPr>
          <w:rFonts w:ascii="宋体" w:hAnsi="宋体" w:cs="宋体"/>
          <w:color w:val="auto"/>
          <w:sz w:val="24"/>
        </w:rPr>
      </w:pPr>
      <w:r>
        <w:rPr>
          <w:rFonts w:eastAsia="Times New Roman"/>
          <w:color w:val="auto"/>
          <w:spacing w:val="-1"/>
          <w:sz w:val="24"/>
        </w:rPr>
        <w:t xml:space="preserve">4.  </w:t>
      </w:r>
      <w:r>
        <w:rPr>
          <w:rFonts w:ascii="宋体" w:hAnsi="宋体" w:cs="宋体"/>
          <w:color w:val="auto"/>
          <w:spacing w:val="-1"/>
          <w:sz w:val="24"/>
        </w:rPr>
        <w:t>承包人项目经理：。承包人项目总工：。</w:t>
      </w:r>
    </w:p>
    <w:p w14:paraId="2B67DE63">
      <w:pPr>
        <w:spacing w:before="117" w:line="263" w:lineRule="auto"/>
        <w:ind w:left="1" w:right="90" w:firstLine="481"/>
        <w:rPr>
          <w:rFonts w:ascii="宋体" w:hAnsi="宋体" w:cs="宋体"/>
          <w:color w:val="auto"/>
          <w:sz w:val="24"/>
        </w:rPr>
      </w:pPr>
      <w:r>
        <w:rPr>
          <w:rFonts w:eastAsia="Times New Roman"/>
          <w:color w:val="auto"/>
          <w:spacing w:val="10"/>
          <w:sz w:val="24"/>
        </w:rPr>
        <w:t xml:space="preserve">5.  </w:t>
      </w:r>
      <w:r>
        <w:rPr>
          <w:rFonts w:ascii="宋体" w:hAnsi="宋体" w:cs="宋体"/>
          <w:color w:val="auto"/>
          <w:spacing w:val="10"/>
          <w:sz w:val="24"/>
        </w:rPr>
        <w:t>养护质量符合</w:t>
      </w:r>
      <w:r>
        <w:rPr>
          <w:rFonts w:hint="eastAsia" w:ascii="宋体" w:hAnsi="宋体" w:cs="宋体"/>
          <w:color w:val="auto"/>
          <w:spacing w:val="10"/>
          <w:sz w:val="24"/>
          <w:u w:val="single"/>
        </w:rPr>
        <w:t>合格</w:t>
      </w:r>
      <w:r>
        <w:rPr>
          <w:rFonts w:ascii="宋体" w:hAnsi="宋体" w:cs="宋体"/>
          <w:color w:val="auto"/>
          <w:spacing w:val="10"/>
          <w:sz w:val="24"/>
        </w:rPr>
        <w:t>标准；养护安全目标</w:t>
      </w:r>
      <w:r>
        <w:rPr>
          <w:rFonts w:ascii="宋体" w:hAnsi="宋体" w:cs="宋体"/>
          <w:color w:val="auto"/>
          <w:spacing w:val="3"/>
          <w:sz w:val="24"/>
        </w:rPr>
        <w:t>：</w:t>
      </w:r>
      <w:r>
        <w:rPr>
          <w:rFonts w:hint="eastAsia" w:ascii="宋体" w:hAnsi="宋体" w:cs="宋体"/>
          <w:color w:val="auto"/>
          <w:spacing w:val="10"/>
          <w:sz w:val="24"/>
          <w:u w:val="single"/>
        </w:rPr>
        <w:t>合格</w:t>
      </w:r>
      <w:r>
        <w:rPr>
          <w:rFonts w:ascii="宋体" w:hAnsi="宋体" w:cs="宋体"/>
          <w:color w:val="auto"/>
          <w:spacing w:val="3"/>
          <w:sz w:val="24"/>
        </w:rPr>
        <w:t>；</w:t>
      </w:r>
      <w:r>
        <w:rPr>
          <w:rFonts w:ascii="宋体" w:hAnsi="宋体" w:cs="宋体"/>
          <w:color w:val="auto"/>
          <w:spacing w:val="10"/>
          <w:sz w:val="24"/>
        </w:rPr>
        <w:t>养护环保目</w:t>
      </w:r>
      <w:r>
        <w:rPr>
          <w:rFonts w:ascii="宋体" w:hAnsi="宋体" w:cs="宋体"/>
          <w:color w:val="auto"/>
          <w:spacing w:val="-1"/>
          <w:sz w:val="24"/>
        </w:rPr>
        <w:t>标：</w:t>
      </w:r>
      <w:r>
        <w:rPr>
          <w:rFonts w:hint="eastAsia" w:ascii="宋体" w:hAnsi="宋体" w:cs="宋体"/>
          <w:color w:val="auto"/>
          <w:spacing w:val="10"/>
          <w:sz w:val="24"/>
          <w:u w:val="single"/>
        </w:rPr>
        <w:t>合格</w:t>
      </w:r>
      <w:r>
        <w:rPr>
          <w:rFonts w:ascii="宋体" w:hAnsi="宋体" w:cs="宋体"/>
          <w:color w:val="auto"/>
          <w:spacing w:val="-1"/>
          <w:sz w:val="24"/>
        </w:rPr>
        <w:t>。</w:t>
      </w:r>
    </w:p>
    <w:p w14:paraId="23451835">
      <w:pPr>
        <w:spacing w:before="281" w:line="219" w:lineRule="auto"/>
        <w:ind w:left="480"/>
        <w:rPr>
          <w:rFonts w:ascii="宋体" w:hAnsi="宋体" w:cs="宋体"/>
          <w:color w:val="auto"/>
          <w:sz w:val="24"/>
        </w:rPr>
      </w:pPr>
      <w:bookmarkStart w:id="111" w:name="bookmark208"/>
      <w:bookmarkEnd w:id="111"/>
      <w:r>
        <w:rPr>
          <w:rFonts w:eastAsia="Times New Roman"/>
          <w:color w:val="auto"/>
          <w:sz w:val="24"/>
        </w:rPr>
        <w:t xml:space="preserve">6.  </w:t>
      </w:r>
      <w:r>
        <w:rPr>
          <w:rFonts w:ascii="宋体" w:hAnsi="宋体" w:cs="宋体"/>
          <w:color w:val="auto"/>
          <w:sz w:val="24"/>
        </w:rPr>
        <w:t>承包人承诺按合同约定承担养护项目</w:t>
      </w:r>
      <w:r>
        <w:rPr>
          <w:rFonts w:ascii="宋体" w:hAnsi="宋体" w:cs="宋体"/>
          <w:color w:val="auto"/>
          <w:spacing w:val="-1"/>
          <w:sz w:val="24"/>
        </w:rPr>
        <w:t>的实施、完成及缺陷修复。</w:t>
      </w:r>
    </w:p>
    <w:p w14:paraId="08B3D1DA">
      <w:pPr>
        <w:spacing w:before="115" w:line="218" w:lineRule="auto"/>
        <w:ind w:left="479"/>
        <w:rPr>
          <w:rFonts w:ascii="宋体" w:hAnsi="宋体" w:cs="宋体"/>
          <w:color w:val="auto"/>
          <w:sz w:val="24"/>
        </w:rPr>
      </w:pPr>
      <w:r>
        <w:rPr>
          <w:rFonts w:eastAsia="Times New Roman"/>
          <w:color w:val="auto"/>
          <w:sz w:val="24"/>
        </w:rPr>
        <w:t xml:space="preserve">7.  </w:t>
      </w:r>
      <w:r>
        <w:rPr>
          <w:rFonts w:ascii="宋体" w:hAnsi="宋体" w:cs="宋体"/>
          <w:color w:val="auto"/>
          <w:sz w:val="24"/>
        </w:rPr>
        <w:t>发包人承诺按合同约定的条件、时间和方式向</w:t>
      </w:r>
      <w:r>
        <w:rPr>
          <w:rFonts w:ascii="宋体" w:hAnsi="宋体" w:cs="宋体"/>
          <w:color w:val="auto"/>
          <w:spacing w:val="-1"/>
          <w:sz w:val="24"/>
        </w:rPr>
        <w:t>承包人支付合同价款。</w:t>
      </w:r>
    </w:p>
    <w:p w14:paraId="0DC1EE25">
      <w:pPr>
        <w:spacing w:before="115" w:line="219" w:lineRule="auto"/>
        <w:ind w:left="485"/>
        <w:rPr>
          <w:rFonts w:ascii="宋体" w:hAnsi="宋体" w:cs="宋体"/>
          <w:color w:val="auto"/>
          <w:sz w:val="24"/>
        </w:rPr>
      </w:pPr>
      <w:r>
        <w:rPr>
          <w:rFonts w:eastAsia="Times New Roman"/>
          <w:color w:val="auto"/>
          <w:spacing w:val="-2"/>
          <w:sz w:val="24"/>
        </w:rPr>
        <w:t xml:space="preserve">8.  </w:t>
      </w:r>
      <w:r>
        <w:rPr>
          <w:rFonts w:ascii="宋体" w:hAnsi="宋体" w:cs="宋体"/>
          <w:color w:val="auto"/>
          <w:spacing w:val="-2"/>
          <w:sz w:val="24"/>
        </w:rPr>
        <w:t>承包人应按照咨询人（监理人）指示开工，</w:t>
      </w:r>
      <w:r>
        <w:rPr>
          <w:rFonts w:ascii="宋体" w:hAnsi="宋体" w:cs="宋体"/>
          <w:color w:val="auto"/>
          <w:spacing w:val="-3"/>
          <w:sz w:val="24"/>
        </w:rPr>
        <w:t>工期为</w:t>
      </w:r>
      <w:r>
        <w:rPr>
          <w:rFonts w:hint="eastAsia" w:ascii="宋体" w:hAnsi="宋体" w:cs="宋体"/>
          <w:color w:val="auto"/>
          <w:sz w:val="24"/>
          <w:u w:val="single"/>
        </w:rPr>
        <w:t>90</w:t>
      </w:r>
      <w:r>
        <w:rPr>
          <w:rFonts w:ascii="宋体" w:hAnsi="宋体" w:cs="宋体"/>
          <w:color w:val="auto"/>
          <w:spacing w:val="-3"/>
          <w:sz w:val="24"/>
        </w:rPr>
        <w:t>日历天。</w:t>
      </w:r>
    </w:p>
    <w:p w14:paraId="5CEC870A">
      <w:pPr>
        <w:spacing w:before="116" w:line="263" w:lineRule="auto"/>
        <w:ind w:right="2" w:firstLine="480"/>
        <w:rPr>
          <w:rFonts w:ascii="宋体" w:hAnsi="宋体" w:cs="宋体"/>
          <w:color w:val="auto"/>
          <w:sz w:val="24"/>
        </w:rPr>
      </w:pPr>
      <w:r>
        <w:rPr>
          <w:rFonts w:eastAsia="Times New Roman"/>
          <w:color w:val="auto"/>
          <w:spacing w:val="6"/>
          <w:sz w:val="24"/>
        </w:rPr>
        <w:t xml:space="preserve">9.  </w:t>
      </w:r>
      <w:r>
        <w:rPr>
          <w:rFonts w:ascii="宋体" w:hAnsi="宋体" w:cs="宋体"/>
          <w:color w:val="auto"/>
          <w:spacing w:val="6"/>
          <w:sz w:val="24"/>
        </w:rPr>
        <w:t>本协议书在承包人提供履约保证金后，由</w:t>
      </w:r>
      <w:r>
        <w:rPr>
          <w:rFonts w:ascii="宋体" w:hAnsi="宋体" w:cs="宋体"/>
          <w:color w:val="auto"/>
          <w:spacing w:val="5"/>
          <w:sz w:val="24"/>
        </w:rPr>
        <w:t>双方法定代表人或其委托代理人</w:t>
      </w:r>
      <w:r>
        <w:rPr>
          <w:rFonts w:ascii="宋体" w:hAnsi="宋体" w:cs="宋体"/>
          <w:color w:val="auto"/>
          <w:spacing w:val="-1"/>
          <w:sz w:val="24"/>
        </w:rPr>
        <w:t>签署并加盖单位章之日起生效。</w:t>
      </w:r>
    </w:p>
    <w:p w14:paraId="08FD253F">
      <w:pPr>
        <w:spacing w:before="115" w:line="263" w:lineRule="auto"/>
        <w:ind w:left="15" w:right="60" w:firstLine="483"/>
        <w:rPr>
          <w:rFonts w:ascii="宋体" w:hAnsi="宋体" w:cs="宋体"/>
          <w:color w:val="auto"/>
          <w:sz w:val="24"/>
        </w:rPr>
      </w:pPr>
      <w:r>
        <w:rPr>
          <w:rFonts w:eastAsia="Times New Roman"/>
          <w:color w:val="auto"/>
          <w:spacing w:val="-1"/>
          <w:sz w:val="24"/>
        </w:rPr>
        <w:t xml:space="preserve">10.  </w:t>
      </w:r>
      <w:r>
        <w:rPr>
          <w:rFonts w:hint="eastAsia" w:eastAsia="Times New Roman"/>
          <w:color w:val="auto"/>
          <w:spacing w:val="-1"/>
          <w:sz w:val="24"/>
        </w:rPr>
        <w:t>本协议书一式陆份，甲方执肆份，乙方执贰份</w:t>
      </w:r>
      <w:r>
        <w:rPr>
          <w:rFonts w:hint="eastAsia"/>
          <w:color w:val="auto"/>
          <w:spacing w:val="-1"/>
          <w:sz w:val="24"/>
        </w:rPr>
        <w:t>，</w:t>
      </w:r>
      <w:r>
        <w:rPr>
          <w:rFonts w:hint="eastAsia" w:eastAsia="Times New Roman"/>
          <w:color w:val="auto"/>
          <w:spacing w:val="-1"/>
          <w:sz w:val="24"/>
        </w:rPr>
        <w:t>具有同等法律效力</w:t>
      </w:r>
      <w:r>
        <w:rPr>
          <w:rFonts w:ascii="宋体" w:hAnsi="宋体" w:cs="宋体"/>
          <w:color w:val="auto"/>
          <w:spacing w:val="-2"/>
          <w:sz w:val="24"/>
        </w:rPr>
        <w:t>。</w:t>
      </w:r>
    </w:p>
    <w:p w14:paraId="111A13EC">
      <w:pPr>
        <w:spacing w:before="117" w:line="219" w:lineRule="auto"/>
        <w:ind w:left="498"/>
        <w:rPr>
          <w:rFonts w:ascii="宋体" w:hAnsi="宋体" w:cs="宋体"/>
          <w:color w:val="auto"/>
          <w:spacing w:val="-2"/>
          <w:sz w:val="24"/>
        </w:rPr>
      </w:pPr>
      <w:r>
        <w:rPr>
          <w:rFonts w:eastAsia="Times New Roman"/>
          <w:color w:val="auto"/>
          <w:spacing w:val="-1"/>
          <w:sz w:val="24"/>
        </w:rPr>
        <w:t xml:space="preserve">11.  </w:t>
      </w:r>
      <w:r>
        <w:rPr>
          <w:rFonts w:ascii="宋体" w:hAnsi="宋体" w:cs="宋体"/>
          <w:color w:val="auto"/>
          <w:spacing w:val="-1"/>
          <w:sz w:val="24"/>
        </w:rPr>
        <w:t>合同未尽事宜，双方另行签订补充协议。补充协议是合同的组成</w:t>
      </w:r>
      <w:r>
        <w:rPr>
          <w:rFonts w:ascii="宋体" w:hAnsi="宋体" w:cs="宋体"/>
          <w:color w:val="auto"/>
          <w:spacing w:val="-2"/>
          <w:sz w:val="24"/>
        </w:rPr>
        <w:t>部分。</w:t>
      </w:r>
    </w:p>
    <w:p w14:paraId="679D3149">
      <w:pPr>
        <w:spacing w:before="117" w:line="219" w:lineRule="auto"/>
        <w:ind w:left="498"/>
        <w:rPr>
          <w:rFonts w:ascii="宋体" w:hAnsi="宋体" w:cs="宋体"/>
          <w:color w:val="auto"/>
          <w:spacing w:val="-2"/>
          <w:sz w:val="24"/>
        </w:rPr>
      </w:pPr>
    </w:p>
    <w:tbl>
      <w:tblPr>
        <w:tblStyle w:val="47"/>
        <w:tblW w:w="8985"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4903"/>
        <w:gridCol w:w="4082"/>
      </w:tblGrid>
      <w:tr w14:paraId="27875D3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11" w:hRule="atLeast"/>
          <w:jc w:val="center"/>
        </w:trPr>
        <w:tc>
          <w:tcPr>
            <w:tcW w:w="4903" w:type="dxa"/>
            <w:noWrap/>
          </w:tcPr>
          <w:p w14:paraId="391AC78F">
            <w:pPr>
              <w:pStyle w:val="259"/>
              <w:spacing w:line="440" w:lineRule="exact"/>
              <w:rPr>
                <w:rFonts w:ascii="宋体" w:hAnsi="宋体" w:eastAsia="宋体" w:cs="宋体"/>
                <w:color w:val="auto"/>
                <w:lang w:eastAsia="zh-CN"/>
              </w:rPr>
            </w:pPr>
            <w:r>
              <w:rPr>
                <w:rFonts w:hint="eastAsia" w:ascii="宋体" w:hAnsi="宋体" w:eastAsia="宋体" w:cs="宋体"/>
                <w:color w:val="auto"/>
                <w:lang w:eastAsia="zh-CN"/>
              </w:rPr>
              <w:t>发包人：</w:t>
            </w:r>
            <w:r>
              <w:rPr>
                <w:rFonts w:hint="eastAsia" w:ascii="宋体" w:hAnsi="宋体" w:cs="宋体"/>
                <w:color w:val="auto"/>
                <w:u w:val="single"/>
                <w:lang w:eastAsia="zh-CN"/>
              </w:rPr>
              <w:t>广西壮族自治区钦州钦北公路养护中心</w:t>
            </w:r>
            <w:r>
              <w:rPr>
                <w:rFonts w:hint="eastAsia" w:ascii="宋体" w:hAnsi="宋体" w:eastAsia="宋体" w:cs="宋体"/>
                <w:color w:val="auto"/>
                <w:lang w:eastAsia="zh-CN"/>
              </w:rPr>
              <w:t xml:space="preserve"> （盖单位章）</w:t>
            </w:r>
          </w:p>
        </w:tc>
        <w:tc>
          <w:tcPr>
            <w:tcW w:w="4082" w:type="dxa"/>
            <w:noWrap/>
          </w:tcPr>
          <w:p w14:paraId="22B9BA5C">
            <w:pPr>
              <w:pStyle w:val="259"/>
              <w:spacing w:line="520" w:lineRule="exact"/>
              <w:ind w:left="240" w:hanging="240" w:hangingChars="100"/>
              <w:rPr>
                <w:rFonts w:ascii="宋体" w:hAnsi="宋体" w:eastAsia="宋体" w:cs="宋体"/>
                <w:color w:val="auto"/>
                <w:lang w:eastAsia="zh-CN"/>
              </w:rPr>
            </w:pPr>
            <w:r>
              <w:rPr>
                <w:rFonts w:hint="eastAsia" w:ascii="宋体" w:hAnsi="宋体" w:eastAsia="宋体" w:cs="宋体"/>
                <w:color w:val="auto"/>
                <w:lang w:eastAsia="zh-CN"/>
              </w:rPr>
              <w:t>承包人：（盖单位章）</w:t>
            </w:r>
          </w:p>
        </w:tc>
      </w:tr>
      <w:tr w14:paraId="6086AD1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293" w:hRule="atLeast"/>
          <w:jc w:val="center"/>
        </w:trPr>
        <w:tc>
          <w:tcPr>
            <w:tcW w:w="4903" w:type="dxa"/>
            <w:noWrap/>
          </w:tcPr>
          <w:p w14:paraId="287F07B0">
            <w:pPr>
              <w:pStyle w:val="259"/>
              <w:spacing w:line="440" w:lineRule="exact"/>
              <w:rPr>
                <w:rFonts w:ascii="宋体" w:hAnsi="宋体" w:eastAsia="宋体" w:cs="宋体"/>
                <w:color w:val="auto"/>
                <w:lang w:eastAsia="zh-CN"/>
              </w:rPr>
            </w:pPr>
            <w:r>
              <w:rPr>
                <w:rFonts w:hint="eastAsia" w:ascii="宋体" w:hAnsi="宋体" w:eastAsia="宋体" w:cs="宋体"/>
                <w:color w:val="auto"/>
                <w:lang w:eastAsia="zh-CN"/>
              </w:rPr>
              <w:t>法定代表人</w:t>
            </w:r>
          </w:p>
          <w:p w14:paraId="0E6620B4">
            <w:pPr>
              <w:pStyle w:val="259"/>
              <w:spacing w:line="440" w:lineRule="exact"/>
              <w:rPr>
                <w:rFonts w:ascii="宋体" w:hAnsi="宋体" w:eastAsia="宋体" w:cs="宋体"/>
                <w:color w:val="auto"/>
                <w:lang w:eastAsia="zh-CN"/>
              </w:rPr>
            </w:pPr>
            <w:r>
              <w:rPr>
                <w:rFonts w:hint="eastAsia" w:ascii="宋体" w:hAnsi="宋体" w:eastAsia="宋体" w:cs="宋体"/>
                <w:color w:val="auto"/>
                <w:lang w:eastAsia="zh-CN"/>
              </w:rPr>
              <w:t xml:space="preserve">或其委托代理人（签字）：      </w:t>
            </w:r>
          </w:p>
        </w:tc>
        <w:tc>
          <w:tcPr>
            <w:tcW w:w="4082" w:type="dxa"/>
            <w:noWrap/>
          </w:tcPr>
          <w:p w14:paraId="04674A55">
            <w:pPr>
              <w:pStyle w:val="259"/>
              <w:spacing w:line="440" w:lineRule="exact"/>
              <w:rPr>
                <w:rFonts w:ascii="宋体" w:hAnsi="宋体" w:eastAsia="宋体" w:cs="宋体"/>
                <w:color w:val="auto"/>
                <w:lang w:eastAsia="zh-CN"/>
              </w:rPr>
            </w:pPr>
            <w:r>
              <w:rPr>
                <w:rFonts w:hint="eastAsia" w:ascii="宋体" w:hAnsi="宋体" w:eastAsia="宋体" w:cs="宋体"/>
                <w:color w:val="auto"/>
                <w:lang w:eastAsia="zh-CN"/>
              </w:rPr>
              <w:t>法定代表人</w:t>
            </w:r>
          </w:p>
          <w:p w14:paraId="1F66CF34">
            <w:pPr>
              <w:pStyle w:val="259"/>
              <w:spacing w:line="440" w:lineRule="exact"/>
              <w:rPr>
                <w:rFonts w:ascii="宋体" w:hAnsi="宋体" w:eastAsia="宋体" w:cs="宋体"/>
                <w:color w:val="auto"/>
                <w:lang w:eastAsia="zh-CN"/>
              </w:rPr>
            </w:pPr>
            <w:r>
              <w:rPr>
                <w:rFonts w:hint="eastAsia" w:ascii="宋体" w:hAnsi="宋体" w:eastAsia="宋体" w:cs="宋体"/>
                <w:color w:val="auto"/>
                <w:lang w:eastAsia="zh-CN"/>
              </w:rPr>
              <w:t>或其委托代理人（签字）：</w:t>
            </w:r>
          </w:p>
        </w:tc>
      </w:tr>
      <w:tr w14:paraId="0DA919F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4903" w:type="dxa"/>
            <w:noWrap/>
          </w:tcPr>
          <w:p w14:paraId="2640560D">
            <w:pPr>
              <w:pStyle w:val="259"/>
              <w:spacing w:line="440" w:lineRule="exact"/>
              <w:rPr>
                <w:rFonts w:ascii="宋体" w:hAnsi="宋体" w:eastAsia="宋体" w:cs="宋体"/>
                <w:color w:val="auto"/>
                <w:lang w:eastAsia="zh-CN"/>
              </w:rPr>
            </w:pPr>
            <w:r>
              <w:rPr>
                <w:rFonts w:hint="eastAsia" w:ascii="宋体" w:hAnsi="宋体" w:eastAsia="宋体" w:cs="宋体"/>
                <w:color w:val="auto"/>
                <w:lang w:eastAsia="zh-CN"/>
              </w:rPr>
              <w:t>单位地址：</w:t>
            </w:r>
            <w:r>
              <w:rPr>
                <w:rFonts w:hint="eastAsia" w:ascii="宋体" w:hAnsi="宋体" w:cs="宋体"/>
                <w:color w:val="auto"/>
                <w:lang w:eastAsia="zh-CN"/>
              </w:rPr>
              <w:t>钦州市钦南区南珠西大街65号</w:t>
            </w:r>
          </w:p>
        </w:tc>
        <w:tc>
          <w:tcPr>
            <w:tcW w:w="4082" w:type="dxa"/>
            <w:noWrap/>
          </w:tcPr>
          <w:p w14:paraId="37AF2D7B">
            <w:pPr>
              <w:pStyle w:val="259"/>
              <w:spacing w:line="440" w:lineRule="exact"/>
              <w:rPr>
                <w:rFonts w:ascii="宋体" w:hAnsi="宋体" w:eastAsia="宋体" w:cs="宋体"/>
                <w:color w:val="auto"/>
                <w:lang w:eastAsia="zh-CN"/>
              </w:rPr>
            </w:pPr>
            <w:r>
              <w:rPr>
                <w:rFonts w:hint="eastAsia" w:ascii="宋体" w:hAnsi="宋体" w:eastAsia="宋体" w:cs="宋体"/>
                <w:color w:val="auto"/>
              </w:rPr>
              <w:t>单位地址</w:t>
            </w:r>
            <w:r>
              <w:rPr>
                <w:rFonts w:hint="eastAsia" w:ascii="宋体" w:hAnsi="宋体" w:eastAsia="宋体" w:cs="宋体"/>
                <w:color w:val="auto"/>
                <w:lang w:eastAsia="zh-CN"/>
              </w:rPr>
              <w:t xml:space="preserve"> ：</w:t>
            </w:r>
          </w:p>
        </w:tc>
      </w:tr>
      <w:tr w14:paraId="4C36B45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3" w:hRule="atLeast"/>
          <w:jc w:val="center"/>
        </w:trPr>
        <w:tc>
          <w:tcPr>
            <w:tcW w:w="4903" w:type="dxa"/>
            <w:noWrap/>
          </w:tcPr>
          <w:p w14:paraId="78836BE9">
            <w:pPr>
              <w:pStyle w:val="259"/>
              <w:spacing w:line="440" w:lineRule="exact"/>
              <w:rPr>
                <w:rFonts w:ascii="宋体" w:hAnsi="宋体" w:eastAsia="宋体" w:cs="宋体"/>
                <w:color w:val="auto"/>
                <w:lang w:eastAsia="zh-CN"/>
              </w:rPr>
            </w:pPr>
            <w:r>
              <w:rPr>
                <w:rFonts w:hint="eastAsia" w:ascii="宋体" w:hAnsi="宋体" w:eastAsia="宋体" w:cs="宋体"/>
                <w:color w:val="auto"/>
                <w:lang w:val="zh-CN"/>
              </w:rPr>
              <w:t>电话：</w:t>
            </w:r>
            <w:r>
              <w:rPr>
                <w:rFonts w:hint="eastAsia" w:ascii="宋体" w:hAnsi="宋体" w:eastAsia="宋体" w:cs="宋体"/>
                <w:color w:val="auto"/>
                <w:lang w:val="zh-CN" w:eastAsia="zh-CN"/>
              </w:rPr>
              <w:t>0777-2831901</w:t>
            </w:r>
          </w:p>
        </w:tc>
        <w:tc>
          <w:tcPr>
            <w:tcW w:w="4082" w:type="dxa"/>
            <w:noWrap/>
          </w:tcPr>
          <w:p w14:paraId="0661FB1F">
            <w:pPr>
              <w:pStyle w:val="259"/>
              <w:spacing w:line="440" w:lineRule="exact"/>
              <w:rPr>
                <w:rFonts w:ascii="宋体" w:hAnsi="宋体" w:eastAsia="宋体" w:cs="宋体"/>
                <w:color w:val="auto"/>
                <w:lang w:eastAsia="zh-CN"/>
              </w:rPr>
            </w:pPr>
            <w:r>
              <w:rPr>
                <w:rFonts w:hint="eastAsia" w:ascii="宋体" w:hAnsi="宋体" w:eastAsia="宋体" w:cs="宋体"/>
                <w:color w:val="auto"/>
                <w:lang w:val="zh-CN"/>
              </w:rPr>
              <w:t>电话：</w:t>
            </w:r>
          </w:p>
        </w:tc>
      </w:tr>
      <w:tr w14:paraId="2B6DDBC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3" w:hRule="atLeast"/>
          <w:jc w:val="center"/>
        </w:trPr>
        <w:tc>
          <w:tcPr>
            <w:tcW w:w="4903" w:type="dxa"/>
            <w:noWrap/>
          </w:tcPr>
          <w:p w14:paraId="4F429E54">
            <w:pPr>
              <w:pStyle w:val="259"/>
              <w:spacing w:line="440" w:lineRule="exact"/>
              <w:ind w:left="1"/>
              <w:rPr>
                <w:rFonts w:ascii="宋体" w:hAnsi="宋体" w:eastAsia="宋体" w:cs="宋体"/>
                <w:color w:val="auto"/>
                <w:lang w:val="zh-CN" w:eastAsia="zh-CN" w:bidi="ar-SA"/>
              </w:rPr>
            </w:pPr>
            <w:r>
              <w:rPr>
                <w:rFonts w:hint="eastAsia" w:ascii="宋体" w:hAnsi="宋体" w:eastAsia="宋体" w:cs="宋体"/>
                <w:color w:val="auto"/>
                <w:lang w:val="zh-CN"/>
              </w:rPr>
              <w:t>传真号码：</w:t>
            </w:r>
          </w:p>
        </w:tc>
        <w:tc>
          <w:tcPr>
            <w:tcW w:w="4082" w:type="dxa"/>
            <w:noWrap/>
          </w:tcPr>
          <w:p w14:paraId="7DBEA922">
            <w:pPr>
              <w:pStyle w:val="259"/>
              <w:spacing w:line="440" w:lineRule="exact"/>
              <w:rPr>
                <w:rFonts w:ascii="宋体" w:hAnsi="宋体" w:eastAsia="宋体" w:cs="宋体"/>
                <w:color w:val="auto"/>
                <w:lang w:val="zh-CN" w:eastAsia="zh-CN" w:bidi="ar-SA"/>
              </w:rPr>
            </w:pPr>
            <w:r>
              <w:rPr>
                <w:rFonts w:hint="eastAsia" w:ascii="宋体" w:hAnsi="宋体" w:eastAsia="宋体" w:cs="宋体"/>
                <w:color w:val="auto"/>
                <w:lang w:val="zh-CN"/>
              </w:rPr>
              <w:t>传真号码：</w:t>
            </w:r>
          </w:p>
        </w:tc>
      </w:tr>
      <w:tr w14:paraId="687374E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3" w:hRule="atLeast"/>
          <w:jc w:val="center"/>
        </w:trPr>
        <w:tc>
          <w:tcPr>
            <w:tcW w:w="4903" w:type="dxa"/>
            <w:noWrap/>
          </w:tcPr>
          <w:p w14:paraId="46679B60">
            <w:pPr>
              <w:pStyle w:val="259"/>
              <w:spacing w:line="440" w:lineRule="exact"/>
              <w:rPr>
                <w:rFonts w:ascii="宋体" w:hAnsi="宋体" w:eastAsia="宋体" w:cs="宋体"/>
                <w:color w:val="auto"/>
                <w:lang w:val="zh-CN"/>
              </w:rPr>
            </w:pPr>
            <w:r>
              <w:rPr>
                <w:rFonts w:hint="eastAsia" w:ascii="宋体" w:hAnsi="宋体" w:eastAsia="宋体" w:cs="宋体"/>
                <w:color w:val="auto"/>
                <w:lang w:eastAsia="zh-CN"/>
              </w:rPr>
              <w:t>信用代码：</w:t>
            </w:r>
          </w:p>
        </w:tc>
        <w:tc>
          <w:tcPr>
            <w:tcW w:w="4082" w:type="dxa"/>
            <w:noWrap/>
          </w:tcPr>
          <w:p w14:paraId="2855D0BF">
            <w:pPr>
              <w:pStyle w:val="259"/>
              <w:spacing w:line="440" w:lineRule="exact"/>
              <w:rPr>
                <w:rFonts w:ascii="宋体" w:hAnsi="宋体" w:eastAsia="宋体" w:cs="宋体"/>
                <w:color w:val="auto"/>
              </w:rPr>
            </w:pPr>
            <w:r>
              <w:rPr>
                <w:rFonts w:hint="eastAsia" w:ascii="宋体" w:hAnsi="宋体" w:eastAsia="宋体" w:cs="宋体"/>
                <w:color w:val="auto"/>
                <w:lang w:eastAsia="zh-CN"/>
              </w:rPr>
              <w:t>信用代码：</w:t>
            </w:r>
          </w:p>
        </w:tc>
      </w:tr>
      <w:tr w14:paraId="0F00BAE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84" w:hRule="atLeast"/>
          <w:jc w:val="center"/>
        </w:trPr>
        <w:tc>
          <w:tcPr>
            <w:tcW w:w="4903" w:type="dxa"/>
            <w:noWrap/>
          </w:tcPr>
          <w:p w14:paraId="485D5CB9">
            <w:pPr>
              <w:pStyle w:val="259"/>
              <w:spacing w:line="440" w:lineRule="exact"/>
              <w:rPr>
                <w:rFonts w:ascii="宋体" w:hAnsi="宋体" w:eastAsia="宋体" w:cs="宋体"/>
                <w:color w:val="auto"/>
                <w:lang w:eastAsia="zh-CN"/>
              </w:rPr>
            </w:pPr>
            <w:r>
              <w:rPr>
                <w:rFonts w:hint="eastAsia" w:ascii="宋体" w:hAnsi="宋体" w:eastAsia="宋体" w:cs="宋体"/>
                <w:color w:val="auto"/>
              </w:rPr>
              <w:t>开户银行：</w:t>
            </w:r>
          </w:p>
        </w:tc>
        <w:tc>
          <w:tcPr>
            <w:tcW w:w="4082" w:type="dxa"/>
            <w:noWrap/>
          </w:tcPr>
          <w:p w14:paraId="20821294">
            <w:pPr>
              <w:pStyle w:val="259"/>
              <w:spacing w:line="440" w:lineRule="exact"/>
              <w:rPr>
                <w:rFonts w:ascii="宋体" w:hAnsi="宋体" w:eastAsia="宋体" w:cs="宋体"/>
                <w:color w:val="auto"/>
                <w:lang w:eastAsia="zh-CN"/>
              </w:rPr>
            </w:pPr>
            <w:r>
              <w:rPr>
                <w:rFonts w:hint="eastAsia" w:ascii="宋体" w:hAnsi="宋体" w:eastAsia="宋体" w:cs="宋体"/>
                <w:color w:val="auto"/>
              </w:rPr>
              <w:t>开户银行：</w:t>
            </w:r>
          </w:p>
        </w:tc>
      </w:tr>
      <w:tr w14:paraId="0D1DB39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64" w:hRule="atLeast"/>
          <w:jc w:val="center"/>
        </w:trPr>
        <w:tc>
          <w:tcPr>
            <w:tcW w:w="4903" w:type="dxa"/>
            <w:noWrap/>
          </w:tcPr>
          <w:p w14:paraId="1A47196C">
            <w:pPr>
              <w:pStyle w:val="259"/>
              <w:spacing w:line="440" w:lineRule="exact"/>
              <w:rPr>
                <w:rFonts w:ascii="宋体" w:hAnsi="宋体" w:eastAsia="宋体" w:cs="宋体"/>
                <w:color w:val="auto"/>
                <w:lang w:eastAsia="zh-CN"/>
              </w:rPr>
            </w:pPr>
            <w:r>
              <w:rPr>
                <w:rFonts w:hint="eastAsia" w:ascii="宋体" w:hAnsi="宋体" w:eastAsia="宋体" w:cs="宋体"/>
                <w:color w:val="auto"/>
                <w:lang w:eastAsia="zh-CN"/>
              </w:rPr>
              <w:t>银行账号</w:t>
            </w:r>
            <w:r>
              <w:rPr>
                <w:rFonts w:hint="eastAsia" w:ascii="宋体" w:hAnsi="宋体" w:eastAsia="宋体" w:cs="宋体"/>
                <w:color w:val="auto"/>
              </w:rPr>
              <w:t>：</w:t>
            </w:r>
          </w:p>
        </w:tc>
        <w:tc>
          <w:tcPr>
            <w:tcW w:w="4082" w:type="dxa"/>
            <w:noWrap/>
          </w:tcPr>
          <w:p w14:paraId="2F37CE4F">
            <w:pPr>
              <w:pStyle w:val="259"/>
              <w:spacing w:line="440" w:lineRule="exact"/>
              <w:rPr>
                <w:rFonts w:ascii="宋体" w:hAnsi="宋体" w:eastAsia="宋体" w:cs="宋体"/>
                <w:color w:val="auto"/>
                <w:lang w:eastAsia="zh-CN"/>
              </w:rPr>
            </w:pPr>
            <w:r>
              <w:rPr>
                <w:rFonts w:hint="eastAsia" w:ascii="宋体" w:hAnsi="宋体" w:eastAsia="宋体" w:cs="宋体"/>
                <w:color w:val="auto"/>
              </w:rPr>
              <w:t>银行</w:t>
            </w:r>
            <w:r>
              <w:rPr>
                <w:rFonts w:hint="eastAsia" w:ascii="宋体" w:hAnsi="宋体" w:eastAsia="宋体" w:cs="宋体"/>
                <w:color w:val="auto"/>
                <w:lang w:eastAsia="zh-CN"/>
              </w:rPr>
              <w:t>账号</w:t>
            </w:r>
            <w:r>
              <w:rPr>
                <w:rFonts w:hint="eastAsia" w:ascii="宋体" w:hAnsi="宋体" w:eastAsia="宋体" w:cs="宋体"/>
                <w:color w:val="auto"/>
              </w:rPr>
              <w:t>：</w:t>
            </w:r>
          </w:p>
        </w:tc>
      </w:tr>
      <w:tr w14:paraId="4C94006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42" w:hRule="atLeast"/>
          <w:jc w:val="center"/>
        </w:trPr>
        <w:tc>
          <w:tcPr>
            <w:tcW w:w="4903" w:type="dxa"/>
            <w:noWrap/>
          </w:tcPr>
          <w:p w14:paraId="0668DA53">
            <w:pPr>
              <w:pStyle w:val="259"/>
              <w:spacing w:line="440" w:lineRule="exact"/>
              <w:rPr>
                <w:rFonts w:ascii="宋体" w:hAnsi="宋体" w:eastAsia="宋体" w:cs="宋体"/>
                <w:color w:val="auto"/>
              </w:rPr>
            </w:pPr>
            <w:r>
              <w:rPr>
                <w:rFonts w:hint="eastAsia" w:ascii="宋体" w:hAnsi="宋体" w:eastAsia="宋体" w:cs="宋体"/>
                <w:color w:val="auto"/>
                <w:lang w:eastAsia="zh-CN"/>
              </w:rPr>
              <w:t>邮箱：</w:t>
            </w:r>
          </w:p>
        </w:tc>
        <w:tc>
          <w:tcPr>
            <w:tcW w:w="4082" w:type="dxa"/>
            <w:noWrap/>
          </w:tcPr>
          <w:p w14:paraId="623D8CC6">
            <w:pPr>
              <w:pStyle w:val="259"/>
              <w:spacing w:line="440" w:lineRule="exact"/>
              <w:jc w:val="both"/>
              <w:rPr>
                <w:rFonts w:ascii="宋体" w:hAnsi="宋体" w:eastAsia="宋体" w:cs="宋体"/>
                <w:color w:val="auto"/>
              </w:rPr>
            </w:pPr>
            <w:r>
              <w:rPr>
                <w:rFonts w:hint="eastAsia" w:ascii="宋体" w:hAnsi="宋体" w:eastAsia="宋体" w:cs="宋体"/>
                <w:color w:val="auto"/>
                <w:lang w:eastAsia="zh-CN"/>
              </w:rPr>
              <w:t>邮箱：</w:t>
            </w:r>
          </w:p>
        </w:tc>
      </w:tr>
      <w:tr w14:paraId="6F17D03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42" w:hRule="atLeast"/>
          <w:jc w:val="center"/>
        </w:trPr>
        <w:tc>
          <w:tcPr>
            <w:tcW w:w="4903" w:type="dxa"/>
            <w:noWrap/>
          </w:tcPr>
          <w:p w14:paraId="318A1DE0">
            <w:pPr>
              <w:pStyle w:val="259"/>
              <w:spacing w:line="440" w:lineRule="exact"/>
              <w:jc w:val="right"/>
              <w:rPr>
                <w:rFonts w:ascii="宋体" w:hAnsi="宋体" w:eastAsia="宋体" w:cs="宋体"/>
                <w:color w:val="auto"/>
              </w:rPr>
            </w:pPr>
            <w:r>
              <w:rPr>
                <w:rFonts w:hint="eastAsia" w:ascii="宋体" w:hAnsi="宋体" w:eastAsia="宋体" w:cs="宋体"/>
                <w:color w:val="auto"/>
              </w:rPr>
              <w:t xml:space="preserve"> 年        月      日</w:t>
            </w:r>
          </w:p>
        </w:tc>
        <w:tc>
          <w:tcPr>
            <w:tcW w:w="4082" w:type="dxa"/>
            <w:noWrap/>
          </w:tcPr>
          <w:p w14:paraId="20A5DF74">
            <w:pPr>
              <w:pStyle w:val="259"/>
              <w:spacing w:line="440" w:lineRule="exact"/>
              <w:jc w:val="right"/>
              <w:rPr>
                <w:rFonts w:ascii="宋体" w:hAnsi="宋体" w:eastAsia="宋体" w:cs="宋体"/>
                <w:color w:val="auto"/>
              </w:rPr>
            </w:pPr>
            <w:r>
              <w:rPr>
                <w:rFonts w:hint="eastAsia" w:ascii="宋体" w:hAnsi="宋体" w:eastAsia="宋体" w:cs="宋体"/>
                <w:color w:val="auto"/>
              </w:rPr>
              <w:t xml:space="preserve"> 年        月      日</w:t>
            </w:r>
          </w:p>
        </w:tc>
      </w:tr>
    </w:tbl>
    <w:p w14:paraId="1A20CB80">
      <w:pPr>
        <w:rPr>
          <w:color w:val="auto"/>
        </w:rPr>
      </w:pPr>
    </w:p>
    <w:p w14:paraId="69145D23">
      <w:pPr>
        <w:rPr>
          <w:color w:val="auto"/>
        </w:rPr>
      </w:pPr>
    </w:p>
    <w:p w14:paraId="6357D814">
      <w:pPr>
        <w:rPr>
          <w:color w:val="auto"/>
        </w:rPr>
      </w:pPr>
    </w:p>
    <w:p w14:paraId="60578A5F">
      <w:pPr>
        <w:rPr>
          <w:color w:val="auto"/>
        </w:rPr>
      </w:pPr>
    </w:p>
    <w:p w14:paraId="40B99170">
      <w:pPr>
        <w:rPr>
          <w:color w:val="auto"/>
        </w:rPr>
      </w:pPr>
    </w:p>
    <w:p w14:paraId="70A17F73">
      <w:pPr>
        <w:rPr>
          <w:color w:val="auto"/>
        </w:rPr>
      </w:pPr>
      <w:bookmarkStart w:id="112" w:name="_bookmark15"/>
      <w:bookmarkEnd w:id="112"/>
      <w:bookmarkStart w:id="113" w:name="_Toc367270683"/>
      <w:bookmarkStart w:id="114" w:name="_Toc40341366"/>
      <w:bookmarkStart w:id="115" w:name="_Toc394929411"/>
    </w:p>
    <w:p w14:paraId="10215B2B">
      <w:pPr>
        <w:pStyle w:val="4"/>
        <w:jc w:val="center"/>
        <w:rPr>
          <w:color w:val="auto"/>
          <w:sz w:val="24"/>
        </w:rPr>
      </w:pPr>
      <w:r>
        <w:rPr>
          <w:rFonts w:hint="eastAsia"/>
          <w:color w:val="auto"/>
        </w:rPr>
        <w:t>第二节  通用合同条款</w:t>
      </w:r>
      <w:bookmarkEnd w:id="113"/>
      <w:bookmarkEnd w:id="114"/>
      <w:bookmarkEnd w:id="115"/>
    </w:p>
    <w:p w14:paraId="2E472DD0">
      <w:pPr>
        <w:spacing w:before="253" w:line="220" w:lineRule="auto"/>
        <w:ind w:left="487"/>
        <w:outlineLvl w:val="2"/>
        <w:rPr>
          <w:rFonts w:ascii="宋体" w:hAnsi="宋体" w:cs="宋体"/>
          <w:color w:val="auto"/>
          <w:sz w:val="24"/>
        </w:rPr>
      </w:pPr>
      <w:r>
        <w:rPr>
          <w:rFonts w:eastAsia="Times New Roman"/>
          <w:b/>
          <w:bCs/>
          <w:color w:val="auto"/>
          <w:spacing w:val="-7"/>
          <w:sz w:val="24"/>
        </w:rPr>
        <w:t>1.</w:t>
      </w:r>
      <w:r>
        <w:rPr>
          <w:rFonts w:ascii="宋体" w:hAnsi="宋体" w:cs="宋体"/>
          <w:b/>
          <w:bCs/>
          <w:color w:val="auto"/>
          <w:spacing w:val="-7"/>
          <w:sz w:val="24"/>
        </w:rPr>
        <w:t>一般约定</w:t>
      </w:r>
    </w:p>
    <w:p w14:paraId="2183429F">
      <w:pPr>
        <w:spacing w:before="258" w:line="220" w:lineRule="auto"/>
        <w:ind w:left="487"/>
        <w:outlineLvl w:val="3"/>
        <w:rPr>
          <w:rFonts w:ascii="宋体" w:hAnsi="宋体" w:cs="宋体"/>
          <w:color w:val="auto"/>
          <w:sz w:val="24"/>
        </w:rPr>
      </w:pPr>
      <w:r>
        <w:rPr>
          <w:rFonts w:eastAsia="Times New Roman"/>
          <w:b/>
          <w:bCs/>
          <w:color w:val="auto"/>
          <w:spacing w:val="-5"/>
          <w:sz w:val="24"/>
        </w:rPr>
        <w:t>1.1</w:t>
      </w:r>
      <w:r>
        <w:rPr>
          <w:rFonts w:ascii="宋体" w:hAnsi="宋体" w:cs="宋体"/>
          <w:b/>
          <w:bCs/>
          <w:color w:val="auto"/>
          <w:spacing w:val="-5"/>
          <w:sz w:val="24"/>
        </w:rPr>
        <w:t>词语定义</w:t>
      </w:r>
    </w:p>
    <w:p w14:paraId="64ED3420">
      <w:pPr>
        <w:spacing w:before="123" w:line="219" w:lineRule="auto"/>
        <w:ind w:left="481"/>
        <w:rPr>
          <w:rFonts w:ascii="宋体" w:hAnsi="宋体" w:cs="宋体"/>
          <w:color w:val="auto"/>
          <w:sz w:val="24"/>
        </w:rPr>
      </w:pPr>
      <w:r>
        <w:rPr>
          <w:rFonts w:ascii="宋体" w:hAnsi="宋体" w:cs="宋体"/>
          <w:color w:val="auto"/>
          <w:spacing w:val="-1"/>
          <w:sz w:val="24"/>
        </w:rPr>
        <w:t>合同中的下列词语应具有本款所赋予的含义。</w:t>
      </w:r>
    </w:p>
    <w:p w14:paraId="583B4048">
      <w:pPr>
        <w:spacing w:before="117" w:line="221" w:lineRule="auto"/>
        <w:ind w:left="499"/>
        <w:rPr>
          <w:rFonts w:ascii="宋体" w:hAnsi="宋体" w:cs="宋体"/>
          <w:color w:val="auto"/>
          <w:sz w:val="24"/>
        </w:rPr>
      </w:pPr>
      <w:r>
        <w:rPr>
          <w:rFonts w:eastAsia="Times New Roman"/>
          <w:color w:val="auto"/>
          <w:spacing w:val="-6"/>
          <w:sz w:val="24"/>
        </w:rPr>
        <w:t>1.1.1</w:t>
      </w:r>
      <w:r>
        <w:rPr>
          <w:rFonts w:ascii="宋体" w:hAnsi="宋体" w:cs="宋体"/>
          <w:color w:val="auto"/>
          <w:spacing w:val="-6"/>
          <w:sz w:val="24"/>
        </w:rPr>
        <w:t>合同</w:t>
      </w:r>
    </w:p>
    <w:p w14:paraId="1649CB34">
      <w:pPr>
        <w:spacing w:before="109" w:line="286" w:lineRule="auto"/>
        <w:ind w:right="164" w:firstLine="499"/>
        <w:rPr>
          <w:rFonts w:ascii="宋体" w:hAnsi="宋体" w:cs="宋体"/>
          <w:color w:val="auto"/>
          <w:sz w:val="24"/>
        </w:rPr>
      </w:pPr>
      <w:r>
        <w:rPr>
          <w:rFonts w:eastAsia="Times New Roman"/>
          <w:color w:val="auto"/>
          <w:spacing w:val="1"/>
          <w:sz w:val="24"/>
        </w:rPr>
        <w:t xml:space="preserve">1.1.1.1  </w:t>
      </w:r>
      <w:r>
        <w:rPr>
          <w:rFonts w:ascii="宋体" w:hAnsi="宋体" w:cs="宋体"/>
          <w:color w:val="auto"/>
          <w:spacing w:val="1"/>
          <w:sz w:val="24"/>
        </w:rPr>
        <w:t>合同文件（或称合同</w:t>
      </w:r>
      <w:r>
        <w:rPr>
          <w:rFonts w:ascii="宋体" w:hAnsi="宋体" w:cs="宋体"/>
          <w:color w:val="auto"/>
          <w:spacing w:val="-42"/>
          <w:sz w:val="24"/>
        </w:rPr>
        <w:t>）：</w:t>
      </w:r>
      <w:r>
        <w:rPr>
          <w:rFonts w:ascii="宋体" w:hAnsi="宋体" w:cs="宋体"/>
          <w:color w:val="auto"/>
          <w:spacing w:val="1"/>
          <w:sz w:val="24"/>
        </w:rPr>
        <w:t>指合同协议书、中标通知书</w:t>
      </w:r>
      <w:r>
        <w:rPr>
          <w:rFonts w:ascii="宋体" w:hAnsi="宋体" w:cs="宋体"/>
          <w:color w:val="auto"/>
          <w:sz w:val="24"/>
        </w:rPr>
        <w:t>（如有）、投标函</w:t>
      </w:r>
      <w:r>
        <w:rPr>
          <w:rFonts w:ascii="宋体" w:hAnsi="宋体" w:cs="宋体"/>
          <w:color w:val="auto"/>
          <w:spacing w:val="1"/>
          <w:sz w:val="24"/>
        </w:rPr>
        <w:t>及投标函附录（如有）、专用合同条款、通用合同条款</w:t>
      </w:r>
      <w:r>
        <w:rPr>
          <w:rFonts w:ascii="宋体" w:hAnsi="宋体" w:cs="宋体"/>
          <w:color w:val="auto"/>
          <w:sz w:val="24"/>
        </w:rPr>
        <w:t>、技术规范、图纸、工程量</w:t>
      </w:r>
      <w:r>
        <w:rPr>
          <w:rFonts w:ascii="宋体" w:hAnsi="宋体" w:cs="宋体"/>
          <w:color w:val="auto"/>
          <w:spacing w:val="-4"/>
          <w:sz w:val="24"/>
        </w:rPr>
        <w:t>清单计量规则（或养护绩效管理规则）、已标价工程量清单（或绩效清单</w:t>
      </w:r>
      <w:r>
        <w:rPr>
          <w:rFonts w:ascii="宋体" w:hAnsi="宋体" w:cs="宋体"/>
          <w:color w:val="auto"/>
          <w:spacing w:val="-38"/>
          <w:sz w:val="24"/>
        </w:rPr>
        <w:t>），</w:t>
      </w:r>
      <w:r>
        <w:rPr>
          <w:rFonts w:ascii="宋体" w:hAnsi="宋体" w:cs="宋体"/>
          <w:color w:val="auto"/>
          <w:spacing w:val="-4"/>
          <w:sz w:val="24"/>
        </w:rPr>
        <w:t>以及其</w:t>
      </w:r>
      <w:r>
        <w:rPr>
          <w:rFonts w:ascii="宋体" w:hAnsi="宋体" w:cs="宋体"/>
          <w:color w:val="auto"/>
          <w:spacing w:val="-2"/>
          <w:sz w:val="24"/>
        </w:rPr>
        <w:t>他合同文件。</w:t>
      </w:r>
    </w:p>
    <w:p w14:paraId="364A1677">
      <w:pPr>
        <w:spacing w:before="115" w:line="264" w:lineRule="auto"/>
        <w:ind w:left="1" w:right="164" w:firstLine="497"/>
        <w:rPr>
          <w:rFonts w:ascii="宋体" w:hAnsi="宋体" w:cs="宋体"/>
          <w:color w:val="auto"/>
          <w:sz w:val="24"/>
        </w:rPr>
      </w:pPr>
      <w:r>
        <w:rPr>
          <w:rFonts w:eastAsia="Times New Roman"/>
          <w:color w:val="auto"/>
          <w:spacing w:val="5"/>
          <w:sz w:val="24"/>
        </w:rPr>
        <w:t xml:space="preserve">1.1.1.2  </w:t>
      </w:r>
      <w:r>
        <w:rPr>
          <w:rFonts w:ascii="宋体" w:hAnsi="宋体" w:cs="宋体"/>
          <w:color w:val="auto"/>
          <w:spacing w:val="5"/>
          <w:sz w:val="24"/>
        </w:rPr>
        <w:t>合同协议书：指由发包人和承包人共同签署的明</w:t>
      </w:r>
      <w:r>
        <w:rPr>
          <w:rFonts w:ascii="宋体" w:hAnsi="宋体" w:cs="宋体"/>
          <w:color w:val="auto"/>
          <w:spacing w:val="4"/>
          <w:sz w:val="24"/>
        </w:rPr>
        <w:t>确签约合同价、工期</w:t>
      </w:r>
      <w:r>
        <w:rPr>
          <w:rFonts w:ascii="宋体" w:hAnsi="宋体" w:cs="宋体"/>
          <w:color w:val="auto"/>
          <w:spacing w:val="-1"/>
          <w:sz w:val="24"/>
        </w:rPr>
        <w:t>和合同组成等合同核心内容的文件。</w:t>
      </w:r>
    </w:p>
    <w:p w14:paraId="745E1C7F">
      <w:pPr>
        <w:spacing w:before="112" w:line="219" w:lineRule="auto"/>
        <w:ind w:left="499"/>
        <w:rPr>
          <w:rFonts w:ascii="宋体" w:hAnsi="宋体" w:cs="宋体"/>
          <w:color w:val="auto"/>
          <w:sz w:val="24"/>
        </w:rPr>
      </w:pPr>
      <w:r>
        <w:rPr>
          <w:rFonts w:eastAsia="Times New Roman"/>
          <w:color w:val="auto"/>
          <w:spacing w:val="-2"/>
          <w:sz w:val="24"/>
        </w:rPr>
        <w:t>1.1.1.3</w:t>
      </w:r>
      <w:r>
        <w:rPr>
          <w:rFonts w:ascii="宋体" w:hAnsi="宋体" w:cs="宋体"/>
          <w:color w:val="auto"/>
          <w:spacing w:val="-2"/>
          <w:sz w:val="24"/>
        </w:rPr>
        <w:t>中标通知书：指发包人通知承包人中</w:t>
      </w:r>
      <w:r>
        <w:rPr>
          <w:rFonts w:ascii="宋体" w:hAnsi="宋体" w:cs="宋体"/>
          <w:color w:val="auto"/>
          <w:spacing w:val="-3"/>
          <w:sz w:val="24"/>
        </w:rPr>
        <w:t>标的函件。</w:t>
      </w:r>
    </w:p>
    <w:p w14:paraId="6495EAD8">
      <w:pPr>
        <w:spacing w:before="118" w:line="219" w:lineRule="auto"/>
        <w:ind w:left="499"/>
        <w:rPr>
          <w:rFonts w:ascii="宋体" w:hAnsi="宋体" w:cs="宋体"/>
          <w:color w:val="auto"/>
          <w:sz w:val="24"/>
        </w:rPr>
      </w:pPr>
      <w:r>
        <w:rPr>
          <w:rFonts w:eastAsia="Times New Roman"/>
          <w:color w:val="auto"/>
          <w:spacing w:val="-1"/>
          <w:sz w:val="24"/>
        </w:rPr>
        <w:t xml:space="preserve">1.1.1.4  </w:t>
      </w:r>
      <w:r>
        <w:rPr>
          <w:rFonts w:ascii="宋体" w:hAnsi="宋体" w:cs="宋体"/>
          <w:color w:val="auto"/>
          <w:spacing w:val="-1"/>
          <w:sz w:val="24"/>
        </w:rPr>
        <w:t>投标函：指构成合同文件组成部分的由承包人填写并签署的投标函。</w:t>
      </w:r>
    </w:p>
    <w:p w14:paraId="0FED33C3">
      <w:pPr>
        <w:spacing w:before="115" w:line="219" w:lineRule="auto"/>
        <w:ind w:left="499"/>
        <w:rPr>
          <w:rFonts w:ascii="宋体" w:hAnsi="宋体" w:cs="宋体"/>
          <w:color w:val="auto"/>
          <w:sz w:val="24"/>
        </w:rPr>
      </w:pPr>
      <w:r>
        <w:rPr>
          <w:rFonts w:eastAsia="Times New Roman"/>
          <w:color w:val="auto"/>
          <w:spacing w:val="-1"/>
          <w:sz w:val="24"/>
        </w:rPr>
        <w:t xml:space="preserve">1.1.1.5  </w:t>
      </w:r>
      <w:r>
        <w:rPr>
          <w:rFonts w:ascii="宋体" w:hAnsi="宋体" w:cs="宋体"/>
          <w:color w:val="auto"/>
          <w:spacing w:val="-1"/>
          <w:sz w:val="24"/>
        </w:rPr>
        <w:t>投标函附录：指附在投标函后构成合同文件的附录。</w:t>
      </w:r>
    </w:p>
    <w:p w14:paraId="0F46BCD6">
      <w:pPr>
        <w:spacing w:before="113" w:line="219" w:lineRule="auto"/>
        <w:jc w:val="right"/>
        <w:rPr>
          <w:rFonts w:ascii="宋体" w:hAnsi="宋体" w:cs="宋体"/>
          <w:color w:val="auto"/>
          <w:sz w:val="24"/>
        </w:rPr>
      </w:pPr>
      <w:r>
        <w:rPr>
          <w:rFonts w:eastAsia="Times New Roman"/>
          <w:color w:val="auto"/>
          <w:spacing w:val="-2"/>
          <w:sz w:val="24"/>
        </w:rPr>
        <w:t xml:space="preserve">1.1.1.6 </w:t>
      </w:r>
      <w:r>
        <w:rPr>
          <w:rFonts w:ascii="宋体" w:hAnsi="宋体" w:cs="宋体"/>
          <w:color w:val="auto"/>
          <w:spacing w:val="-2"/>
          <w:sz w:val="24"/>
        </w:rPr>
        <w:t>技术规范：指本合同所约定的技术标准和要求，是合同文件的组成部分。</w:t>
      </w:r>
    </w:p>
    <w:p w14:paraId="0538D7AF">
      <w:pPr>
        <w:spacing w:before="117" w:line="264" w:lineRule="auto"/>
        <w:ind w:right="164" w:firstLine="499"/>
        <w:rPr>
          <w:rFonts w:ascii="宋体" w:hAnsi="宋体" w:cs="宋体"/>
          <w:color w:val="auto"/>
          <w:sz w:val="24"/>
        </w:rPr>
      </w:pPr>
      <w:r>
        <w:rPr>
          <w:rFonts w:eastAsia="Times New Roman"/>
          <w:color w:val="auto"/>
          <w:spacing w:val="4"/>
          <w:sz w:val="24"/>
        </w:rPr>
        <w:t>1.1.1.7</w:t>
      </w:r>
      <w:r>
        <w:rPr>
          <w:rFonts w:ascii="宋体" w:hAnsi="宋体" w:cs="宋体"/>
          <w:color w:val="auto"/>
          <w:spacing w:val="4"/>
          <w:sz w:val="24"/>
        </w:rPr>
        <w:t>图纸：指包含在合同中的工程图纸，以及由发包人按合同约定提</w:t>
      </w:r>
      <w:r>
        <w:rPr>
          <w:rFonts w:ascii="宋体" w:hAnsi="宋体" w:cs="宋体"/>
          <w:color w:val="auto"/>
          <w:spacing w:val="3"/>
          <w:sz w:val="24"/>
        </w:rPr>
        <w:t>供的</w:t>
      </w:r>
      <w:r>
        <w:rPr>
          <w:rFonts w:ascii="宋体" w:hAnsi="宋体" w:cs="宋体"/>
          <w:color w:val="auto"/>
          <w:spacing w:val="-1"/>
          <w:sz w:val="24"/>
        </w:rPr>
        <w:t>任何补充和修改的图纸，包括配套的说明。</w:t>
      </w:r>
    </w:p>
    <w:p w14:paraId="450D94DC">
      <w:pPr>
        <w:spacing w:before="113" w:line="264" w:lineRule="auto"/>
        <w:ind w:left="1" w:right="164" w:firstLine="497"/>
        <w:rPr>
          <w:rFonts w:ascii="宋体" w:hAnsi="宋体" w:cs="宋体"/>
          <w:color w:val="auto"/>
          <w:sz w:val="24"/>
        </w:rPr>
      </w:pPr>
      <w:r>
        <w:rPr>
          <w:rFonts w:eastAsia="Times New Roman"/>
          <w:color w:val="auto"/>
          <w:spacing w:val="5"/>
          <w:sz w:val="24"/>
        </w:rPr>
        <w:t xml:space="preserve">1.1.1.8  </w:t>
      </w:r>
      <w:r>
        <w:rPr>
          <w:rFonts w:ascii="宋体" w:hAnsi="宋体" w:cs="宋体"/>
          <w:color w:val="auto"/>
          <w:spacing w:val="5"/>
          <w:sz w:val="24"/>
        </w:rPr>
        <w:t>工程量清单计量规则：指合同约定的计算合同工</w:t>
      </w:r>
      <w:r>
        <w:rPr>
          <w:rFonts w:ascii="宋体" w:hAnsi="宋体" w:cs="宋体"/>
          <w:color w:val="auto"/>
          <w:spacing w:val="4"/>
          <w:sz w:val="24"/>
        </w:rPr>
        <w:t>程量清单子目数量的</w:t>
      </w:r>
      <w:r>
        <w:rPr>
          <w:rFonts w:ascii="宋体" w:hAnsi="宋体" w:cs="宋体"/>
          <w:color w:val="auto"/>
          <w:spacing w:val="-4"/>
          <w:sz w:val="24"/>
        </w:rPr>
        <w:t>规则。</w:t>
      </w:r>
    </w:p>
    <w:p w14:paraId="362DCCEC">
      <w:pPr>
        <w:spacing w:before="115" w:line="278" w:lineRule="auto"/>
        <w:ind w:right="164" w:firstLine="498"/>
        <w:rPr>
          <w:rFonts w:ascii="宋体" w:hAnsi="宋体" w:cs="宋体"/>
          <w:color w:val="auto"/>
          <w:sz w:val="24"/>
        </w:rPr>
      </w:pPr>
      <w:r>
        <w:rPr>
          <w:rFonts w:eastAsia="Times New Roman"/>
          <w:color w:val="auto"/>
          <w:spacing w:val="5"/>
          <w:sz w:val="24"/>
        </w:rPr>
        <w:t xml:space="preserve">1.1.1.9  </w:t>
      </w:r>
      <w:r>
        <w:rPr>
          <w:rFonts w:ascii="宋体" w:hAnsi="宋体" w:cs="宋体"/>
          <w:color w:val="auto"/>
          <w:spacing w:val="5"/>
          <w:sz w:val="24"/>
        </w:rPr>
        <w:t>养护绩效管理规则：指合同约定的衡量承包人完</w:t>
      </w:r>
      <w:r>
        <w:rPr>
          <w:rFonts w:ascii="宋体" w:hAnsi="宋体" w:cs="宋体"/>
          <w:color w:val="auto"/>
          <w:spacing w:val="4"/>
          <w:sz w:val="24"/>
        </w:rPr>
        <w:t>成绩效服务水平的情</w:t>
      </w:r>
      <w:r>
        <w:rPr>
          <w:rFonts w:ascii="宋体" w:hAnsi="宋体" w:cs="宋体"/>
          <w:color w:val="auto"/>
          <w:spacing w:val="1"/>
          <w:sz w:val="24"/>
        </w:rPr>
        <w:t>况并据此支付合同款项的规则，包括养护绩效内容及要求</w:t>
      </w:r>
      <w:r>
        <w:rPr>
          <w:rFonts w:ascii="宋体" w:hAnsi="宋体" w:cs="宋体"/>
          <w:color w:val="auto"/>
          <w:sz w:val="24"/>
        </w:rPr>
        <w:t>、养护绩效考核、资金支</w:t>
      </w:r>
      <w:r>
        <w:rPr>
          <w:rFonts w:ascii="宋体" w:hAnsi="宋体" w:cs="宋体"/>
          <w:color w:val="auto"/>
          <w:spacing w:val="-2"/>
          <w:sz w:val="24"/>
        </w:rPr>
        <w:t>付方法等。</w:t>
      </w:r>
    </w:p>
    <w:p w14:paraId="72214A85">
      <w:pPr>
        <w:spacing w:before="114" w:line="286" w:lineRule="auto"/>
        <w:ind w:right="164" w:firstLine="499"/>
        <w:rPr>
          <w:rFonts w:ascii="宋体" w:hAnsi="宋体" w:cs="宋体"/>
          <w:color w:val="auto"/>
          <w:sz w:val="24"/>
        </w:rPr>
      </w:pPr>
      <w:r>
        <w:rPr>
          <w:rFonts w:eastAsia="Times New Roman"/>
          <w:color w:val="auto"/>
          <w:spacing w:val="1"/>
          <w:sz w:val="24"/>
        </w:rPr>
        <w:t>1.1.1.10</w:t>
      </w:r>
      <w:r>
        <w:rPr>
          <w:rFonts w:ascii="宋体" w:hAnsi="宋体" w:cs="宋体"/>
          <w:color w:val="auto"/>
          <w:spacing w:val="1"/>
          <w:sz w:val="24"/>
        </w:rPr>
        <w:t>已标价工程量清单：指构成合同文件组成</w:t>
      </w:r>
      <w:r>
        <w:rPr>
          <w:rFonts w:ascii="宋体" w:hAnsi="宋体" w:cs="宋体"/>
          <w:color w:val="auto"/>
          <w:sz w:val="24"/>
        </w:rPr>
        <w:t>部分的已标明价格、经算术</w:t>
      </w:r>
      <w:r>
        <w:rPr>
          <w:rFonts w:ascii="宋体" w:hAnsi="宋体" w:cs="宋体"/>
          <w:color w:val="auto"/>
          <w:spacing w:val="1"/>
          <w:sz w:val="24"/>
        </w:rPr>
        <w:t>性错误修正及其他错误修正（如有）且承包人已确认的最终</w:t>
      </w:r>
      <w:r>
        <w:rPr>
          <w:rFonts w:ascii="宋体" w:hAnsi="宋体" w:cs="宋体"/>
          <w:color w:val="auto"/>
          <w:sz w:val="24"/>
        </w:rPr>
        <w:t>的工程量清单，包括工</w:t>
      </w:r>
      <w:r>
        <w:rPr>
          <w:rFonts w:ascii="宋体" w:hAnsi="宋体" w:cs="宋体"/>
          <w:color w:val="auto"/>
          <w:spacing w:val="1"/>
          <w:sz w:val="24"/>
        </w:rPr>
        <w:t>程量清单说明、投标报价说明（如有）、计日工说明、</w:t>
      </w:r>
      <w:r>
        <w:rPr>
          <w:rFonts w:ascii="宋体" w:hAnsi="宋体" w:cs="宋体"/>
          <w:color w:val="auto"/>
          <w:sz w:val="24"/>
        </w:rPr>
        <w:t>其他说明及工程量清单各项</w:t>
      </w:r>
      <w:r>
        <w:rPr>
          <w:rFonts w:ascii="宋体" w:hAnsi="宋体" w:cs="宋体"/>
          <w:color w:val="auto"/>
          <w:spacing w:val="-3"/>
          <w:sz w:val="24"/>
        </w:rPr>
        <w:t>表格。</w:t>
      </w:r>
    </w:p>
    <w:p w14:paraId="2020CD44">
      <w:pPr>
        <w:spacing w:before="111" w:line="286" w:lineRule="auto"/>
        <w:ind w:left="1" w:right="164" w:firstLine="497"/>
        <w:rPr>
          <w:rFonts w:ascii="宋体" w:hAnsi="宋体" w:cs="宋体"/>
          <w:color w:val="auto"/>
          <w:sz w:val="24"/>
        </w:rPr>
      </w:pPr>
      <w:r>
        <w:rPr>
          <w:rFonts w:eastAsia="Times New Roman"/>
          <w:color w:val="auto"/>
          <w:spacing w:val="2"/>
          <w:sz w:val="24"/>
        </w:rPr>
        <w:t xml:space="preserve">1.1.1.11  </w:t>
      </w:r>
      <w:r>
        <w:rPr>
          <w:rFonts w:ascii="宋体" w:hAnsi="宋体" w:cs="宋体"/>
          <w:color w:val="auto"/>
          <w:spacing w:val="2"/>
          <w:sz w:val="24"/>
        </w:rPr>
        <w:t>绩效清单：指构成合同文件组成</w:t>
      </w:r>
      <w:r>
        <w:rPr>
          <w:rFonts w:ascii="宋体" w:hAnsi="宋体" w:cs="宋体"/>
          <w:color w:val="auto"/>
          <w:spacing w:val="1"/>
          <w:sz w:val="24"/>
        </w:rPr>
        <w:t>部分的已标明合同总价，以及合同总价所包括的日常养护、养护工程相应线路路段或设</w:t>
      </w:r>
      <w:r>
        <w:rPr>
          <w:rFonts w:ascii="宋体" w:hAnsi="宋体" w:cs="宋体"/>
          <w:color w:val="auto"/>
          <w:sz w:val="24"/>
        </w:rPr>
        <w:t>施综合报价的清单，包括绩效清</w:t>
      </w:r>
      <w:r>
        <w:rPr>
          <w:rFonts w:ascii="宋体" w:hAnsi="宋体" w:cs="宋体"/>
          <w:color w:val="auto"/>
          <w:spacing w:val="-1"/>
          <w:sz w:val="24"/>
        </w:rPr>
        <w:t>单说明、报价说明及绩效清单表、日常养护绩效清单测算明细、养护工程绩效清单</w:t>
      </w:r>
      <w:r>
        <w:rPr>
          <w:rFonts w:ascii="宋体" w:hAnsi="宋体" w:cs="宋体"/>
          <w:color w:val="auto"/>
          <w:spacing w:val="-7"/>
          <w:sz w:val="24"/>
        </w:rPr>
        <w:t>测算明细（如有）、其他说明文件和表格清单。</w:t>
      </w:r>
    </w:p>
    <w:p w14:paraId="7E51550E">
      <w:pPr>
        <w:spacing w:before="115" w:line="264" w:lineRule="auto"/>
        <w:ind w:left="12" w:right="164" w:firstLine="487"/>
        <w:rPr>
          <w:rFonts w:ascii="宋体" w:hAnsi="宋体" w:cs="宋体"/>
          <w:color w:val="auto"/>
          <w:sz w:val="24"/>
        </w:rPr>
      </w:pPr>
      <w:r>
        <w:rPr>
          <w:rFonts w:eastAsia="Times New Roman"/>
          <w:color w:val="auto"/>
          <w:spacing w:val="8"/>
          <w:sz w:val="24"/>
        </w:rPr>
        <w:t xml:space="preserve">1.1.1.12  </w:t>
      </w:r>
      <w:r>
        <w:rPr>
          <w:rFonts w:ascii="宋体" w:hAnsi="宋体" w:cs="宋体"/>
          <w:color w:val="auto"/>
          <w:spacing w:val="8"/>
          <w:sz w:val="24"/>
        </w:rPr>
        <w:t>其他合同文件：指经合同双方当事人确认构成合同文</w:t>
      </w:r>
      <w:r>
        <w:rPr>
          <w:rFonts w:ascii="宋体" w:hAnsi="宋体" w:cs="宋体"/>
          <w:color w:val="auto"/>
          <w:spacing w:val="7"/>
          <w:sz w:val="24"/>
        </w:rPr>
        <w:t>件的其他文件</w:t>
      </w:r>
      <w:r>
        <w:rPr>
          <w:rFonts w:ascii="宋体" w:hAnsi="宋体" w:cs="宋体"/>
          <w:color w:val="auto"/>
          <w:spacing w:val="-9"/>
          <w:sz w:val="24"/>
        </w:rPr>
        <w:t>（包括合同谈判文件等）。</w:t>
      </w:r>
    </w:p>
    <w:p w14:paraId="3C6BAA05">
      <w:pPr>
        <w:spacing w:before="113" w:line="220" w:lineRule="auto"/>
        <w:ind w:left="499"/>
        <w:rPr>
          <w:rFonts w:ascii="宋体" w:hAnsi="宋体" w:cs="宋体"/>
          <w:color w:val="auto"/>
          <w:sz w:val="24"/>
        </w:rPr>
      </w:pPr>
      <w:r>
        <w:rPr>
          <w:rFonts w:eastAsia="Times New Roman"/>
          <w:color w:val="auto"/>
          <w:spacing w:val="-2"/>
          <w:sz w:val="24"/>
        </w:rPr>
        <w:t xml:space="preserve">1.1.2  </w:t>
      </w:r>
      <w:r>
        <w:rPr>
          <w:rFonts w:ascii="宋体" w:hAnsi="宋体" w:cs="宋体"/>
          <w:color w:val="auto"/>
          <w:spacing w:val="-2"/>
          <w:sz w:val="24"/>
        </w:rPr>
        <w:t>合同当事人和人员</w:t>
      </w:r>
    </w:p>
    <w:p w14:paraId="51E41012">
      <w:pPr>
        <w:spacing w:before="281" w:line="219" w:lineRule="auto"/>
        <w:ind w:left="499"/>
        <w:rPr>
          <w:rFonts w:ascii="宋体" w:hAnsi="宋体" w:cs="宋体"/>
          <w:color w:val="auto"/>
          <w:sz w:val="24"/>
        </w:rPr>
      </w:pPr>
      <w:bookmarkStart w:id="116" w:name="bookmark210"/>
      <w:bookmarkEnd w:id="116"/>
      <w:r>
        <w:rPr>
          <w:rFonts w:eastAsia="Times New Roman"/>
          <w:color w:val="auto"/>
          <w:spacing w:val="-1"/>
          <w:sz w:val="24"/>
        </w:rPr>
        <w:t xml:space="preserve">1.1.2.1  </w:t>
      </w:r>
      <w:r>
        <w:rPr>
          <w:rFonts w:ascii="宋体" w:hAnsi="宋体" w:cs="宋体"/>
          <w:color w:val="auto"/>
          <w:spacing w:val="-1"/>
          <w:sz w:val="24"/>
        </w:rPr>
        <w:t>合同当事人：指发包人和（或）承</w:t>
      </w:r>
      <w:r>
        <w:rPr>
          <w:rFonts w:ascii="宋体" w:hAnsi="宋体" w:cs="宋体"/>
          <w:color w:val="auto"/>
          <w:spacing w:val="-2"/>
          <w:sz w:val="24"/>
        </w:rPr>
        <w:t>包人。</w:t>
      </w:r>
    </w:p>
    <w:p w14:paraId="2880C8D3">
      <w:pPr>
        <w:spacing w:before="116" w:line="263" w:lineRule="auto"/>
        <w:ind w:right="164" w:firstLine="498"/>
        <w:rPr>
          <w:rFonts w:ascii="宋体" w:hAnsi="宋体" w:cs="宋体"/>
          <w:color w:val="auto"/>
          <w:sz w:val="24"/>
        </w:rPr>
      </w:pPr>
      <w:r>
        <w:rPr>
          <w:rFonts w:eastAsia="Times New Roman"/>
          <w:color w:val="auto"/>
          <w:spacing w:val="5"/>
          <w:sz w:val="24"/>
        </w:rPr>
        <w:t xml:space="preserve">1.1.2.2  </w:t>
      </w:r>
      <w:r>
        <w:rPr>
          <w:rFonts w:ascii="宋体" w:hAnsi="宋体" w:cs="宋体"/>
          <w:color w:val="auto"/>
          <w:spacing w:val="5"/>
          <w:sz w:val="24"/>
        </w:rPr>
        <w:t>发包人：指专用合同条款中指明并与承包人在合</w:t>
      </w:r>
      <w:r>
        <w:rPr>
          <w:rFonts w:ascii="宋体" w:hAnsi="宋体" w:cs="宋体"/>
          <w:color w:val="auto"/>
          <w:spacing w:val="4"/>
          <w:sz w:val="24"/>
        </w:rPr>
        <w:t>同协议书中签字的当</w:t>
      </w:r>
      <w:r>
        <w:rPr>
          <w:rFonts w:ascii="宋体" w:hAnsi="宋体" w:cs="宋体"/>
          <w:color w:val="auto"/>
          <w:spacing w:val="-4"/>
          <w:sz w:val="24"/>
        </w:rPr>
        <w:t>事人。</w:t>
      </w:r>
    </w:p>
    <w:p w14:paraId="3AE9BEDF">
      <w:pPr>
        <w:spacing w:before="114" w:line="219" w:lineRule="auto"/>
        <w:ind w:left="499"/>
        <w:rPr>
          <w:rFonts w:ascii="宋体" w:hAnsi="宋体" w:cs="宋体"/>
          <w:color w:val="auto"/>
          <w:sz w:val="24"/>
        </w:rPr>
      </w:pPr>
      <w:r>
        <w:rPr>
          <w:rFonts w:eastAsia="Times New Roman"/>
          <w:color w:val="auto"/>
          <w:spacing w:val="-1"/>
          <w:sz w:val="24"/>
        </w:rPr>
        <w:t xml:space="preserve">1.1.2.3  </w:t>
      </w:r>
      <w:r>
        <w:rPr>
          <w:rFonts w:ascii="宋体" w:hAnsi="宋体" w:cs="宋体"/>
          <w:color w:val="auto"/>
          <w:spacing w:val="-1"/>
          <w:sz w:val="24"/>
        </w:rPr>
        <w:t>承包人：指与发包人签订合同协议书的当事人。</w:t>
      </w:r>
    </w:p>
    <w:p w14:paraId="65CD7E55">
      <w:pPr>
        <w:spacing w:before="117" w:line="264" w:lineRule="auto"/>
        <w:ind w:left="2" w:right="164" w:firstLine="496"/>
        <w:rPr>
          <w:rFonts w:ascii="宋体" w:hAnsi="宋体" w:cs="宋体"/>
          <w:color w:val="auto"/>
          <w:sz w:val="24"/>
        </w:rPr>
      </w:pPr>
      <w:r>
        <w:rPr>
          <w:rFonts w:eastAsia="Times New Roman"/>
          <w:color w:val="auto"/>
          <w:spacing w:val="5"/>
          <w:sz w:val="24"/>
        </w:rPr>
        <w:t xml:space="preserve">1.1.2.4  </w:t>
      </w:r>
      <w:r>
        <w:rPr>
          <w:rFonts w:ascii="宋体" w:hAnsi="宋体" w:cs="宋体"/>
          <w:color w:val="auto"/>
          <w:spacing w:val="5"/>
          <w:sz w:val="24"/>
        </w:rPr>
        <w:t>承包人项目经理：指由承包人书面委派负责管理</w:t>
      </w:r>
      <w:r>
        <w:rPr>
          <w:rFonts w:ascii="宋体" w:hAnsi="宋体" w:cs="宋体"/>
          <w:color w:val="auto"/>
          <w:spacing w:val="4"/>
          <w:sz w:val="24"/>
        </w:rPr>
        <w:t>养护项目的全权负责</w:t>
      </w:r>
      <w:r>
        <w:rPr>
          <w:rFonts w:ascii="宋体" w:hAnsi="宋体" w:cs="宋体"/>
          <w:color w:val="auto"/>
          <w:spacing w:val="-6"/>
          <w:sz w:val="24"/>
        </w:rPr>
        <w:t>人。</w:t>
      </w:r>
    </w:p>
    <w:p w14:paraId="60151356">
      <w:pPr>
        <w:spacing w:before="111" w:line="264" w:lineRule="auto"/>
        <w:ind w:right="164" w:firstLine="499"/>
        <w:rPr>
          <w:rFonts w:ascii="宋体" w:hAnsi="宋体" w:cs="宋体"/>
          <w:color w:val="auto"/>
          <w:sz w:val="24"/>
        </w:rPr>
      </w:pPr>
      <w:r>
        <w:rPr>
          <w:rFonts w:eastAsia="Times New Roman"/>
          <w:color w:val="auto"/>
          <w:spacing w:val="5"/>
          <w:sz w:val="24"/>
        </w:rPr>
        <w:t xml:space="preserve">1.1.2.5  </w:t>
      </w:r>
      <w:r>
        <w:rPr>
          <w:rFonts w:ascii="宋体" w:hAnsi="宋体" w:cs="宋体"/>
          <w:color w:val="auto"/>
          <w:spacing w:val="5"/>
          <w:sz w:val="24"/>
        </w:rPr>
        <w:t>承包人项目总工：指由承包人书面委派负责养护</w:t>
      </w:r>
      <w:r>
        <w:rPr>
          <w:rFonts w:ascii="宋体" w:hAnsi="宋体" w:cs="宋体"/>
          <w:color w:val="auto"/>
          <w:spacing w:val="4"/>
          <w:sz w:val="24"/>
        </w:rPr>
        <w:t>项目技术管理的总工</w:t>
      </w:r>
      <w:r>
        <w:rPr>
          <w:rFonts w:ascii="宋体" w:hAnsi="宋体" w:cs="宋体"/>
          <w:color w:val="auto"/>
          <w:spacing w:val="-1"/>
          <w:sz w:val="24"/>
        </w:rPr>
        <w:t>程师或技术总负责人。</w:t>
      </w:r>
    </w:p>
    <w:p w14:paraId="06974F4B">
      <w:pPr>
        <w:spacing w:before="113" w:line="264" w:lineRule="auto"/>
        <w:ind w:left="24" w:right="164" w:firstLine="475"/>
        <w:rPr>
          <w:rFonts w:ascii="宋体" w:hAnsi="宋体" w:cs="宋体"/>
          <w:color w:val="auto"/>
          <w:sz w:val="24"/>
        </w:rPr>
      </w:pPr>
      <w:r>
        <w:rPr>
          <w:rFonts w:eastAsia="Times New Roman"/>
          <w:color w:val="auto"/>
          <w:spacing w:val="5"/>
          <w:sz w:val="24"/>
        </w:rPr>
        <w:t xml:space="preserve">1.1.2.6  </w:t>
      </w:r>
      <w:r>
        <w:rPr>
          <w:rFonts w:ascii="宋体" w:hAnsi="宋体" w:cs="宋体"/>
          <w:color w:val="auto"/>
          <w:spacing w:val="5"/>
          <w:sz w:val="24"/>
        </w:rPr>
        <w:t>分包人：指从承包人处分包合同中部分养护工程</w:t>
      </w:r>
      <w:r>
        <w:rPr>
          <w:rFonts w:ascii="宋体" w:hAnsi="宋体" w:cs="宋体"/>
          <w:color w:val="auto"/>
          <w:spacing w:val="4"/>
          <w:sz w:val="24"/>
        </w:rPr>
        <w:t>，并与其签订分包合</w:t>
      </w:r>
      <w:r>
        <w:rPr>
          <w:rFonts w:ascii="宋体" w:hAnsi="宋体" w:cs="宋体"/>
          <w:color w:val="auto"/>
          <w:spacing w:val="-4"/>
          <w:sz w:val="24"/>
        </w:rPr>
        <w:t>同的法人或其他组织。</w:t>
      </w:r>
    </w:p>
    <w:p w14:paraId="783982DF">
      <w:pPr>
        <w:spacing w:before="114" w:line="278" w:lineRule="auto"/>
        <w:ind w:left="4" w:right="164" w:firstLine="494"/>
        <w:rPr>
          <w:rFonts w:ascii="宋体" w:hAnsi="宋体" w:cs="宋体"/>
          <w:color w:val="auto"/>
          <w:sz w:val="24"/>
        </w:rPr>
      </w:pPr>
      <w:r>
        <w:rPr>
          <w:rFonts w:eastAsia="Times New Roman"/>
          <w:color w:val="auto"/>
          <w:spacing w:val="1"/>
          <w:sz w:val="24"/>
        </w:rPr>
        <w:t xml:space="preserve">1.1.2.7  </w:t>
      </w:r>
      <w:r>
        <w:rPr>
          <w:rFonts w:ascii="宋体" w:hAnsi="宋体" w:cs="宋体"/>
          <w:color w:val="auto"/>
          <w:spacing w:val="1"/>
          <w:sz w:val="24"/>
        </w:rPr>
        <w:t>咨询人（监理人</w:t>
      </w:r>
      <w:r>
        <w:rPr>
          <w:rFonts w:ascii="宋体" w:hAnsi="宋体" w:cs="宋体"/>
          <w:color w:val="auto"/>
          <w:spacing w:val="-47"/>
          <w:sz w:val="24"/>
        </w:rPr>
        <w:t>）：</w:t>
      </w:r>
      <w:r>
        <w:rPr>
          <w:rFonts w:ascii="宋体" w:hAnsi="宋体" w:cs="宋体"/>
          <w:color w:val="auto"/>
          <w:spacing w:val="1"/>
          <w:sz w:val="24"/>
        </w:rPr>
        <w:t>指在专用合同条款中指明的，受发包人委托对合同</w:t>
      </w:r>
      <w:r>
        <w:rPr>
          <w:rFonts w:ascii="宋体" w:hAnsi="宋体" w:cs="宋体"/>
          <w:color w:val="auto"/>
          <w:spacing w:val="7"/>
          <w:sz w:val="24"/>
        </w:rPr>
        <w:t>履行实施管理的法人或其他组织。未委托咨询人（监理人）的，本合同中咨询人</w:t>
      </w:r>
      <w:r>
        <w:rPr>
          <w:rFonts w:ascii="宋体" w:hAnsi="宋体" w:cs="宋体"/>
          <w:color w:val="auto"/>
          <w:spacing w:val="-1"/>
          <w:sz w:val="24"/>
        </w:rPr>
        <w:t>（监理人）职责由发包人指定的管理机构或人员履行。</w:t>
      </w:r>
    </w:p>
    <w:p w14:paraId="1CCAEC6F">
      <w:pPr>
        <w:spacing w:before="116" w:line="263" w:lineRule="auto"/>
        <w:ind w:left="1" w:right="166" w:firstLine="497"/>
        <w:rPr>
          <w:rFonts w:ascii="宋体" w:hAnsi="宋体" w:cs="宋体"/>
          <w:color w:val="auto"/>
          <w:sz w:val="24"/>
        </w:rPr>
      </w:pPr>
      <w:r>
        <w:rPr>
          <w:rFonts w:eastAsia="Times New Roman"/>
          <w:color w:val="auto"/>
          <w:spacing w:val="1"/>
          <w:sz w:val="24"/>
        </w:rPr>
        <w:t xml:space="preserve">1.1.2.8  </w:t>
      </w:r>
      <w:r>
        <w:rPr>
          <w:rFonts w:ascii="宋体" w:hAnsi="宋体" w:cs="宋体"/>
          <w:color w:val="auto"/>
          <w:spacing w:val="1"/>
          <w:sz w:val="24"/>
        </w:rPr>
        <w:t>咨询总负责人（总监理工程师</w:t>
      </w:r>
      <w:r>
        <w:rPr>
          <w:rFonts w:ascii="宋体" w:hAnsi="宋体" w:cs="宋体"/>
          <w:color w:val="auto"/>
          <w:spacing w:val="-47"/>
          <w:sz w:val="24"/>
        </w:rPr>
        <w:t>）：</w:t>
      </w:r>
      <w:r>
        <w:rPr>
          <w:rFonts w:ascii="宋体" w:hAnsi="宋体" w:cs="宋体"/>
          <w:color w:val="auto"/>
          <w:spacing w:val="1"/>
          <w:sz w:val="24"/>
        </w:rPr>
        <w:t>指由咨询人（监理人）委派的负责对</w:t>
      </w:r>
      <w:r>
        <w:rPr>
          <w:rFonts w:ascii="宋体" w:hAnsi="宋体" w:cs="宋体"/>
          <w:color w:val="auto"/>
          <w:spacing w:val="-1"/>
          <w:sz w:val="24"/>
        </w:rPr>
        <w:t>合同履行实施管理的全权负责人。</w:t>
      </w:r>
    </w:p>
    <w:p w14:paraId="655C93BF">
      <w:pPr>
        <w:spacing w:before="117" w:line="219" w:lineRule="auto"/>
        <w:ind w:left="499"/>
        <w:rPr>
          <w:rFonts w:ascii="宋体" w:hAnsi="宋体" w:cs="宋体"/>
          <w:color w:val="auto"/>
          <w:sz w:val="24"/>
        </w:rPr>
      </w:pPr>
      <w:r>
        <w:rPr>
          <w:rFonts w:eastAsia="Times New Roman"/>
          <w:color w:val="auto"/>
          <w:spacing w:val="-2"/>
          <w:sz w:val="24"/>
        </w:rPr>
        <w:t xml:space="preserve">1.1.3  </w:t>
      </w:r>
      <w:r>
        <w:rPr>
          <w:rFonts w:ascii="宋体" w:hAnsi="宋体" w:cs="宋体"/>
          <w:color w:val="auto"/>
          <w:spacing w:val="-2"/>
          <w:sz w:val="24"/>
        </w:rPr>
        <w:t>养护项目、养护工程和设备</w:t>
      </w:r>
    </w:p>
    <w:p w14:paraId="2BF6C399">
      <w:pPr>
        <w:spacing w:before="115" w:line="278" w:lineRule="auto"/>
        <w:ind w:left="3" w:firstLine="495"/>
        <w:rPr>
          <w:rFonts w:ascii="宋体" w:hAnsi="宋体" w:cs="宋体"/>
          <w:color w:val="auto"/>
          <w:sz w:val="24"/>
        </w:rPr>
      </w:pPr>
      <w:r>
        <w:rPr>
          <w:rFonts w:eastAsia="Times New Roman"/>
          <w:color w:val="auto"/>
          <w:sz w:val="24"/>
        </w:rPr>
        <w:t xml:space="preserve">1.1.3.1  </w:t>
      </w:r>
      <w:r>
        <w:rPr>
          <w:rFonts w:ascii="宋体" w:hAnsi="宋体" w:cs="宋体"/>
          <w:color w:val="auto"/>
          <w:sz w:val="24"/>
        </w:rPr>
        <w:t>养护项目：指单独或组合发包的日常养护、养护工程项目等养护作业，</w:t>
      </w:r>
      <w:r>
        <w:rPr>
          <w:rFonts w:ascii="宋体" w:hAnsi="宋体" w:cs="宋体"/>
          <w:color w:val="auto"/>
          <w:spacing w:val="-3"/>
          <w:sz w:val="24"/>
        </w:rPr>
        <w:t>或采用长年限方式实施的检测评定、设计、日常养护和养护工程等组合发包的项目。</w:t>
      </w:r>
      <w:r>
        <w:rPr>
          <w:rFonts w:ascii="宋体" w:hAnsi="宋体" w:cs="宋体"/>
          <w:color w:val="auto"/>
          <w:spacing w:val="-1"/>
          <w:sz w:val="24"/>
        </w:rPr>
        <w:t>具体工作内容在专用合同条款中约定。</w:t>
      </w:r>
    </w:p>
    <w:p w14:paraId="03BFFD6A">
      <w:pPr>
        <w:spacing w:before="116" w:line="263" w:lineRule="auto"/>
        <w:ind w:left="1" w:right="164" w:firstLine="497"/>
        <w:rPr>
          <w:rFonts w:ascii="宋体" w:hAnsi="宋体" w:cs="宋体"/>
          <w:color w:val="auto"/>
          <w:sz w:val="24"/>
        </w:rPr>
      </w:pPr>
      <w:r>
        <w:rPr>
          <w:rFonts w:eastAsia="Times New Roman"/>
          <w:color w:val="auto"/>
          <w:spacing w:val="5"/>
          <w:sz w:val="24"/>
        </w:rPr>
        <w:t xml:space="preserve">1.1.3.2  </w:t>
      </w:r>
      <w:r>
        <w:rPr>
          <w:rFonts w:ascii="宋体" w:hAnsi="宋体" w:cs="宋体"/>
          <w:color w:val="auto"/>
          <w:spacing w:val="5"/>
          <w:sz w:val="24"/>
        </w:rPr>
        <w:t>养护工程：指按合同约定施工并验收的预防养护</w:t>
      </w:r>
      <w:r>
        <w:rPr>
          <w:rFonts w:ascii="宋体" w:hAnsi="宋体" w:cs="宋体"/>
          <w:color w:val="auto"/>
          <w:spacing w:val="4"/>
          <w:sz w:val="24"/>
        </w:rPr>
        <w:t>、修复养护、专项养</w:t>
      </w:r>
      <w:r>
        <w:rPr>
          <w:rFonts w:ascii="宋体" w:hAnsi="宋体" w:cs="宋体"/>
          <w:color w:val="auto"/>
          <w:sz w:val="24"/>
        </w:rPr>
        <w:t>护、应急养护工程，包括工程设备。具体工作内</w:t>
      </w:r>
      <w:r>
        <w:rPr>
          <w:rFonts w:ascii="宋体" w:hAnsi="宋体" w:cs="宋体"/>
          <w:color w:val="auto"/>
          <w:spacing w:val="-1"/>
          <w:sz w:val="24"/>
        </w:rPr>
        <w:t>容在专用合同条款中约定。</w:t>
      </w:r>
    </w:p>
    <w:p w14:paraId="74F7921E">
      <w:pPr>
        <w:spacing w:before="115" w:line="264" w:lineRule="auto"/>
        <w:ind w:left="5" w:right="204" w:firstLine="493"/>
        <w:rPr>
          <w:rFonts w:ascii="宋体" w:hAnsi="宋体" w:cs="宋体"/>
          <w:color w:val="auto"/>
          <w:sz w:val="24"/>
        </w:rPr>
      </w:pPr>
      <w:r>
        <w:rPr>
          <w:rFonts w:eastAsia="Times New Roman"/>
          <w:color w:val="auto"/>
          <w:spacing w:val="2"/>
          <w:sz w:val="24"/>
        </w:rPr>
        <w:t>1.1.3.3</w:t>
      </w:r>
      <w:r>
        <w:rPr>
          <w:rFonts w:ascii="宋体" w:hAnsi="宋体" w:cs="宋体"/>
          <w:color w:val="auto"/>
          <w:spacing w:val="2"/>
          <w:sz w:val="24"/>
        </w:rPr>
        <w:t>日常养护：指养护工程以外的养护作业，包括日常保养和日常维修。</w:t>
      </w:r>
      <w:r>
        <w:rPr>
          <w:rFonts w:ascii="宋体" w:hAnsi="宋体" w:cs="宋体"/>
          <w:color w:val="auto"/>
          <w:spacing w:val="-1"/>
          <w:sz w:val="24"/>
        </w:rPr>
        <w:t>具体工作内容在专用合同条款中约定。</w:t>
      </w:r>
    </w:p>
    <w:p w14:paraId="44B8AE96">
      <w:pPr>
        <w:spacing w:before="113" w:line="264" w:lineRule="auto"/>
        <w:ind w:left="4" w:right="223" w:firstLine="494"/>
        <w:rPr>
          <w:rFonts w:ascii="宋体" w:hAnsi="宋体" w:cs="宋体"/>
          <w:color w:val="auto"/>
          <w:sz w:val="24"/>
        </w:rPr>
      </w:pPr>
      <w:r>
        <w:rPr>
          <w:rFonts w:eastAsia="Times New Roman"/>
          <w:color w:val="auto"/>
          <w:spacing w:val="3"/>
          <w:sz w:val="24"/>
        </w:rPr>
        <w:t xml:space="preserve">1.1.3.4  </w:t>
      </w:r>
      <w:r>
        <w:rPr>
          <w:rFonts w:ascii="宋体" w:hAnsi="宋体" w:cs="宋体"/>
          <w:color w:val="auto"/>
          <w:spacing w:val="3"/>
          <w:sz w:val="24"/>
        </w:rPr>
        <w:t>临时工程：指为完成指定实施的养护工程所修建的各类临时性工程，</w:t>
      </w:r>
      <w:r>
        <w:rPr>
          <w:rFonts w:ascii="宋体" w:hAnsi="宋体" w:cs="宋体"/>
          <w:color w:val="auto"/>
          <w:spacing w:val="-2"/>
          <w:sz w:val="24"/>
        </w:rPr>
        <w:t>不包括养护作业设备。</w:t>
      </w:r>
    </w:p>
    <w:p w14:paraId="1D53389C">
      <w:pPr>
        <w:spacing w:before="116" w:line="219" w:lineRule="auto"/>
        <w:ind w:left="499"/>
        <w:rPr>
          <w:rFonts w:ascii="宋体" w:hAnsi="宋体" w:cs="宋体"/>
          <w:color w:val="auto"/>
          <w:sz w:val="24"/>
        </w:rPr>
      </w:pPr>
      <w:r>
        <w:rPr>
          <w:rFonts w:eastAsia="Times New Roman"/>
          <w:color w:val="auto"/>
          <w:spacing w:val="-1"/>
          <w:sz w:val="24"/>
        </w:rPr>
        <w:t xml:space="preserve">1.1.3.5  </w:t>
      </w:r>
      <w:r>
        <w:rPr>
          <w:rFonts w:ascii="宋体" w:hAnsi="宋体" w:cs="宋体"/>
          <w:color w:val="auto"/>
          <w:spacing w:val="-1"/>
          <w:sz w:val="24"/>
        </w:rPr>
        <w:t>单位养护工程：指具备独立结构功能和施工组织条件的养护工程。</w:t>
      </w:r>
    </w:p>
    <w:p w14:paraId="68284AEE">
      <w:pPr>
        <w:spacing w:before="114" w:line="263" w:lineRule="auto"/>
        <w:ind w:right="164" w:firstLine="499"/>
        <w:rPr>
          <w:rFonts w:ascii="宋体" w:hAnsi="宋体" w:cs="宋体"/>
          <w:color w:val="auto"/>
          <w:sz w:val="24"/>
        </w:rPr>
      </w:pPr>
      <w:r>
        <w:rPr>
          <w:rFonts w:eastAsia="Times New Roman"/>
          <w:color w:val="auto"/>
          <w:spacing w:val="5"/>
          <w:sz w:val="24"/>
        </w:rPr>
        <w:t xml:space="preserve">1.1.3.6  </w:t>
      </w:r>
      <w:r>
        <w:rPr>
          <w:rFonts w:ascii="宋体" w:hAnsi="宋体" w:cs="宋体"/>
          <w:color w:val="auto"/>
          <w:spacing w:val="5"/>
          <w:sz w:val="24"/>
        </w:rPr>
        <w:t>养护单元：指根据养护工程性质和设施特点，结</w:t>
      </w:r>
      <w:r>
        <w:rPr>
          <w:rFonts w:ascii="宋体" w:hAnsi="宋体" w:cs="宋体"/>
          <w:color w:val="auto"/>
          <w:spacing w:val="4"/>
          <w:sz w:val="24"/>
        </w:rPr>
        <w:t>合养护施工方法、工</w:t>
      </w:r>
      <w:r>
        <w:rPr>
          <w:rFonts w:ascii="宋体" w:hAnsi="宋体" w:cs="宋体"/>
          <w:color w:val="auto"/>
          <w:spacing w:val="-1"/>
          <w:sz w:val="24"/>
        </w:rPr>
        <w:t>序及规模等划分的养护工程基本评定单位。</w:t>
      </w:r>
    </w:p>
    <w:p w14:paraId="14568AD8">
      <w:pPr>
        <w:spacing w:before="117" w:line="263" w:lineRule="auto"/>
        <w:ind w:left="4" w:right="164" w:firstLine="494"/>
        <w:rPr>
          <w:rFonts w:ascii="宋体" w:hAnsi="宋体" w:cs="宋体"/>
          <w:color w:val="auto"/>
          <w:sz w:val="24"/>
        </w:rPr>
      </w:pPr>
      <w:r>
        <w:rPr>
          <w:rFonts w:eastAsia="Times New Roman"/>
          <w:color w:val="auto"/>
          <w:spacing w:val="5"/>
          <w:sz w:val="24"/>
        </w:rPr>
        <w:t xml:space="preserve">1.1.3.7  </w:t>
      </w:r>
      <w:r>
        <w:rPr>
          <w:rFonts w:ascii="宋体" w:hAnsi="宋体" w:cs="宋体"/>
          <w:color w:val="auto"/>
          <w:spacing w:val="5"/>
          <w:sz w:val="24"/>
        </w:rPr>
        <w:t>工程设备：指构成或计划构成养护工程一部分的</w:t>
      </w:r>
      <w:r>
        <w:rPr>
          <w:rFonts w:ascii="宋体" w:hAnsi="宋体" w:cs="宋体"/>
          <w:color w:val="auto"/>
          <w:spacing w:val="4"/>
          <w:sz w:val="24"/>
        </w:rPr>
        <w:t>机电设备、金属结构</w:t>
      </w:r>
      <w:r>
        <w:rPr>
          <w:rFonts w:ascii="宋体" w:hAnsi="宋体" w:cs="宋体"/>
          <w:color w:val="auto"/>
          <w:spacing w:val="-1"/>
          <w:sz w:val="24"/>
        </w:rPr>
        <w:t>设备、仪器装置及其他类似的设备和装置。</w:t>
      </w:r>
    </w:p>
    <w:p w14:paraId="58FA2F80">
      <w:pPr>
        <w:spacing w:before="117" w:line="263" w:lineRule="auto"/>
        <w:ind w:right="164" w:firstLine="498"/>
        <w:rPr>
          <w:rFonts w:ascii="宋体" w:hAnsi="宋体" w:cs="宋体"/>
          <w:color w:val="auto"/>
          <w:sz w:val="24"/>
        </w:rPr>
      </w:pPr>
      <w:r>
        <w:rPr>
          <w:rFonts w:eastAsia="Times New Roman"/>
          <w:color w:val="auto"/>
          <w:spacing w:val="5"/>
          <w:sz w:val="24"/>
        </w:rPr>
        <w:t xml:space="preserve">1.1.3.8  </w:t>
      </w:r>
      <w:r>
        <w:rPr>
          <w:rFonts w:ascii="宋体" w:hAnsi="宋体" w:cs="宋体"/>
          <w:color w:val="auto"/>
          <w:spacing w:val="5"/>
          <w:sz w:val="24"/>
        </w:rPr>
        <w:t>养护作业设备：指为完成合同约定的各项工作所</w:t>
      </w:r>
      <w:r>
        <w:rPr>
          <w:rFonts w:ascii="宋体" w:hAnsi="宋体" w:cs="宋体"/>
          <w:color w:val="auto"/>
          <w:spacing w:val="4"/>
          <w:sz w:val="24"/>
        </w:rPr>
        <w:t>需的设备、器具和其</w:t>
      </w:r>
      <w:r>
        <w:rPr>
          <w:rFonts w:ascii="宋体" w:hAnsi="宋体" w:cs="宋体"/>
          <w:color w:val="auto"/>
          <w:spacing w:val="-1"/>
          <w:sz w:val="24"/>
        </w:rPr>
        <w:t>他物品，不包括临时工程和材料。</w:t>
      </w:r>
    </w:p>
    <w:p w14:paraId="6588E159">
      <w:pPr>
        <w:spacing w:before="113" w:line="265" w:lineRule="auto"/>
        <w:ind w:left="4" w:right="164" w:firstLine="494"/>
        <w:rPr>
          <w:rFonts w:ascii="宋体" w:hAnsi="宋体" w:cs="宋体"/>
          <w:color w:val="auto"/>
          <w:sz w:val="24"/>
        </w:rPr>
      </w:pPr>
      <w:r>
        <w:rPr>
          <w:rFonts w:eastAsia="Times New Roman"/>
          <w:color w:val="auto"/>
          <w:spacing w:val="5"/>
          <w:sz w:val="24"/>
        </w:rPr>
        <w:t xml:space="preserve">1.1.3.9  </w:t>
      </w:r>
      <w:r>
        <w:rPr>
          <w:rFonts w:ascii="宋体" w:hAnsi="宋体" w:cs="宋体"/>
          <w:color w:val="auto"/>
          <w:spacing w:val="5"/>
          <w:sz w:val="24"/>
        </w:rPr>
        <w:t>临时设施：指为完成合同约定的各项工作所服务</w:t>
      </w:r>
      <w:r>
        <w:rPr>
          <w:rFonts w:ascii="宋体" w:hAnsi="宋体" w:cs="宋体"/>
          <w:color w:val="auto"/>
          <w:spacing w:val="4"/>
          <w:sz w:val="24"/>
        </w:rPr>
        <w:t>的临时性生产和生活</w:t>
      </w:r>
      <w:r>
        <w:rPr>
          <w:rFonts w:ascii="宋体" w:hAnsi="宋体" w:cs="宋体"/>
          <w:color w:val="auto"/>
          <w:spacing w:val="-5"/>
          <w:sz w:val="24"/>
        </w:rPr>
        <w:t>设施。</w:t>
      </w:r>
    </w:p>
    <w:p w14:paraId="72689CFB">
      <w:pPr>
        <w:spacing w:before="281" w:line="219" w:lineRule="auto"/>
        <w:ind w:left="499"/>
        <w:rPr>
          <w:rFonts w:ascii="宋体" w:hAnsi="宋体" w:cs="宋体"/>
          <w:color w:val="auto"/>
          <w:sz w:val="24"/>
        </w:rPr>
      </w:pPr>
      <w:r>
        <w:rPr>
          <w:rFonts w:eastAsia="Times New Roman"/>
          <w:color w:val="auto"/>
          <w:spacing w:val="-1"/>
          <w:sz w:val="24"/>
        </w:rPr>
        <w:t xml:space="preserve">1.1.3.10  </w:t>
      </w:r>
      <w:r>
        <w:rPr>
          <w:rFonts w:ascii="宋体" w:hAnsi="宋体" w:cs="宋体"/>
          <w:color w:val="auto"/>
          <w:spacing w:val="-1"/>
          <w:sz w:val="24"/>
        </w:rPr>
        <w:t>承包人设备：指承包人自带的养护作业设备。</w:t>
      </w:r>
    </w:p>
    <w:p w14:paraId="29A24ECD">
      <w:pPr>
        <w:spacing w:before="115" w:line="263" w:lineRule="auto"/>
        <w:ind w:firstLine="499"/>
        <w:rPr>
          <w:rFonts w:ascii="宋体" w:hAnsi="宋体" w:cs="宋体"/>
          <w:color w:val="auto"/>
          <w:sz w:val="24"/>
        </w:rPr>
      </w:pPr>
      <w:r>
        <w:rPr>
          <w:rFonts w:eastAsia="Times New Roman"/>
          <w:color w:val="auto"/>
          <w:spacing w:val="4"/>
          <w:sz w:val="24"/>
        </w:rPr>
        <w:t xml:space="preserve">1.1.3.11  </w:t>
      </w:r>
      <w:r>
        <w:rPr>
          <w:rFonts w:ascii="宋体" w:hAnsi="宋体" w:cs="宋体"/>
          <w:color w:val="auto"/>
          <w:spacing w:val="4"/>
          <w:sz w:val="24"/>
        </w:rPr>
        <w:t>养护作业场地（或称工地、现场</w:t>
      </w:r>
      <w:r>
        <w:rPr>
          <w:rFonts w:ascii="宋体" w:hAnsi="宋体" w:cs="宋体"/>
          <w:color w:val="auto"/>
          <w:spacing w:val="-42"/>
          <w:sz w:val="24"/>
        </w:rPr>
        <w:t>）：</w:t>
      </w:r>
      <w:r>
        <w:rPr>
          <w:rFonts w:ascii="宋体" w:hAnsi="宋体" w:cs="宋体"/>
          <w:color w:val="auto"/>
          <w:spacing w:val="4"/>
          <w:sz w:val="24"/>
        </w:rPr>
        <w:t>指用于实施养护作业的场所</w:t>
      </w:r>
      <w:r>
        <w:rPr>
          <w:rFonts w:ascii="宋体" w:hAnsi="宋体" w:cs="宋体"/>
          <w:color w:val="auto"/>
          <w:spacing w:val="3"/>
          <w:sz w:val="24"/>
        </w:rPr>
        <w:t>，以</w:t>
      </w:r>
      <w:r>
        <w:rPr>
          <w:rFonts w:ascii="宋体" w:hAnsi="宋体" w:cs="宋体"/>
          <w:color w:val="auto"/>
          <w:sz w:val="24"/>
        </w:rPr>
        <w:t>及在合同中指定作为养护作业场地组成部分的其他</w:t>
      </w:r>
      <w:r>
        <w:rPr>
          <w:rFonts w:ascii="宋体" w:hAnsi="宋体" w:cs="宋体"/>
          <w:color w:val="auto"/>
          <w:spacing w:val="-1"/>
          <w:sz w:val="24"/>
        </w:rPr>
        <w:t>场所，包括临时占地。</w:t>
      </w:r>
    </w:p>
    <w:p w14:paraId="4183EBE3">
      <w:pPr>
        <w:spacing w:before="115" w:line="278" w:lineRule="auto"/>
        <w:ind w:left="1" w:right="2" w:firstLine="497"/>
        <w:rPr>
          <w:rFonts w:ascii="宋体" w:hAnsi="宋体" w:cs="宋体"/>
          <w:color w:val="auto"/>
          <w:sz w:val="24"/>
        </w:rPr>
      </w:pPr>
      <w:r>
        <w:rPr>
          <w:rFonts w:eastAsia="Times New Roman"/>
          <w:color w:val="auto"/>
          <w:spacing w:val="2"/>
          <w:sz w:val="24"/>
        </w:rPr>
        <w:t xml:space="preserve">1.1.3.12  </w:t>
      </w:r>
      <w:r>
        <w:rPr>
          <w:rFonts w:ascii="宋体" w:hAnsi="宋体" w:cs="宋体"/>
          <w:color w:val="auto"/>
          <w:spacing w:val="2"/>
          <w:sz w:val="24"/>
        </w:rPr>
        <w:t>临时占地：指为实施养护作业而</w:t>
      </w:r>
      <w:r>
        <w:rPr>
          <w:rFonts w:ascii="宋体" w:hAnsi="宋体" w:cs="宋体"/>
          <w:color w:val="auto"/>
          <w:spacing w:val="1"/>
          <w:sz w:val="24"/>
        </w:rPr>
        <w:t>需要的一切临时占用的土地，包括养护作业所用的临时支线、便道、便桥和现场的临时</w:t>
      </w:r>
      <w:r>
        <w:rPr>
          <w:rFonts w:ascii="宋体" w:hAnsi="宋体" w:cs="宋体"/>
          <w:color w:val="auto"/>
          <w:sz w:val="24"/>
        </w:rPr>
        <w:t>出入通道，以及生产（办公）、</w:t>
      </w:r>
      <w:r>
        <w:rPr>
          <w:rFonts w:ascii="宋体" w:hAnsi="宋体" w:cs="宋体"/>
          <w:color w:val="auto"/>
          <w:spacing w:val="-1"/>
          <w:sz w:val="24"/>
        </w:rPr>
        <w:t>生活等临时设施用地等。</w:t>
      </w:r>
    </w:p>
    <w:p w14:paraId="140B0021">
      <w:pPr>
        <w:spacing w:before="115" w:line="220" w:lineRule="auto"/>
        <w:ind w:left="499"/>
        <w:rPr>
          <w:rFonts w:ascii="宋体" w:hAnsi="宋体" w:cs="宋体"/>
          <w:color w:val="auto"/>
          <w:sz w:val="24"/>
        </w:rPr>
      </w:pPr>
      <w:r>
        <w:rPr>
          <w:rFonts w:eastAsia="Times New Roman"/>
          <w:color w:val="auto"/>
          <w:spacing w:val="-9"/>
          <w:sz w:val="24"/>
        </w:rPr>
        <w:t xml:space="preserve">1.1.4   </w:t>
      </w:r>
      <w:r>
        <w:rPr>
          <w:rFonts w:ascii="宋体" w:hAnsi="宋体" w:cs="宋体"/>
          <w:color w:val="auto"/>
          <w:spacing w:val="-9"/>
          <w:sz w:val="24"/>
        </w:rPr>
        <w:t>日期</w:t>
      </w:r>
    </w:p>
    <w:p w14:paraId="1829F9E2">
      <w:pPr>
        <w:spacing w:before="115" w:line="219" w:lineRule="auto"/>
        <w:ind w:left="499"/>
        <w:rPr>
          <w:rFonts w:ascii="宋体" w:hAnsi="宋体" w:cs="宋体"/>
          <w:color w:val="auto"/>
          <w:sz w:val="24"/>
        </w:rPr>
      </w:pPr>
      <w:r>
        <w:rPr>
          <w:rFonts w:eastAsia="Times New Roman"/>
          <w:color w:val="auto"/>
          <w:spacing w:val="-2"/>
          <w:sz w:val="24"/>
        </w:rPr>
        <w:t xml:space="preserve">1.1.4.1  </w:t>
      </w:r>
      <w:r>
        <w:rPr>
          <w:rFonts w:ascii="宋体" w:hAnsi="宋体" w:cs="宋体"/>
          <w:color w:val="auto"/>
          <w:spacing w:val="-2"/>
          <w:sz w:val="24"/>
        </w:rPr>
        <w:t>开工通知：指咨询人按第</w:t>
      </w:r>
      <w:r>
        <w:rPr>
          <w:rFonts w:eastAsia="Times New Roman"/>
          <w:color w:val="auto"/>
          <w:spacing w:val="-2"/>
          <w:sz w:val="24"/>
        </w:rPr>
        <w:t xml:space="preserve">11.1 </w:t>
      </w:r>
      <w:r>
        <w:rPr>
          <w:rFonts w:ascii="宋体" w:hAnsi="宋体" w:cs="宋体"/>
          <w:color w:val="auto"/>
          <w:spacing w:val="-2"/>
          <w:sz w:val="24"/>
        </w:rPr>
        <w:t>款通知承包人开工的函件。</w:t>
      </w:r>
    </w:p>
    <w:p w14:paraId="2C3BD196">
      <w:pPr>
        <w:spacing w:before="114" w:line="219" w:lineRule="auto"/>
        <w:ind w:left="499"/>
        <w:rPr>
          <w:rFonts w:ascii="宋体" w:hAnsi="宋体" w:cs="宋体"/>
          <w:color w:val="auto"/>
          <w:sz w:val="24"/>
        </w:rPr>
      </w:pPr>
      <w:r>
        <w:rPr>
          <w:rFonts w:eastAsia="Times New Roman"/>
          <w:color w:val="auto"/>
          <w:spacing w:val="-2"/>
          <w:sz w:val="24"/>
        </w:rPr>
        <w:t xml:space="preserve">1.1.4.2  </w:t>
      </w:r>
      <w:r>
        <w:rPr>
          <w:rFonts w:ascii="宋体" w:hAnsi="宋体" w:cs="宋体"/>
          <w:color w:val="auto"/>
          <w:spacing w:val="-2"/>
          <w:sz w:val="24"/>
        </w:rPr>
        <w:t>开工日期：指咨询人按第</w:t>
      </w:r>
      <w:r>
        <w:rPr>
          <w:rFonts w:eastAsia="Times New Roman"/>
          <w:color w:val="auto"/>
          <w:spacing w:val="-2"/>
          <w:sz w:val="24"/>
        </w:rPr>
        <w:t xml:space="preserve">11.1 </w:t>
      </w:r>
      <w:r>
        <w:rPr>
          <w:rFonts w:ascii="宋体" w:hAnsi="宋体" w:cs="宋体"/>
          <w:color w:val="auto"/>
          <w:spacing w:val="-2"/>
          <w:sz w:val="24"/>
        </w:rPr>
        <w:t>款发出的开工通知中写明的开工日期。</w:t>
      </w:r>
    </w:p>
    <w:p w14:paraId="611976B4">
      <w:pPr>
        <w:spacing w:before="115" w:line="264" w:lineRule="auto"/>
        <w:ind w:left="19" w:right="2" w:firstLine="480"/>
        <w:rPr>
          <w:rFonts w:ascii="宋体" w:hAnsi="宋体" w:cs="宋体"/>
          <w:color w:val="auto"/>
          <w:sz w:val="24"/>
        </w:rPr>
      </w:pPr>
      <w:r>
        <w:rPr>
          <w:rFonts w:eastAsia="Times New Roman"/>
          <w:color w:val="auto"/>
          <w:spacing w:val="9"/>
          <w:sz w:val="24"/>
        </w:rPr>
        <w:t xml:space="preserve">1.1.4.3  </w:t>
      </w:r>
      <w:r>
        <w:rPr>
          <w:rFonts w:ascii="宋体" w:hAnsi="宋体" w:cs="宋体"/>
          <w:color w:val="auto"/>
          <w:spacing w:val="9"/>
          <w:sz w:val="24"/>
        </w:rPr>
        <w:t>工期：指承包人按照合同约定完成养护项目所需的期限，包括按第</w:t>
      </w:r>
      <w:r>
        <w:rPr>
          <w:rFonts w:eastAsia="Times New Roman"/>
          <w:color w:val="auto"/>
          <w:spacing w:val="-2"/>
          <w:sz w:val="24"/>
        </w:rPr>
        <w:t xml:space="preserve">11.3 </w:t>
      </w:r>
      <w:r>
        <w:rPr>
          <w:rFonts w:ascii="宋体" w:hAnsi="宋体" w:cs="宋体"/>
          <w:color w:val="auto"/>
          <w:spacing w:val="-2"/>
          <w:sz w:val="24"/>
        </w:rPr>
        <w:t>款和第</w:t>
      </w:r>
      <w:r>
        <w:rPr>
          <w:rFonts w:eastAsia="Times New Roman"/>
          <w:color w:val="auto"/>
          <w:spacing w:val="-2"/>
          <w:sz w:val="24"/>
        </w:rPr>
        <w:t xml:space="preserve">11.4 </w:t>
      </w:r>
      <w:r>
        <w:rPr>
          <w:rFonts w:ascii="宋体" w:hAnsi="宋体" w:cs="宋体"/>
          <w:color w:val="auto"/>
          <w:spacing w:val="-2"/>
          <w:sz w:val="24"/>
        </w:rPr>
        <w:t>款约定所作的变更。具体内容在专用合同条款中</w:t>
      </w:r>
      <w:r>
        <w:rPr>
          <w:rFonts w:ascii="宋体" w:hAnsi="宋体" w:cs="宋体"/>
          <w:color w:val="auto"/>
          <w:spacing w:val="-3"/>
          <w:sz w:val="24"/>
        </w:rPr>
        <w:t>约定。</w:t>
      </w:r>
    </w:p>
    <w:p w14:paraId="5F050F73">
      <w:pPr>
        <w:spacing w:before="114" w:line="263" w:lineRule="auto"/>
        <w:ind w:left="3" w:right="2" w:firstLine="495"/>
        <w:rPr>
          <w:rFonts w:ascii="宋体" w:hAnsi="宋体" w:cs="宋体"/>
          <w:color w:val="auto"/>
          <w:sz w:val="24"/>
        </w:rPr>
      </w:pPr>
      <w:r>
        <w:rPr>
          <w:rFonts w:eastAsia="Times New Roman"/>
          <w:color w:val="auto"/>
          <w:spacing w:val="1"/>
          <w:sz w:val="24"/>
        </w:rPr>
        <w:t xml:space="preserve">1.1.4.4  </w:t>
      </w:r>
      <w:r>
        <w:rPr>
          <w:rFonts w:ascii="宋体" w:hAnsi="宋体" w:cs="宋体"/>
          <w:color w:val="auto"/>
          <w:spacing w:val="1"/>
          <w:sz w:val="24"/>
        </w:rPr>
        <w:t>交工日期：指第</w:t>
      </w:r>
      <w:r>
        <w:rPr>
          <w:rFonts w:eastAsia="Times New Roman"/>
          <w:color w:val="auto"/>
          <w:spacing w:val="1"/>
          <w:sz w:val="24"/>
        </w:rPr>
        <w:t xml:space="preserve">1.1.4.3  </w:t>
      </w:r>
      <w:r>
        <w:rPr>
          <w:rFonts w:ascii="宋体" w:hAnsi="宋体" w:cs="宋体"/>
          <w:color w:val="auto"/>
          <w:spacing w:val="1"/>
          <w:sz w:val="24"/>
        </w:rPr>
        <w:t>目约定工期届</w:t>
      </w:r>
      <w:r>
        <w:rPr>
          <w:rFonts w:ascii="宋体" w:hAnsi="宋体" w:cs="宋体"/>
          <w:color w:val="auto"/>
          <w:sz w:val="24"/>
        </w:rPr>
        <w:t>满时的日期。实际交工日期以交</w:t>
      </w:r>
      <w:r>
        <w:rPr>
          <w:rFonts w:ascii="宋体" w:hAnsi="宋体" w:cs="宋体"/>
          <w:color w:val="auto"/>
          <w:spacing w:val="-1"/>
          <w:sz w:val="24"/>
        </w:rPr>
        <w:t>工验收证书中写明的日期为准。</w:t>
      </w:r>
    </w:p>
    <w:p w14:paraId="14D9CACB">
      <w:pPr>
        <w:spacing w:before="117" w:line="263" w:lineRule="auto"/>
        <w:ind w:left="1" w:right="2" w:firstLine="497"/>
        <w:rPr>
          <w:rFonts w:ascii="宋体" w:hAnsi="宋体" w:cs="宋体"/>
          <w:color w:val="auto"/>
          <w:sz w:val="24"/>
        </w:rPr>
      </w:pPr>
      <w:r>
        <w:rPr>
          <w:rFonts w:eastAsia="Times New Roman"/>
          <w:color w:val="auto"/>
          <w:spacing w:val="3"/>
          <w:sz w:val="24"/>
        </w:rPr>
        <w:t xml:space="preserve">1.1.4.5  </w:t>
      </w:r>
      <w:r>
        <w:rPr>
          <w:rFonts w:ascii="宋体" w:hAnsi="宋体" w:cs="宋体"/>
          <w:color w:val="auto"/>
          <w:spacing w:val="3"/>
          <w:sz w:val="24"/>
        </w:rPr>
        <w:t>缺陷责任期：指履行第</w:t>
      </w:r>
      <w:r>
        <w:rPr>
          <w:rFonts w:eastAsia="Times New Roman"/>
          <w:color w:val="auto"/>
          <w:spacing w:val="3"/>
          <w:sz w:val="24"/>
        </w:rPr>
        <w:t>19.1.2</w:t>
      </w:r>
      <w:r>
        <w:rPr>
          <w:rFonts w:ascii="宋体" w:hAnsi="宋体" w:cs="宋体"/>
          <w:color w:val="auto"/>
          <w:spacing w:val="3"/>
          <w:sz w:val="24"/>
        </w:rPr>
        <w:t>项约定的缺陷责任的期限，具体期限由</w:t>
      </w:r>
      <w:r>
        <w:rPr>
          <w:rFonts w:ascii="宋体" w:hAnsi="宋体" w:cs="宋体"/>
          <w:color w:val="auto"/>
          <w:spacing w:val="-2"/>
          <w:sz w:val="24"/>
        </w:rPr>
        <w:t>专用合同条款约定，包括根据第</w:t>
      </w:r>
      <w:r>
        <w:rPr>
          <w:rFonts w:eastAsia="Times New Roman"/>
          <w:color w:val="auto"/>
          <w:spacing w:val="-2"/>
          <w:sz w:val="24"/>
        </w:rPr>
        <w:t xml:space="preserve">19.3 </w:t>
      </w:r>
      <w:r>
        <w:rPr>
          <w:rFonts w:ascii="宋体" w:hAnsi="宋体" w:cs="宋体"/>
          <w:color w:val="auto"/>
          <w:spacing w:val="-2"/>
          <w:sz w:val="24"/>
        </w:rPr>
        <w:t>款约定所作的延长。</w:t>
      </w:r>
    </w:p>
    <w:p w14:paraId="47A0C366">
      <w:pPr>
        <w:spacing w:before="116" w:line="278" w:lineRule="auto"/>
        <w:ind w:left="1" w:firstLine="497"/>
        <w:rPr>
          <w:rFonts w:ascii="宋体" w:hAnsi="宋体" w:cs="宋体"/>
          <w:color w:val="auto"/>
          <w:sz w:val="24"/>
        </w:rPr>
      </w:pPr>
      <w:r>
        <w:rPr>
          <w:rFonts w:eastAsia="Times New Roman"/>
          <w:color w:val="auto"/>
          <w:spacing w:val="1"/>
          <w:sz w:val="24"/>
        </w:rPr>
        <w:t xml:space="preserve">1.1.4.6  </w:t>
      </w:r>
      <w:r>
        <w:rPr>
          <w:rFonts w:ascii="宋体" w:hAnsi="宋体" w:cs="宋体"/>
          <w:color w:val="auto"/>
          <w:spacing w:val="1"/>
          <w:sz w:val="24"/>
        </w:rPr>
        <w:t>基准日期：指合同协议书签订日前</w:t>
      </w:r>
      <w:r>
        <w:rPr>
          <w:rFonts w:eastAsia="Times New Roman"/>
          <w:color w:val="auto"/>
          <w:spacing w:val="1"/>
          <w:sz w:val="24"/>
        </w:rPr>
        <w:t>28</w:t>
      </w:r>
      <w:r>
        <w:rPr>
          <w:rFonts w:ascii="宋体" w:hAnsi="宋体" w:cs="宋体"/>
          <w:color w:val="auto"/>
          <w:spacing w:val="1"/>
          <w:sz w:val="24"/>
        </w:rPr>
        <w:t>天的日期（适用于直接发</w:t>
      </w:r>
      <w:r>
        <w:rPr>
          <w:rFonts w:ascii="宋体" w:hAnsi="宋体" w:cs="宋体"/>
          <w:color w:val="auto"/>
          <w:sz w:val="24"/>
        </w:rPr>
        <w:t>包或通过其他竞争性方式发包的养护项目</w:t>
      </w:r>
      <w:r>
        <w:rPr>
          <w:rFonts w:ascii="宋体" w:hAnsi="宋体" w:cs="宋体"/>
          <w:color w:val="auto"/>
          <w:spacing w:val="-53"/>
          <w:sz w:val="24"/>
        </w:rPr>
        <w:t>），</w:t>
      </w:r>
      <w:r>
        <w:rPr>
          <w:rFonts w:ascii="宋体" w:hAnsi="宋体" w:cs="宋体"/>
          <w:color w:val="auto"/>
          <w:sz w:val="24"/>
        </w:rPr>
        <w:t>或投标截止时间前</w:t>
      </w:r>
      <w:r>
        <w:rPr>
          <w:rFonts w:eastAsia="Times New Roman"/>
          <w:color w:val="auto"/>
          <w:spacing w:val="-1"/>
          <w:sz w:val="24"/>
        </w:rPr>
        <w:t>28</w:t>
      </w:r>
      <w:r>
        <w:rPr>
          <w:rFonts w:ascii="宋体" w:hAnsi="宋体" w:cs="宋体"/>
          <w:color w:val="auto"/>
          <w:spacing w:val="-1"/>
          <w:sz w:val="24"/>
        </w:rPr>
        <w:t>天的日期（适用于招标</w:t>
      </w:r>
      <w:r>
        <w:rPr>
          <w:rFonts w:ascii="宋体" w:hAnsi="宋体" w:cs="宋体"/>
          <w:color w:val="auto"/>
          <w:spacing w:val="-11"/>
          <w:sz w:val="24"/>
        </w:rPr>
        <w:t>发包的养护项目）。</w:t>
      </w:r>
    </w:p>
    <w:p w14:paraId="3B07C2AC">
      <w:pPr>
        <w:spacing w:before="115" w:line="264" w:lineRule="auto"/>
        <w:ind w:firstLine="498"/>
        <w:rPr>
          <w:rFonts w:ascii="宋体" w:hAnsi="宋体" w:cs="宋体"/>
          <w:color w:val="auto"/>
          <w:sz w:val="24"/>
        </w:rPr>
      </w:pPr>
      <w:r>
        <w:rPr>
          <w:rFonts w:eastAsia="Times New Roman"/>
          <w:color w:val="auto"/>
          <w:spacing w:val="5"/>
          <w:sz w:val="24"/>
        </w:rPr>
        <w:t xml:space="preserve">1.1.4.7  </w:t>
      </w:r>
      <w:r>
        <w:rPr>
          <w:rFonts w:ascii="宋体" w:hAnsi="宋体" w:cs="宋体"/>
          <w:color w:val="auto"/>
          <w:spacing w:val="5"/>
          <w:sz w:val="24"/>
        </w:rPr>
        <w:t>天：除特别指明外，指日历天。合同中按天计算</w:t>
      </w:r>
      <w:r>
        <w:rPr>
          <w:rFonts w:ascii="宋体" w:hAnsi="宋体" w:cs="宋体"/>
          <w:color w:val="auto"/>
          <w:spacing w:val="4"/>
          <w:sz w:val="24"/>
        </w:rPr>
        <w:t>时间的，开始当天不</w:t>
      </w:r>
      <w:r>
        <w:rPr>
          <w:rFonts w:ascii="宋体" w:hAnsi="宋体" w:cs="宋体"/>
          <w:color w:val="auto"/>
          <w:sz w:val="24"/>
        </w:rPr>
        <w:t>计入，从次日开始计算。期限最后一天的截</w:t>
      </w:r>
      <w:r>
        <w:rPr>
          <w:rFonts w:ascii="宋体" w:hAnsi="宋体" w:cs="宋体"/>
          <w:color w:val="auto"/>
          <w:spacing w:val="-1"/>
          <w:sz w:val="24"/>
        </w:rPr>
        <w:t>止时间为当天二十四时。</w:t>
      </w:r>
    </w:p>
    <w:p w14:paraId="40B845D6">
      <w:pPr>
        <w:spacing w:before="113" w:line="218" w:lineRule="auto"/>
        <w:ind w:left="499"/>
        <w:rPr>
          <w:rFonts w:ascii="宋体" w:hAnsi="宋体" w:cs="宋体"/>
          <w:color w:val="auto"/>
          <w:sz w:val="24"/>
        </w:rPr>
      </w:pPr>
      <w:r>
        <w:rPr>
          <w:rFonts w:eastAsia="Times New Roman"/>
          <w:color w:val="auto"/>
          <w:spacing w:val="-3"/>
          <w:sz w:val="24"/>
        </w:rPr>
        <w:t xml:space="preserve">1.1.5  </w:t>
      </w:r>
      <w:r>
        <w:rPr>
          <w:rFonts w:ascii="宋体" w:hAnsi="宋体" w:cs="宋体"/>
          <w:color w:val="auto"/>
          <w:spacing w:val="-3"/>
          <w:sz w:val="24"/>
        </w:rPr>
        <w:t>合同价格和费用</w:t>
      </w:r>
    </w:p>
    <w:p w14:paraId="0B879D89">
      <w:pPr>
        <w:spacing w:before="118" w:line="263" w:lineRule="auto"/>
        <w:ind w:left="8" w:right="40" w:firstLine="491"/>
        <w:rPr>
          <w:rFonts w:ascii="宋体" w:hAnsi="宋体" w:cs="宋体"/>
          <w:color w:val="auto"/>
          <w:sz w:val="24"/>
        </w:rPr>
      </w:pPr>
      <w:r>
        <w:rPr>
          <w:rFonts w:eastAsia="Times New Roman"/>
          <w:color w:val="auto"/>
          <w:spacing w:val="4"/>
          <w:sz w:val="24"/>
        </w:rPr>
        <w:t xml:space="preserve">1.1.5.1  </w:t>
      </w:r>
      <w:r>
        <w:rPr>
          <w:rFonts w:ascii="宋体" w:hAnsi="宋体" w:cs="宋体"/>
          <w:color w:val="auto"/>
          <w:spacing w:val="4"/>
          <w:sz w:val="24"/>
        </w:rPr>
        <w:t>签约合同价：指签订合同时合同协议书中写明</w:t>
      </w:r>
      <w:r>
        <w:rPr>
          <w:rFonts w:ascii="宋体" w:hAnsi="宋体" w:cs="宋体"/>
          <w:color w:val="auto"/>
          <w:spacing w:val="3"/>
          <w:sz w:val="24"/>
        </w:rPr>
        <w:t>的，包括了暂列金额、</w:t>
      </w:r>
      <w:r>
        <w:rPr>
          <w:rFonts w:ascii="宋体" w:hAnsi="宋体" w:cs="宋体"/>
          <w:color w:val="auto"/>
          <w:spacing w:val="-2"/>
          <w:sz w:val="24"/>
        </w:rPr>
        <w:t>暂估价的合同总金额。</w:t>
      </w:r>
    </w:p>
    <w:p w14:paraId="49181575">
      <w:pPr>
        <w:spacing w:before="115" w:line="279" w:lineRule="auto"/>
        <w:ind w:left="3" w:firstLine="495"/>
        <w:rPr>
          <w:rFonts w:ascii="宋体" w:hAnsi="宋体" w:cs="宋体"/>
          <w:color w:val="auto"/>
          <w:sz w:val="24"/>
        </w:rPr>
      </w:pPr>
      <w:r>
        <w:rPr>
          <w:rFonts w:eastAsia="Times New Roman"/>
          <w:color w:val="auto"/>
          <w:spacing w:val="5"/>
          <w:sz w:val="24"/>
        </w:rPr>
        <w:t xml:space="preserve">1.1.5.2  </w:t>
      </w:r>
      <w:r>
        <w:rPr>
          <w:rFonts w:ascii="宋体" w:hAnsi="宋体" w:cs="宋体"/>
          <w:color w:val="auto"/>
          <w:spacing w:val="5"/>
          <w:sz w:val="24"/>
        </w:rPr>
        <w:t>合同价格：指承包人按合同约定完成了包括缺陷</w:t>
      </w:r>
      <w:r>
        <w:rPr>
          <w:rFonts w:ascii="宋体" w:hAnsi="宋体" w:cs="宋体"/>
          <w:color w:val="auto"/>
          <w:spacing w:val="4"/>
          <w:sz w:val="24"/>
        </w:rPr>
        <w:t>责任期内的全部承包</w:t>
      </w:r>
      <w:r>
        <w:rPr>
          <w:rFonts w:ascii="宋体" w:hAnsi="宋体" w:cs="宋体"/>
          <w:color w:val="auto"/>
          <w:spacing w:val="1"/>
          <w:sz w:val="24"/>
        </w:rPr>
        <w:t>工作后，发包人应付给承包人的金额，包括在履行</w:t>
      </w:r>
      <w:r>
        <w:rPr>
          <w:rFonts w:ascii="宋体" w:hAnsi="宋体" w:cs="宋体"/>
          <w:color w:val="auto"/>
          <w:sz w:val="24"/>
        </w:rPr>
        <w:t>合同过程中按合同约定进行的变</w:t>
      </w:r>
      <w:r>
        <w:rPr>
          <w:rFonts w:ascii="宋体" w:hAnsi="宋体" w:cs="宋体"/>
          <w:color w:val="auto"/>
          <w:spacing w:val="-3"/>
          <w:sz w:val="24"/>
        </w:rPr>
        <w:t>更和调整。</w:t>
      </w:r>
    </w:p>
    <w:p w14:paraId="483F0CA0">
      <w:pPr>
        <w:spacing w:before="111" w:line="264" w:lineRule="auto"/>
        <w:ind w:left="14" w:firstLine="485"/>
        <w:rPr>
          <w:rFonts w:ascii="宋体" w:hAnsi="宋体" w:cs="宋体"/>
          <w:color w:val="auto"/>
          <w:sz w:val="24"/>
        </w:rPr>
      </w:pPr>
      <w:r>
        <w:rPr>
          <w:rFonts w:eastAsia="Times New Roman"/>
          <w:color w:val="auto"/>
          <w:spacing w:val="5"/>
          <w:sz w:val="24"/>
        </w:rPr>
        <w:t xml:space="preserve">1.1.5.3  </w:t>
      </w:r>
      <w:r>
        <w:rPr>
          <w:rFonts w:ascii="宋体" w:hAnsi="宋体" w:cs="宋体"/>
          <w:color w:val="auto"/>
          <w:spacing w:val="5"/>
          <w:sz w:val="24"/>
        </w:rPr>
        <w:t>费用：指为履行合同所发生的或将要发生的所有</w:t>
      </w:r>
      <w:r>
        <w:rPr>
          <w:rFonts w:ascii="宋体" w:hAnsi="宋体" w:cs="宋体"/>
          <w:color w:val="auto"/>
          <w:spacing w:val="4"/>
          <w:sz w:val="24"/>
        </w:rPr>
        <w:t>合理开支，包括管理</w:t>
      </w:r>
      <w:r>
        <w:rPr>
          <w:rFonts w:ascii="宋体" w:hAnsi="宋体" w:cs="宋体"/>
          <w:color w:val="auto"/>
          <w:spacing w:val="-2"/>
          <w:sz w:val="24"/>
        </w:rPr>
        <w:t>费和应分摊的其他费用，但不包括利润。</w:t>
      </w:r>
    </w:p>
    <w:p w14:paraId="6B13CBA9">
      <w:pPr>
        <w:spacing w:before="116" w:line="278" w:lineRule="auto"/>
        <w:ind w:left="3" w:firstLine="495"/>
        <w:rPr>
          <w:rFonts w:ascii="宋体" w:hAnsi="宋体" w:cs="宋体"/>
          <w:color w:val="auto"/>
          <w:sz w:val="24"/>
        </w:rPr>
      </w:pPr>
      <w:r>
        <w:rPr>
          <w:rFonts w:eastAsia="Times New Roman"/>
          <w:color w:val="auto"/>
          <w:spacing w:val="5"/>
          <w:sz w:val="24"/>
        </w:rPr>
        <w:t xml:space="preserve">1.1.5.4  </w:t>
      </w:r>
      <w:r>
        <w:rPr>
          <w:rFonts w:ascii="宋体" w:hAnsi="宋体" w:cs="宋体"/>
          <w:color w:val="auto"/>
          <w:spacing w:val="5"/>
          <w:sz w:val="24"/>
        </w:rPr>
        <w:t>暂列金额：指已标价工程量清单中所列的暂列金</w:t>
      </w:r>
      <w:r>
        <w:rPr>
          <w:rFonts w:ascii="宋体" w:hAnsi="宋体" w:cs="宋体"/>
          <w:color w:val="auto"/>
          <w:spacing w:val="4"/>
          <w:sz w:val="24"/>
        </w:rPr>
        <w:t>额，用于在签订协议</w:t>
      </w:r>
      <w:r>
        <w:rPr>
          <w:rFonts w:ascii="宋体" w:hAnsi="宋体" w:cs="宋体"/>
          <w:color w:val="auto"/>
          <w:spacing w:val="1"/>
          <w:sz w:val="24"/>
        </w:rPr>
        <w:t>书时尚未确定或不可预见变更的工程、材料、工程</w:t>
      </w:r>
      <w:r>
        <w:rPr>
          <w:rFonts w:ascii="宋体" w:hAnsi="宋体" w:cs="宋体"/>
          <w:color w:val="auto"/>
          <w:sz w:val="24"/>
        </w:rPr>
        <w:t>设备、服务的金额，包括以计日</w:t>
      </w:r>
      <w:r>
        <w:rPr>
          <w:rFonts w:ascii="宋体" w:hAnsi="宋体" w:cs="宋体"/>
          <w:color w:val="auto"/>
          <w:spacing w:val="-2"/>
          <w:sz w:val="24"/>
        </w:rPr>
        <w:t>工方式支付的金额。</w:t>
      </w:r>
    </w:p>
    <w:p w14:paraId="77831ACA">
      <w:pPr>
        <w:spacing w:before="116" w:line="262" w:lineRule="auto"/>
        <w:ind w:right="2" w:firstLine="498"/>
        <w:rPr>
          <w:rFonts w:ascii="宋体" w:hAnsi="宋体" w:cs="宋体"/>
          <w:color w:val="auto"/>
          <w:sz w:val="24"/>
        </w:rPr>
      </w:pPr>
      <w:r>
        <w:rPr>
          <w:rFonts w:eastAsia="Times New Roman"/>
          <w:color w:val="auto"/>
          <w:sz w:val="24"/>
        </w:rPr>
        <w:t>1.1.5.5</w:t>
      </w:r>
      <w:r>
        <w:rPr>
          <w:rFonts w:ascii="宋体" w:hAnsi="宋体" w:cs="宋体"/>
          <w:color w:val="auto"/>
          <w:sz w:val="24"/>
        </w:rPr>
        <w:t>暂估价：指发包人在工程量清单中给定的</w:t>
      </w:r>
      <w:r>
        <w:rPr>
          <w:rFonts w:ascii="宋体" w:hAnsi="宋体" w:cs="宋体"/>
          <w:color w:val="auto"/>
          <w:spacing w:val="-1"/>
          <w:sz w:val="24"/>
        </w:rPr>
        <w:t>用于支付必然发生但暂时不能确定价格的工程、材料、工程设备、服务的金额。</w:t>
      </w:r>
    </w:p>
    <w:p w14:paraId="3E64E5FD">
      <w:pPr>
        <w:spacing w:before="118" w:line="218" w:lineRule="auto"/>
        <w:ind w:firstLine="500" w:firstLineChars="200"/>
        <w:jc w:val="left"/>
        <w:rPr>
          <w:rFonts w:ascii="宋体" w:hAnsi="宋体" w:cs="宋体"/>
          <w:color w:val="auto"/>
          <w:sz w:val="24"/>
        </w:rPr>
      </w:pPr>
      <w:r>
        <w:rPr>
          <w:rFonts w:eastAsia="Times New Roman"/>
          <w:color w:val="auto"/>
          <w:spacing w:val="5"/>
          <w:sz w:val="24"/>
        </w:rPr>
        <w:t xml:space="preserve">1.1.5.6  </w:t>
      </w:r>
      <w:r>
        <w:rPr>
          <w:rFonts w:ascii="宋体" w:hAnsi="宋体" w:cs="宋体"/>
          <w:color w:val="auto"/>
          <w:spacing w:val="5"/>
          <w:sz w:val="24"/>
        </w:rPr>
        <w:t>计日工：指对零星工作采取的一种计价方式，按</w:t>
      </w:r>
      <w:r>
        <w:rPr>
          <w:rFonts w:ascii="宋体" w:hAnsi="宋体" w:cs="宋体"/>
          <w:color w:val="auto"/>
          <w:spacing w:val="4"/>
          <w:sz w:val="24"/>
        </w:rPr>
        <w:t>合同中的计日工子目</w:t>
      </w:r>
      <w:r>
        <w:rPr>
          <w:rFonts w:ascii="宋体" w:hAnsi="宋体" w:cs="宋体"/>
          <w:color w:val="auto"/>
          <w:spacing w:val="-1"/>
          <w:sz w:val="24"/>
        </w:rPr>
        <w:t>及其单价计价付款。</w:t>
      </w:r>
    </w:p>
    <w:p w14:paraId="5BC18D95">
      <w:pPr>
        <w:spacing w:before="118" w:line="307" w:lineRule="auto"/>
        <w:ind w:left="1" w:right="166" w:firstLine="498"/>
        <w:rPr>
          <w:rFonts w:ascii="宋体" w:hAnsi="宋体" w:cs="宋体"/>
          <w:color w:val="auto"/>
          <w:sz w:val="24"/>
        </w:rPr>
      </w:pPr>
      <w:r>
        <w:rPr>
          <w:rFonts w:eastAsia="Times New Roman"/>
          <w:color w:val="auto"/>
          <w:spacing w:val="3"/>
          <w:sz w:val="24"/>
        </w:rPr>
        <w:t xml:space="preserve">1.1.5.7  </w:t>
      </w:r>
      <w:r>
        <w:rPr>
          <w:rFonts w:ascii="宋体" w:hAnsi="宋体" w:cs="宋体"/>
          <w:color w:val="auto"/>
          <w:spacing w:val="3"/>
          <w:sz w:val="24"/>
        </w:rPr>
        <w:t>质量保证金：指按第</w:t>
      </w:r>
      <w:r>
        <w:rPr>
          <w:rFonts w:eastAsia="Times New Roman"/>
          <w:color w:val="auto"/>
          <w:spacing w:val="3"/>
          <w:sz w:val="24"/>
        </w:rPr>
        <w:t>17.4.1</w:t>
      </w:r>
      <w:r>
        <w:rPr>
          <w:rFonts w:ascii="宋体" w:hAnsi="宋体" w:cs="宋体"/>
          <w:color w:val="auto"/>
          <w:spacing w:val="3"/>
          <w:sz w:val="24"/>
        </w:rPr>
        <w:t>项约定用于保证在缺陷责任期内履行缺陷</w:t>
      </w:r>
      <w:r>
        <w:rPr>
          <w:rFonts w:ascii="宋体" w:hAnsi="宋体" w:cs="宋体"/>
          <w:color w:val="auto"/>
          <w:spacing w:val="-2"/>
          <w:sz w:val="24"/>
        </w:rPr>
        <w:t>修复义务的金额。</w:t>
      </w:r>
    </w:p>
    <w:p w14:paraId="3223959D">
      <w:pPr>
        <w:spacing w:line="220" w:lineRule="auto"/>
        <w:ind w:left="500"/>
        <w:rPr>
          <w:rFonts w:ascii="宋体" w:hAnsi="宋体" w:cs="宋体"/>
          <w:color w:val="auto"/>
          <w:sz w:val="24"/>
        </w:rPr>
      </w:pPr>
      <w:r>
        <w:rPr>
          <w:rFonts w:eastAsia="Times New Roman"/>
          <w:color w:val="auto"/>
          <w:spacing w:val="-6"/>
          <w:sz w:val="24"/>
        </w:rPr>
        <w:t>1.1.6</w:t>
      </w:r>
      <w:r>
        <w:rPr>
          <w:rFonts w:ascii="宋体" w:hAnsi="宋体" w:cs="宋体"/>
          <w:color w:val="auto"/>
          <w:spacing w:val="-6"/>
          <w:sz w:val="24"/>
        </w:rPr>
        <w:t>其他</w:t>
      </w:r>
    </w:p>
    <w:p w14:paraId="616937BF">
      <w:pPr>
        <w:spacing w:before="113" w:line="278" w:lineRule="auto"/>
        <w:ind w:left="1" w:right="164" w:firstLine="498"/>
        <w:rPr>
          <w:rFonts w:ascii="宋体" w:hAnsi="宋体" w:cs="宋体"/>
          <w:color w:val="auto"/>
          <w:sz w:val="24"/>
        </w:rPr>
      </w:pPr>
      <w:r>
        <w:rPr>
          <w:rFonts w:eastAsia="Times New Roman"/>
          <w:color w:val="auto"/>
          <w:spacing w:val="5"/>
          <w:sz w:val="24"/>
        </w:rPr>
        <w:t xml:space="preserve">1.1.6.1  </w:t>
      </w:r>
      <w:r>
        <w:rPr>
          <w:rFonts w:ascii="宋体" w:hAnsi="宋体" w:cs="宋体"/>
          <w:color w:val="auto"/>
          <w:spacing w:val="5"/>
          <w:sz w:val="24"/>
        </w:rPr>
        <w:t>书面形式：指合同文件、信件、电报、电传、传</w:t>
      </w:r>
      <w:r>
        <w:rPr>
          <w:rFonts w:ascii="宋体" w:hAnsi="宋体" w:cs="宋体"/>
          <w:color w:val="auto"/>
          <w:spacing w:val="4"/>
          <w:sz w:val="24"/>
        </w:rPr>
        <w:t>真等可以有形地表现</w:t>
      </w:r>
      <w:r>
        <w:rPr>
          <w:rFonts w:ascii="宋体" w:hAnsi="宋体" w:cs="宋体"/>
          <w:color w:val="auto"/>
          <w:spacing w:val="1"/>
          <w:sz w:val="24"/>
        </w:rPr>
        <w:t>所载内容的形式。以电子数据交换、电子邮件等方式能够</w:t>
      </w:r>
      <w:r>
        <w:rPr>
          <w:rFonts w:ascii="宋体" w:hAnsi="宋体" w:cs="宋体"/>
          <w:color w:val="auto"/>
          <w:sz w:val="24"/>
        </w:rPr>
        <w:t>有形地表现所载内容，并</w:t>
      </w:r>
      <w:r>
        <w:rPr>
          <w:rFonts w:ascii="宋体" w:hAnsi="宋体" w:cs="宋体"/>
          <w:color w:val="auto"/>
          <w:spacing w:val="-1"/>
          <w:sz w:val="24"/>
        </w:rPr>
        <w:t>可以随时调取查用的数据电文，视为书面形式。</w:t>
      </w:r>
    </w:p>
    <w:p w14:paraId="57F2B205">
      <w:pPr>
        <w:spacing w:before="117" w:line="219" w:lineRule="auto"/>
        <w:ind w:left="500"/>
        <w:rPr>
          <w:rFonts w:ascii="宋体" w:hAnsi="宋体" w:cs="宋体"/>
          <w:color w:val="auto"/>
          <w:sz w:val="24"/>
        </w:rPr>
      </w:pPr>
      <w:r>
        <w:rPr>
          <w:rFonts w:eastAsia="Times New Roman"/>
          <w:color w:val="auto"/>
          <w:spacing w:val="-1"/>
          <w:sz w:val="24"/>
        </w:rPr>
        <w:t xml:space="preserve">1.1.6.2  </w:t>
      </w:r>
      <w:r>
        <w:rPr>
          <w:rFonts w:ascii="宋体" w:hAnsi="宋体" w:cs="宋体"/>
          <w:color w:val="auto"/>
          <w:spacing w:val="-1"/>
          <w:sz w:val="24"/>
        </w:rPr>
        <w:t>工程验收：指养护工程的交工验收或竣工验收。</w:t>
      </w:r>
    </w:p>
    <w:p w14:paraId="1A5209D1">
      <w:pPr>
        <w:spacing w:before="114" w:line="219" w:lineRule="auto"/>
        <w:ind w:left="500"/>
        <w:rPr>
          <w:rFonts w:ascii="宋体" w:hAnsi="宋体" w:cs="宋体"/>
          <w:color w:val="auto"/>
          <w:sz w:val="24"/>
        </w:rPr>
      </w:pPr>
      <w:r>
        <w:rPr>
          <w:rFonts w:eastAsia="Times New Roman"/>
          <w:color w:val="auto"/>
          <w:spacing w:val="-1"/>
          <w:sz w:val="24"/>
        </w:rPr>
        <w:t xml:space="preserve">1.1.6.3  </w:t>
      </w:r>
      <w:r>
        <w:rPr>
          <w:rFonts w:ascii="宋体" w:hAnsi="宋体" w:cs="宋体"/>
          <w:color w:val="auto"/>
          <w:spacing w:val="-1"/>
          <w:sz w:val="24"/>
        </w:rPr>
        <w:t>交工验收：指养护工程完工后组织进行的验收。</w:t>
      </w:r>
    </w:p>
    <w:p w14:paraId="29F42562">
      <w:pPr>
        <w:spacing w:before="116" w:line="219" w:lineRule="auto"/>
        <w:ind w:left="500"/>
        <w:rPr>
          <w:rFonts w:ascii="宋体" w:hAnsi="宋体" w:cs="宋体"/>
          <w:color w:val="auto"/>
          <w:sz w:val="24"/>
        </w:rPr>
      </w:pPr>
      <w:r>
        <w:rPr>
          <w:rFonts w:eastAsia="Times New Roman"/>
          <w:color w:val="auto"/>
          <w:spacing w:val="-1"/>
          <w:sz w:val="24"/>
        </w:rPr>
        <w:t xml:space="preserve">1.1.6.4  </w:t>
      </w:r>
      <w:r>
        <w:rPr>
          <w:rFonts w:ascii="宋体" w:hAnsi="宋体" w:cs="宋体"/>
          <w:color w:val="auto"/>
          <w:spacing w:val="-1"/>
          <w:sz w:val="24"/>
        </w:rPr>
        <w:t>竣工验收：指养护工程缺陷责任期满后组织进行的验收。</w:t>
      </w:r>
    </w:p>
    <w:p w14:paraId="0AAD3813">
      <w:pPr>
        <w:spacing w:before="115" w:line="219" w:lineRule="auto"/>
        <w:ind w:left="500"/>
        <w:rPr>
          <w:rFonts w:ascii="宋体" w:hAnsi="宋体" w:cs="宋体"/>
          <w:color w:val="auto"/>
          <w:sz w:val="24"/>
        </w:rPr>
      </w:pPr>
      <w:r>
        <w:rPr>
          <w:rFonts w:eastAsia="Times New Roman"/>
          <w:color w:val="auto"/>
          <w:spacing w:val="-1"/>
          <w:sz w:val="24"/>
        </w:rPr>
        <w:t xml:space="preserve">1.1.6.5  </w:t>
      </w:r>
      <w:r>
        <w:rPr>
          <w:rFonts w:ascii="宋体" w:hAnsi="宋体" w:cs="宋体"/>
          <w:color w:val="auto"/>
          <w:spacing w:val="-1"/>
          <w:sz w:val="24"/>
        </w:rPr>
        <w:t>交工验收证书：指养护工程交工验收合格后签发的验收证书。</w:t>
      </w:r>
    </w:p>
    <w:p w14:paraId="137F5C60">
      <w:pPr>
        <w:spacing w:before="114" w:line="264" w:lineRule="auto"/>
        <w:ind w:left="47" w:right="164" w:firstLine="452"/>
        <w:rPr>
          <w:rFonts w:ascii="宋体" w:hAnsi="宋体" w:cs="宋体"/>
          <w:color w:val="auto"/>
          <w:sz w:val="24"/>
        </w:rPr>
      </w:pPr>
      <w:r>
        <w:rPr>
          <w:rFonts w:eastAsia="Times New Roman"/>
          <w:color w:val="auto"/>
          <w:spacing w:val="5"/>
          <w:sz w:val="24"/>
        </w:rPr>
        <w:t xml:space="preserve">1.1.6.6  </w:t>
      </w:r>
      <w:r>
        <w:rPr>
          <w:rFonts w:ascii="宋体" w:hAnsi="宋体" w:cs="宋体"/>
          <w:color w:val="auto"/>
          <w:spacing w:val="5"/>
          <w:sz w:val="24"/>
        </w:rPr>
        <w:t>转包：指承包人违反法律和不履行合同约定的责</w:t>
      </w:r>
      <w:r>
        <w:rPr>
          <w:rFonts w:ascii="宋体" w:hAnsi="宋体" w:cs="宋体"/>
          <w:color w:val="auto"/>
          <w:spacing w:val="4"/>
          <w:sz w:val="24"/>
        </w:rPr>
        <w:t>任和义务，将养护项</w:t>
      </w:r>
      <w:r>
        <w:rPr>
          <w:rFonts w:ascii="宋体" w:hAnsi="宋体" w:cs="宋体"/>
          <w:color w:val="auto"/>
          <w:spacing w:val="-2"/>
          <w:sz w:val="24"/>
        </w:rPr>
        <w:t>目全部委托或以分包的名义将养护项目支解后全部委托给其他企业的行为。</w:t>
      </w:r>
    </w:p>
    <w:p w14:paraId="0E346880">
      <w:pPr>
        <w:spacing w:before="115" w:line="278" w:lineRule="auto"/>
        <w:ind w:left="1" w:right="166" w:firstLine="498"/>
        <w:rPr>
          <w:rFonts w:ascii="宋体" w:hAnsi="宋体" w:cs="宋体"/>
          <w:color w:val="auto"/>
          <w:sz w:val="24"/>
        </w:rPr>
      </w:pPr>
      <w:r>
        <w:rPr>
          <w:rFonts w:eastAsia="Times New Roman"/>
          <w:color w:val="auto"/>
          <w:sz w:val="24"/>
        </w:rPr>
        <w:t xml:space="preserve">1.1.6.7 </w:t>
      </w:r>
      <w:r>
        <w:rPr>
          <w:rFonts w:ascii="宋体" w:hAnsi="宋体" w:cs="宋体"/>
          <w:color w:val="auto"/>
          <w:sz w:val="24"/>
        </w:rPr>
        <w:t>分包：指承包人将其所承包养护项目中的部分工作发包给其他企业（分</w:t>
      </w:r>
      <w:r>
        <w:rPr>
          <w:rFonts w:ascii="宋体" w:hAnsi="宋体" w:cs="宋体"/>
          <w:color w:val="auto"/>
          <w:spacing w:val="3"/>
          <w:sz w:val="24"/>
        </w:rPr>
        <w:t>包人</w:t>
      </w:r>
      <w:r>
        <w:rPr>
          <w:rFonts w:ascii="宋体" w:hAnsi="宋体" w:cs="宋体"/>
          <w:color w:val="auto"/>
          <w:spacing w:val="-35"/>
          <w:sz w:val="24"/>
        </w:rPr>
        <w:t>），</w:t>
      </w:r>
      <w:r>
        <w:rPr>
          <w:rFonts w:ascii="宋体" w:hAnsi="宋体" w:cs="宋体"/>
          <w:color w:val="auto"/>
          <w:spacing w:val="3"/>
          <w:sz w:val="24"/>
        </w:rPr>
        <w:t>由分包人自行组织完成分包工作并能独立控制工作</w:t>
      </w:r>
      <w:r>
        <w:rPr>
          <w:rFonts w:ascii="宋体" w:hAnsi="宋体" w:cs="宋体"/>
          <w:color w:val="auto"/>
          <w:spacing w:val="2"/>
          <w:sz w:val="24"/>
        </w:rPr>
        <w:t>质量、进度、生产安全</w:t>
      </w:r>
      <w:r>
        <w:rPr>
          <w:rFonts w:ascii="宋体" w:hAnsi="宋体" w:cs="宋体"/>
          <w:color w:val="auto"/>
          <w:spacing w:val="-2"/>
          <w:sz w:val="24"/>
        </w:rPr>
        <w:t>等的活动。</w:t>
      </w:r>
    </w:p>
    <w:p w14:paraId="30EC495C">
      <w:pPr>
        <w:spacing w:before="107" w:line="219" w:lineRule="auto"/>
        <w:ind w:left="488"/>
        <w:outlineLvl w:val="3"/>
        <w:rPr>
          <w:rFonts w:ascii="宋体" w:hAnsi="宋体" w:cs="宋体"/>
          <w:color w:val="auto"/>
          <w:sz w:val="24"/>
        </w:rPr>
      </w:pPr>
      <w:r>
        <w:rPr>
          <w:rFonts w:eastAsia="Times New Roman"/>
          <w:b/>
          <w:bCs/>
          <w:color w:val="auto"/>
          <w:spacing w:val="-3"/>
          <w:sz w:val="24"/>
        </w:rPr>
        <w:t xml:space="preserve">1.2  </w:t>
      </w:r>
      <w:r>
        <w:rPr>
          <w:rFonts w:ascii="宋体" w:hAnsi="宋体" w:cs="宋体"/>
          <w:b/>
          <w:bCs/>
          <w:color w:val="auto"/>
          <w:spacing w:val="-3"/>
          <w:sz w:val="24"/>
        </w:rPr>
        <w:t>语言文字</w:t>
      </w:r>
    </w:p>
    <w:p w14:paraId="0B283932">
      <w:pPr>
        <w:spacing w:before="122" w:line="219" w:lineRule="auto"/>
        <w:jc w:val="right"/>
        <w:rPr>
          <w:rFonts w:ascii="宋体" w:hAnsi="宋体" w:cs="宋体"/>
          <w:color w:val="auto"/>
          <w:sz w:val="24"/>
        </w:rPr>
      </w:pPr>
      <w:r>
        <w:rPr>
          <w:rFonts w:ascii="宋体" w:hAnsi="宋体" w:cs="宋体"/>
          <w:color w:val="auto"/>
          <w:spacing w:val="-2"/>
          <w:sz w:val="24"/>
        </w:rPr>
        <w:t>除专用术语外，合同使用的语言文字为中文。必要时专用术语应附有中文注释。</w:t>
      </w:r>
    </w:p>
    <w:p w14:paraId="042B9F10">
      <w:pPr>
        <w:spacing w:before="108" w:line="219" w:lineRule="auto"/>
        <w:ind w:left="488"/>
        <w:outlineLvl w:val="3"/>
        <w:rPr>
          <w:rFonts w:ascii="宋体" w:hAnsi="宋体" w:cs="宋体"/>
          <w:color w:val="auto"/>
          <w:sz w:val="24"/>
        </w:rPr>
      </w:pPr>
      <w:r>
        <w:rPr>
          <w:rFonts w:eastAsia="Times New Roman"/>
          <w:b/>
          <w:bCs/>
          <w:color w:val="auto"/>
          <w:spacing w:val="-7"/>
          <w:sz w:val="24"/>
        </w:rPr>
        <w:t>1.3</w:t>
      </w:r>
      <w:r>
        <w:rPr>
          <w:rFonts w:ascii="宋体" w:hAnsi="宋体" w:cs="宋体"/>
          <w:b/>
          <w:bCs/>
          <w:color w:val="auto"/>
          <w:spacing w:val="-7"/>
          <w:sz w:val="24"/>
        </w:rPr>
        <w:t>法律</w:t>
      </w:r>
    </w:p>
    <w:p w14:paraId="783A0655">
      <w:pPr>
        <w:spacing w:before="124" w:line="304" w:lineRule="auto"/>
        <w:ind w:left="5" w:right="164" w:firstLine="476"/>
        <w:rPr>
          <w:rFonts w:ascii="宋体" w:hAnsi="宋体" w:cs="宋体"/>
          <w:color w:val="auto"/>
          <w:sz w:val="24"/>
        </w:rPr>
      </w:pPr>
      <w:r>
        <w:rPr>
          <w:rFonts w:ascii="宋体" w:hAnsi="宋体" w:cs="宋体"/>
          <w:color w:val="auto"/>
          <w:spacing w:val="1"/>
          <w:sz w:val="24"/>
        </w:rPr>
        <w:t>适用于合同的法律包括中华人民共和国法律、行政法规、</w:t>
      </w:r>
      <w:r>
        <w:rPr>
          <w:rFonts w:ascii="宋体" w:hAnsi="宋体" w:cs="宋体"/>
          <w:color w:val="auto"/>
          <w:sz w:val="24"/>
        </w:rPr>
        <w:t>部门规章，以及养护</w:t>
      </w:r>
      <w:r>
        <w:rPr>
          <w:rFonts w:ascii="宋体" w:hAnsi="宋体" w:cs="宋体"/>
          <w:color w:val="auto"/>
          <w:spacing w:val="-2"/>
          <w:sz w:val="24"/>
        </w:rPr>
        <w:t>项目所在地的地方性法规、自治条例、单行条例和地</w:t>
      </w:r>
      <w:r>
        <w:rPr>
          <w:rFonts w:ascii="宋体" w:hAnsi="宋体" w:cs="宋体"/>
          <w:color w:val="auto"/>
          <w:spacing w:val="-3"/>
          <w:sz w:val="24"/>
        </w:rPr>
        <w:t>方政府规章。</w:t>
      </w:r>
    </w:p>
    <w:p w14:paraId="1881D4DA">
      <w:pPr>
        <w:spacing w:line="220" w:lineRule="auto"/>
        <w:ind w:left="488"/>
        <w:outlineLvl w:val="3"/>
        <w:rPr>
          <w:rFonts w:ascii="宋体" w:hAnsi="宋体" w:cs="宋体"/>
          <w:color w:val="auto"/>
          <w:sz w:val="24"/>
        </w:rPr>
      </w:pPr>
      <w:r>
        <w:rPr>
          <w:rFonts w:eastAsia="Times New Roman"/>
          <w:b/>
          <w:bCs/>
          <w:color w:val="auto"/>
          <w:spacing w:val="-3"/>
          <w:sz w:val="24"/>
        </w:rPr>
        <w:t xml:space="preserve">1.4  </w:t>
      </w:r>
      <w:r>
        <w:rPr>
          <w:rFonts w:ascii="宋体" w:hAnsi="宋体" w:cs="宋体"/>
          <w:b/>
          <w:bCs/>
          <w:color w:val="auto"/>
          <w:spacing w:val="-3"/>
          <w:sz w:val="24"/>
        </w:rPr>
        <w:t>标准的变化</w:t>
      </w:r>
    </w:p>
    <w:p w14:paraId="55275BB4">
      <w:pPr>
        <w:spacing w:before="126" w:line="305" w:lineRule="auto"/>
        <w:ind w:left="2" w:right="164" w:firstLine="478"/>
        <w:rPr>
          <w:rFonts w:ascii="宋体" w:hAnsi="宋体" w:cs="宋体"/>
          <w:color w:val="auto"/>
          <w:sz w:val="24"/>
        </w:rPr>
      </w:pPr>
      <w:r>
        <w:rPr>
          <w:rFonts w:ascii="宋体" w:hAnsi="宋体" w:cs="宋体"/>
          <w:color w:val="auto"/>
          <w:spacing w:val="1"/>
          <w:sz w:val="24"/>
        </w:rPr>
        <w:t>在养护项目实施过程中，技术规范中所引用的标准版本发生</w:t>
      </w:r>
      <w:r>
        <w:rPr>
          <w:rFonts w:ascii="宋体" w:hAnsi="宋体" w:cs="宋体"/>
          <w:color w:val="auto"/>
          <w:sz w:val="24"/>
        </w:rPr>
        <w:t>重大变化，或者有</w:t>
      </w:r>
      <w:r>
        <w:rPr>
          <w:rFonts w:ascii="宋体" w:hAnsi="宋体" w:cs="宋体"/>
          <w:color w:val="auto"/>
          <w:spacing w:val="1"/>
          <w:sz w:val="24"/>
        </w:rPr>
        <w:t>新的国家、行业或地方标准实施，经发包人同意执行新</w:t>
      </w:r>
      <w:r>
        <w:rPr>
          <w:rFonts w:ascii="宋体" w:hAnsi="宋体" w:cs="宋体"/>
          <w:color w:val="auto"/>
          <w:sz w:val="24"/>
        </w:rPr>
        <w:t>标准的，由此导致费用增加</w:t>
      </w:r>
      <w:r>
        <w:rPr>
          <w:rFonts w:ascii="宋体" w:hAnsi="宋体" w:cs="宋体"/>
          <w:color w:val="auto"/>
          <w:spacing w:val="-1"/>
          <w:sz w:val="24"/>
        </w:rPr>
        <w:t>和（或）工期延误由发包人承担。</w:t>
      </w:r>
    </w:p>
    <w:p w14:paraId="63618821">
      <w:pPr>
        <w:spacing w:line="219" w:lineRule="auto"/>
        <w:ind w:left="488"/>
        <w:outlineLvl w:val="3"/>
        <w:rPr>
          <w:rFonts w:ascii="宋体" w:hAnsi="宋体" w:cs="宋体"/>
          <w:color w:val="auto"/>
          <w:sz w:val="24"/>
        </w:rPr>
      </w:pPr>
      <w:r>
        <w:rPr>
          <w:rFonts w:eastAsia="Times New Roman"/>
          <w:b/>
          <w:bCs/>
          <w:color w:val="auto"/>
          <w:spacing w:val="-6"/>
          <w:sz w:val="24"/>
        </w:rPr>
        <w:t>1.5</w:t>
      </w:r>
      <w:r>
        <w:rPr>
          <w:rFonts w:ascii="宋体" w:hAnsi="宋体" w:cs="宋体"/>
          <w:b/>
          <w:bCs/>
          <w:color w:val="auto"/>
          <w:spacing w:val="-6"/>
          <w:sz w:val="24"/>
        </w:rPr>
        <w:t>图纸和承包人文件</w:t>
      </w:r>
    </w:p>
    <w:p w14:paraId="1187EE87">
      <w:pPr>
        <w:spacing w:before="122" w:line="219" w:lineRule="auto"/>
        <w:ind w:left="500"/>
        <w:rPr>
          <w:rFonts w:ascii="宋体" w:hAnsi="宋体" w:cs="宋体"/>
          <w:color w:val="auto"/>
          <w:sz w:val="24"/>
        </w:rPr>
      </w:pPr>
      <w:r>
        <w:rPr>
          <w:rFonts w:eastAsia="Times New Roman"/>
          <w:color w:val="auto"/>
          <w:spacing w:val="-7"/>
          <w:sz w:val="24"/>
        </w:rPr>
        <w:t>1.5.1</w:t>
      </w:r>
      <w:r>
        <w:rPr>
          <w:rFonts w:ascii="宋体" w:hAnsi="宋体" w:cs="宋体"/>
          <w:color w:val="auto"/>
          <w:spacing w:val="-7"/>
          <w:sz w:val="24"/>
        </w:rPr>
        <w:t>图纸的提供</w:t>
      </w:r>
    </w:p>
    <w:p w14:paraId="40DF7AA4">
      <w:pPr>
        <w:spacing w:before="116" w:line="308" w:lineRule="auto"/>
        <w:ind w:right="164" w:firstLine="480"/>
        <w:rPr>
          <w:rFonts w:ascii="宋体" w:hAnsi="宋体" w:cs="宋体"/>
          <w:color w:val="auto"/>
          <w:sz w:val="24"/>
        </w:rPr>
      </w:pPr>
      <w:r>
        <w:rPr>
          <w:rFonts w:ascii="宋体" w:hAnsi="宋体" w:cs="宋体"/>
          <w:color w:val="auto"/>
          <w:spacing w:val="1"/>
          <w:sz w:val="24"/>
        </w:rPr>
        <w:t>在专用合同条款约定的期限内，咨询人应向承包人免费提供</w:t>
      </w:r>
      <w:r>
        <w:rPr>
          <w:rFonts w:ascii="宋体" w:hAnsi="宋体" w:cs="宋体"/>
          <w:color w:val="auto"/>
          <w:sz w:val="24"/>
        </w:rPr>
        <w:t>由发包人或其委托</w:t>
      </w:r>
      <w:r>
        <w:rPr>
          <w:rFonts w:ascii="宋体" w:hAnsi="宋体" w:cs="宋体"/>
          <w:color w:val="auto"/>
          <w:spacing w:val="2"/>
          <w:sz w:val="24"/>
        </w:rPr>
        <w:t>的设计单位设计的施工图纸、技术规范和其他技术资料（如有）</w:t>
      </w:r>
      <w:r>
        <w:rPr>
          <w:rFonts w:eastAsia="Times New Roman"/>
          <w:color w:val="auto"/>
          <w:spacing w:val="2"/>
          <w:sz w:val="24"/>
        </w:rPr>
        <w:t xml:space="preserve">2 </w:t>
      </w:r>
      <w:r>
        <w:rPr>
          <w:rFonts w:ascii="宋体" w:hAnsi="宋体" w:cs="宋体"/>
          <w:color w:val="auto"/>
          <w:spacing w:val="2"/>
          <w:sz w:val="24"/>
        </w:rPr>
        <w:t>份，并向承包人</w:t>
      </w:r>
      <w:r>
        <w:rPr>
          <w:rFonts w:ascii="宋体" w:hAnsi="宋体" w:cs="宋体"/>
          <w:color w:val="auto"/>
          <w:spacing w:val="4"/>
          <w:sz w:val="24"/>
        </w:rPr>
        <w:t>进行技术交底。由于发包人未按时提供图纸造成工期延误的，按第</w:t>
      </w:r>
      <w:r>
        <w:rPr>
          <w:rFonts w:eastAsia="Times New Roman"/>
          <w:color w:val="auto"/>
          <w:spacing w:val="4"/>
          <w:sz w:val="24"/>
        </w:rPr>
        <w:t>11.3</w:t>
      </w:r>
      <w:r>
        <w:rPr>
          <w:rFonts w:ascii="宋体" w:hAnsi="宋体" w:cs="宋体"/>
          <w:color w:val="auto"/>
          <w:spacing w:val="4"/>
          <w:sz w:val="24"/>
        </w:rPr>
        <w:t>款的约定</w:t>
      </w:r>
      <w:r>
        <w:rPr>
          <w:rFonts w:ascii="宋体" w:hAnsi="宋体" w:cs="宋体"/>
          <w:color w:val="auto"/>
          <w:spacing w:val="-3"/>
          <w:sz w:val="24"/>
        </w:rPr>
        <w:t>办理。</w:t>
      </w:r>
    </w:p>
    <w:p w14:paraId="54277B54">
      <w:pPr>
        <w:spacing w:before="1" w:line="218" w:lineRule="auto"/>
        <w:ind w:left="500"/>
        <w:rPr>
          <w:rFonts w:ascii="宋体" w:hAnsi="宋体" w:cs="宋体"/>
          <w:color w:val="auto"/>
          <w:sz w:val="24"/>
        </w:rPr>
      </w:pPr>
      <w:r>
        <w:rPr>
          <w:rFonts w:eastAsia="Times New Roman"/>
          <w:color w:val="auto"/>
          <w:spacing w:val="-2"/>
          <w:sz w:val="24"/>
        </w:rPr>
        <w:t xml:space="preserve">1.5.2  </w:t>
      </w:r>
      <w:r>
        <w:rPr>
          <w:rFonts w:ascii="宋体" w:hAnsi="宋体" w:cs="宋体"/>
          <w:color w:val="auto"/>
          <w:spacing w:val="-2"/>
          <w:sz w:val="24"/>
        </w:rPr>
        <w:t>承包人提供的文件</w:t>
      </w:r>
    </w:p>
    <w:p w14:paraId="2DE55F12">
      <w:pPr>
        <w:spacing w:before="114" w:line="310" w:lineRule="auto"/>
        <w:ind w:left="21" w:right="164" w:firstLine="460"/>
        <w:rPr>
          <w:rFonts w:ascii="宋体" w:hAnsi="宋体" w:cs="宋体"/>
          <w:color w:val="auto"/>
          <w:sz w:val="24"/>
        </w:rPr>
      </w:pPr>
      <w:r>
        <w:rPr>
          <w:rFonts w:ascii="宋体" w:hAnsi="宋体" w:cs="宋体"/>
          <w:color w:val="auto"/>
          <w:spacing w:val="1"/>
          <w:sz w:val="24"/>
        </w:rPr>
        <w:t>根据合同要求与养护作业需要，承包人应免费向咨询人提</w:t>
      </w:r>
      <w:r>
        <w:rPr>
          <w:rFonts w:ascii="宋体" w:hAnsi="宋体" w:cs="宋体"/>
          <w:color w:val="auto"/>
          <w:sz w:val="24"/>
        </w:rPr>
        <w:t>交相关部分养护项目的图纸</w:t>
      </w:r>
      <w:r>
        <w:rPr>
          <w:rFonts w:eastAsia="Times New Roman"/>
          <w:color w:val="auto"/>
          <w:sz w:val="24"/>
        </w:rPr>
        <w:t xml:space="preserve">3 </w:t>
      </w:r>
      <w:r>
        <w:rPr>
          <w:rFonts w:ascii="宋体" w:hAnsi="宋体" w:cs="宋体"/>
          <w:color w:val="auto"/>
          <w:sz w:val="24"/>
        </w:rPr>
        <w:t>份，并附必要的图纸说明和资料供咨询人批准。咨询人有修改</w:t>
      </w:r>
      <w:r>
        <w:rPr>
          <w:rFonts w:ascii="宋体" w:hAnsi="宋体" w:cs="宋体"/>
          <w:color w:val="auto"/>
          <w:spacing w:val="-1"/>
          <w:sz w:val="24"/>
        </w:rPr>
        <w:t>意见的，承包人应作出修改后重新提交。</w:t>
      </w:r>
    </w:p>
    <w:p w14:paraId="4B3FFD07">
      <w:pPr>
        <w:spacing w:before="116" w:line="219" w:lineRule="auto"/>
        <w:ind w:left="499"/>
        <w:rPr>
          <w:rFonts w:ascii="宋体" w:hAnsi="宋体" w:cs="宋体"/>
          <w:color w:val="auto"/>
          <w:sz w:val="24"/>
        </w:rPr>
      </w:pPr>
      <w:r>
        <w:rPr>
          <w:rFonts w:eastAsia="Times New Roman"/>
          <w:color w:val="auto"/>
          <w:spacing w:val="-7"/>
          <w:sz w:val="24"/>
        </w:rPr>
        <w:t>1.5.3</w:t>
      </w:r>
      <w:r>
        <w:rPr>
          <w:rFonts w:ascii="宋体" w:hAnsi="宋体" w:cs="宋体"/>
          <w:color w:val="auto"/>
          <w:spacing w:val="-7"/>
          <w:sz w:val="24"/>
        </w:rPr>
        <w:t>图纸的修改</w:t>
      </w:r>
    </w:p>
    <w:p w14:paraId="2CA04B56">
      <w:pPr>
        <w:spacing w:before="112" w:line="308" w:lineRule="auto"/>
        <w:ind w:left="1" w:right="164" w:firstLine="502"/>
        <w:rPr>
          <w:rFonts w:ascii="宋体" w:hAnsi="宋体" w:cs="宋体"/>
          <w:color w:val="auto"/>
          <w:sz w:val="24"/>
        </w:rPr>
      </w:pPr>
      <w:r>
        <w:rPr>
          <w:rFonts w:ascii="宋体" w:hAnsi="宋体" w:cs="宋体"/>
          <w:color w:val="auto"/>
          <w:sz w:val="24"/>
        </w:rPr>
        <w:t>图纸需要修改和补充的，应由咨询人取得发包人同意后，在该养护工程或养护</w:t>
      </w:r>
      <w:r>
        <w:rPr>
          <w:rFonts w:ascii="宋体" w:hAnsi="宋体" w:cs="宋体"/>
          <w:color w:val="auto"/>
          <w:spacing w:val="1"/>
          <w:sz w:val="24"/>
        </w:rPr>
        <w:t>工程相应部位施工前的合理期限内签发图纸修改图给承</w:t>
      </w:r>
      <w:r>
        <w:rPr>
          <w:rFonts w:ascii="宋体" w:hAnsi="宋体" w:cs="宋体"/>
          <w:color w:val="auto"/>
          <w:sz w:val="24"/>
        </w:rPr>
        <w:t>包人，具体签发期限在专用</w:t>
      </w:r>
      <w:r>
        <w:rPr>
          <w:rFonts w:ascii="宋体" w:hAnsi="宋体" w:cs="宋体"/>
          <w:color w:val="auto"/>
          <w:spacing w:val="-1"/>
          <w:sz w:val="24"/>
        </w:rPr>
        <w:t>合同条款中约定。承包人应按修改后的图纸实施作业。</w:t>
      </w:r>
    </w:p>
    <w:p w14:paraId="711C78FA">
      <w:pPr>
        <w:spacing w:before="1" w:line="220" w:lineRule="auto"/>
        <w:ind w:left="499"/>
        <w:rPr>
          <w:rFonts w:ascii="宋体" w:hAnsi="宋体" w:cs="宋体"/>
          <w:color w:val="auto"/>
          <w:sz w:val="24"/>
        </w:rPr>
      </w:pPr>
      <w:r>
        <w:rPr>
          <w:rFonts w:eastAsia="Times New Roman"/>
          <w:color w:val="auto"/>
          <w:spacing w:val="-7"/>
          <w:sz w:val="24"/>
        </w:rPr>
        <w:t>1.5.4</w:t>
      </w:r>
      <w:r>
        <w:rPr>
          <w:rFonts w:ascii="宋体" w:hAnsi="宋体" w:cs="宋体"/>
          <w:color w:val="auto"/>
          <w:spacing w:val="-7"/>
          <w:sz w:val="24"/>
        </w:rPr>
        <w:t>图纸的错误</w:t>
      </w:r>
    </w:p>
    <w:p w14:paraId="4F3661FF">
      <w:pPr>
        <w:spacing w:before="112" w:line="308" w:lineRule="auto"/>
        <w:ind w:left="6" w:right="164" w:firstLine="489"/>
        <w:rPr>
          <w:rFonts w:ascii="宋体" w:hAnsi="宋体" w:cs="宋体"/>
          <w:color w:val="auto"/>
          <w:sz w:val="24"/>
        </w:rPr>
      </w:pPr>
      <w:r>
        <w:rPr>
          <w:rFonts w:ascii="宋体" w:hAnsi="宋体" w:cs="宋体"/>
          <w:color w:val="auto"/>
          <w:sz w:val="24"/>
        </w:rPr>
        <w:t>当承包人在查阅合同文件或在养护项目实施过程中，发现有关的设计、技术规</w:t>
      </w:r>
      <w:r>
        <w:rPr>
          <w:rFonts w:ascii="宋体" w:hAnsi="宋体" w:cs="宋体"/>
          <w:color w:val="auto"/>
          <w:spacing w:val="1"/>
          <w:sz w:val="24"/>
        </w:rPr>
        <w:t>范、图纸或其他资料中的任何差错、遗漏或</w:t>
      </w:r>
      <w:r>
        <w:rPr>
          <w:rFonts w:ascii="宋体" w:hAnsi="宋体" w:cs="宋体"/>
          <w:color w:val="auto"/>
          <w:sz w:val="24"/>
        </w:rPr>
        <w:t>缺陷后，应及时通知咨询人。咨询人接</w:t>
      </w:r>
      <w:r>
        <w:rPr>
          <w:rFonts w:ascii="宋体" w:hAnsi="宋体" w:cs="宋体"/>
          <w:color w:val="auto"/>
          <w:spacing w:val="-1"/>
          <w:sz w:val="24"/>
        </w:rPr>
        <w:t>到该通知后，应立即就此作出决定，并通知承包人和发包人。</w:t>
      </w:r>
    </w:p>
    <w:p w14:paraId="72B2B929">
      <w:pPr>
        <w:spacing w:line="219" w:lineRule="auto"/>
        <w:ind w:left="499"/>
        <w:rPr>
          <w:rFonts w:ascii="宋体" w:hAnsi="宋体" w:cs="宋体"/>
          <w:color w:val="auto"/>
          <w:sz w:val="24"/>
        </w:rPr>
      </w:pPr>
      <w:r>
        <w:rPr>
          <w:rFonts w:eastAsia="Times New Roman"/>
          <w:color w:val="auto"/>
          <w:spacing w:val="-4"/>
          <w:sz w:val="24"/>
        </w:rPr>
        <w:t>1.5.5</w:t>
      </w:r>
      <w:r>
        <w:rPr>
          <w:rFonts w:ascii="宋体" w:hAnsi="宋体" w:cs="宋体"/>
          <w:color w:val="auto"/>
          <w:spacing w:val="-4"/>
          <w:sz w:val="24"/>
        </w:rPr>
        <w:t>图纸和承包人文件的保管</w:t>
      </w:r>
    </w:p>
    <w:p w14:paraId="537F7348">
      <w:pPr>
        <w:spacing w:before="114" w:line="304" w:lineRule="auto"/>
        <w:ind w:left="19" w:right="164" w:firstLine="470"/>
        <w:rPr>
          <w:rFonts w:ascii="宋体" w:hAnsi="宋体" w:cs="宋体"/>
          <w:color w:val="auto"/>
          <w:sz w:val="24"/>
        </w:rPr>
      </w:pPr>
      <w:r>
        <w:rPr>
          <w:rFonts w:ascii="宋体" w:hAnsi="宋体" w:cs="宋体"/>
          <w:color w:val="auto"/>
          <w:spacing w:val="9"/>
          <w:sz w:val="24"/>
        </w:rPr>
        <w:t>咨询人和承包人均应在养护作业场地各保存一套完整的包含第</w:t>
      </w:r>
      <w:r>
        <w:rPr>
          <w:rFonts w:eastAsia="Times New Roman"/>
          <w:color w:val="auto"/>
          <w:spacing w:val="9"/>
          <w:sz w:val="24"/>
        </w:rPr>
        <w:t>1.5</w:t>
      </w:r>
      <w:r>
        <w:rPr>
          <w:rFonts w:eastAsia="Times New Roman"/>
          <w:color w:val="auto"/>
          <w:spacing w:val="8"/>
          <w:sz w:val="24"/>
        </w:rPr>
        <w:t>.1</w:t>
      </w:r>
      <w:r>
        <w:rPr>
          <w:rFonts w:ascii="宋体" w:hAnsi="宋体" w:cs="宋体"/>
          <w:color w:val="auto"/>
          <w:spacing w:val="8"/>
          <w:sz w:val="24"/>
        </w:rPr>
        <w:t>项、第</w:t>
      </w:r>
      <w:r>
        <w:rPr>
          <w:rFonts w:eastAsia="Times New Roman"/>
          <w:color w:val="auto"/>
          <w:spacing w:val="-2"/>
          <w:sz w:val="24"/>
        </w:rPr>
        <w:t xml:space="preserve">1.5.2 </w:t>
      </w:r>
      <w:r>
        <w:rPr>
          <w:rFonts w:ascii="宋体" w:hAnsi="宋体" w:cs="宋体"/>
          <w:color w:val="auto"/>
          <w:spacing w:val="-2"/>
          <w:sz w:val="24"/>
        </w:rPr>
        <w:t>项、第</w:t>
      </w:r>
      <w:r>
        <w:rPr>
          <w:rFonts w:eastAsia="Times New Roman"/>
          <w:color w:val="auto"/>
          <w:spacing w:val="-2"/>
          <w:sz w:val="24"/>
        </w:rPr>
        <w:t xml:space="preserve">1.5.3 </w:t>
      </w:r>
      <w:r>
        <w:rPr>
          <w:rFonts w:ascii="宋体" w:hAnsi="宋体" w:cs="宋体"/>
          <w:color w:val="auto"/>
          <w:spacing w:val="-2"/>
          <w:sz w:val="24"/>
        </w:rPr>
        <w:t>项约定内容的图纸和承包人文件。</w:t>
      </w:r>
    </w:p>
    <w:p w14:paraId="3D0863FE">
      <w:pPr>
        <w:spacing w:before="1" w:line="221" w:lineRule="auto"/>
        <w:ind w:left="487"/>
        <w:outlineLvl w:val="3"/>
        <w:rPr>
          <w:rFonts w:ascii="宋体" w:hAnsi="宋体" w:cs="宋体"/>
          <w:color w:val="auto"/>
          <w:sz w:val="24"/>
        </w:rPr>
      </w:pPr>
      <w:r>
        <w:rPr>
          <w:rFonts w:eastAsia="Times New Roman"/>
          <w:b/>
          <w:bCs/>
          <w:color w:val="auto"/>
          <w:spacing w:val="-7"/>
          <w:sz w:val="24"/>
        </w:rPr>
        <w:t>1.6</w:t>
      </w:r>
      <w:r>
        <w:rPr>
          <w:rFonts w:ascii="宋体" w:hAnsi="宋体" w:cs="宋体"/>
          <w:b/>
          <w:bCs/>
          <w:color w:val="auto"/>
          <w:spacing w:val="-7"/>
          <w:sz w:val="24"/>
        </w:rPr>
        <w:t>联络</w:t>
      </w:r>
    </w:p>
    <w:p w14:paraId="5F04C65B">
      <w:pPr>
        <w:spacing w:before="121" w:line="263" w:lineRule="auto"/>
        <w:ind w:left="4" w:right="166" w:firstLine="494"/>
        <w:rPr>
          <w:rFonts w:ascii="宋体" w:hAnsi="宋体" w:cs="宋体"/>
          <w:color w:val="auto"/>
          <w:sz w:val="24"/>
        </w:rPr>
      </w:pPr>
      <w:r>
        <w:rPr>
          <w:rFonts w:eastAsia="Times New Roman"/>
          <w:color w:val="auto"/>
          <w:spacing w:val="3"/>
          <w:sz w:val="24"/>
        </w:rPr>
        <w:t xml:space="preserve">1.6.1  </w:t>
      </w:r>
      <w:r>
        <w:rPr>
          <w:rFonts w:ascii="宋体" w:hAnsi="宋体" w:cs="宋体"/>
          <w:color w:val="auto"/>
          <w:spacing w:val="3"/>
          <w:sz w:val="24"/>
        </w:rPr>
        <w:t>与合同有关的通知、批准、证明、证书、指示、要求、请求、同意、意</w:t>
      </w:r>
      <w:r>
        <w:rPr>
          <w:rFonts w:ascii="宋体" w:hAnsi="宋体" w:cs="宋体"/>
          <w:color w:val="auto"/>
          <w:spacing w:val="-1"/>
          <w:sz w:val="24"/>
        </w:rPr>
        <w:t>见、确定和决定等，均应采用书面形式。</w:t>
      </w:r>
    </w:p>
    <w:p w14:paraId="1A143525">
      <w:pPr>
        <w:spacing w:before="117" w:line="278" w:lineRule="auto"/>
        <w:ind w:left="4" w:right="164" w:firstLine="494"/>
        <w:rPr>
          <w:rFonts w:ascii="宋体" w:hAnsi="宋体" w:cs="宋体"/>
          <w:color w:val="auto"/>
          <w:sz w:val="24"/>
        </w:rPr>
      </w:pPr>
      <w:r>
        <w:rPr>
          <w:rFonts w:eastAsia="Times New Roman"/>
          <w:color w:val="auto"/>
          <w:spacing w:val="-1"/>
          <w:sz w:val="24"/>
        </w:rPr>
        <w:t xml:space="preserve">1.6.2  </w:t>
      </w:r>
      <w:r>
        <w:rPr>
          <w:rFonts w:ascii="宋体" w:hAnsi="宋体" w:cs="宋体"/>
          <w:color w:val="auto"/>
          <w:spacing w:val="-1"/>
          <w:sz w:val="24"/>
        </w:rPr>
        <w:t>第</w:t>
      </w:r>
      <w:r>
        <w:rPr>
          <w:rFonts w:eastAsia="Times New Roman"/>
          <w:color w:val="auto"/>
          <w:spacing w:val="-1"/>
          <w:sz w:val="24"/>
        </w:rPr>
        <w:t xml:space="preserve">1.6.1 </w:t>
      </w:r>
      <w:r>
        <w:rPr>
          <w:rFonts w:ascii="宋体" w:hAnsi="宋体" w:cs="宋体"/>
          <w:color w:val="auto"/>
          <w:spacing w:val="-1"/>
          <w:sz w:val="24"/>
        </w:rPr>
        <w:t>项中的通知、批准、证明、证书、指示、要求、请求、同意、意</w:t>
      </w:r>
      <w:r>
        <w:rPr>
          <w:rFonts w:ascii="宋体" w:hAnsi="宋体" w:cs="宋体"/>
          <w:color w:val="auto"/>
          <w:spacing w:val="1"/>
          <w:sz w:val="24"/>
        </w:rPr>
        <w:t>见、确定和决定等来往函件，均应在合同约定的</w:t>
      </w:r>
      <w:r>
        <w:rPr>
          <w:rFonts w:ascii="宋体" w:hAnsi="宋体" w:cs="宋体"/>
          <w:color w:val="auto"/>
          <w:sz w:val="24"/>
        </w:rPr>
        <w:t>期限内送达指定地点和接收人，并</w:t>
      </w:r>
      <w:r>
        <w:rPr>
          <w:rFonts w:ascii="宋体" w:hAnsi="宋体" w:cs="宋体"/>
          <w:color w:val="auto"/>
          <w:spacing w:val="-2"/>
          <w:sz w:val="24"/>
        </w:rPr>
        <w:t>办理签收手续。</w:t>
      </w:r>
    </w:p>
    <w:p w14:paraId="3D233BF8">
      <w:pPr>
        <w:spacing w:before="106" w:line="220" w:lineRule="auto"/>
        <w:ind w:left="487"/>
        <w:outlineLvl w:val="3"/>
        <w:rPr>
          <w:rFonts w:ascii="宋体" w:hAnsi="宋体" w:cs="宋体"/>
          <w:color w:val="auto"/>
          <w:sz w:val="24"/>
        </w:rPr>
      </w:pPr>
      <w:r>
        <w:rPr>
          <w:rFonts w:eastAsia="Times New Roman"/>
          <w:b/>
          <w:bCs/>
          <w:color w:val="auto"/>
          <w:spacing w:val="-7"/>
          <w:sz w:val="24"/>
        </w:rPr>
        <w:t>1.7</w:t>
      </w:r>
      <w:r>
        <w:rPr>
          <w:rFonts w:ascii="宋体" w:hAnsi="宋体" w:cs="宋体"/>
          <w:b/>
          <w:bCs/>
          <w:color w:val="auto"/>
          <w:spacing w:val="-7"/>
          <w:sz w:val="24"/>
        </w:rPr>
        <w:t>转让</w:t>
      </w:r>
    </w:p>
    <w:p w14:paraId="65B0913C">
      <w:pPr>
        <w:spacing w:before="123" w:line="304" w:lineRule="auto"/>
        <w:ind w:left="3" w:right="164" w:firstLine="491"/>
        <w:rPr>
          <w:rFonts w:ascii="宋体" w:hAnsi="宋体" w:cs="宋体"/>
          <w:color w:val="auto"/>
          <w:sz w:val="24"/>
        </w:rPr>
      </w:pPr>
      <w:r>
        <w:rPr>
          <w:rFonts w:ascii="宋体" w:hAnsi="宋体" w:cs="宋体"/>
          <w:color w:val="auto"/>
          <w:sz w:val="24"/>
        </w:rPr>
        <w:t>除合同另有约定外，未经对方当事人同意，一方当事人不得将合同权利全部或</w:t>
      </w:r>
      <w:r>
        <w:rPr>
          <w:rFonts w:ascii="宋体" w:hAnsi="宋体" w:cs="宋体"/>
          <w:color w:val="auto"/>
          <w:spacing w:val="-1"/>
          <w:sz w:val="24"/>
        </w:rPr>
        <w:t>部分转让给第三人，也不得全部或部分转移合同义务。</w:t>
      </w:r>
    </w:p>
    <w:p w14:paraId="6BEDABAB">
      <w:pPr>
        <w:spacing w:before="1" w:line="219" w:lineRule="auto"/>
        <w:ind w:left="487"/>
        <w:outlineLvl w:val="3"/>
        <w:rPr>
          <w:rFonts w:ascii="宋体" w:hAnsi="宋体" w:cs="宋体"/>
          <w:color w:val="auto"/>
          <w:sz w:val="24"/>
        </w:rPr>
      </w:pPr>
      <w:r>
        <w:rPr>
          <w:rFonts w:eastAsia="Times New Roman"/>
          <w:b/>
          <w:bCs/>
          <w:color w:val="auto"/>
          <w:spacing w:val="-5"/>
          <w:sz w:val="24"/>
        </w:rPr>
        <w:t>1.8</w:t>
      </w:r>
      <w:r>
        <w:rPr>
          <w:rFonts w:ascii="宋体" w:hAnsi="宋体" w:cs="宋体"/>
          <w:b/>
          <w:bCs/>
          <w:color w:val="auto"/>
          <w:spacing w:val="-5"/>
          <w:sz w:val="24"/>
        </w:rPr>
        <w:t>严禁贿赂</w:t>
      </w:r>
    </w:p>
    <w:p w14:paraId="2A07DD7C">
      <w:pPr>
        <w:spacing w:before="126" w:line="307" w:lineRule="auto"/>
        <w:ind w:left="19" w:firstLine="462"/>
        <w:rPr>
          <w:rFonts w:ascii="宋体" w:hAnsi="宋体" w:cs="宋体"/>
          <w:color w:val="auto"/>
          <w:sz w:val="24"/>
        </w:rPr>
      </w:pPr>
      <w:r>
        <w:rPr>
          <w:rFonts w:ascii="宋体" w:hAnsi="宋体" w:cs="宋体"/>
          <w:color w:val="auto"/>
          <w:spacing w:val="-2"/>
          <w:sz w:val="24"/>
        </w:rPr>
        <w:t>合同双方当事人不得以贿赂或变相贿赂的方式，谋取不当利益或损害对方权益。</w:t>
      </w:r>
      <w:r>
        <w:rPr>
          <w:rFonts w:ascii="宋体" w:hAnsi="宋体" w:cs="宋体"/>
          <w:color w:val="auto"/>
          <w:spacing w:val="-1"/>
          <w:sz w:val="24"/>
        </w:rPr>
        <w:t>因贿赂造成对方损失的，行为人应赔偿损失，并承担相应的法律责任。</w:t>
      </w:r>
    </w:p>
    <w:p w14:paraId="6A230C21">
      <w:pPr>
        <w:spacing w:before="2" w:line="303" w:lineRule="auto"/>
        <w:ind w:right="164" w:firstLine="480"/>
        <w:rPr>
          <w:rFonts w:ascii="宋体" w:hAnsi="宋体" w:cs="宋体"/>
          <w:color w:val="auto"/>
          <w:sz w:val="24"/>
        </w:rPr>
      </w:pPr>
      <w:r>
        <w:rPr>
          <w:rFonts w:ascii="宋体" w:hAnsi="宋体" w:cs="宋体"/>
          <w:color w:val="auto"/>
          <w:spacing w:val="1"/>
          <w:sz w:val="24"/>
        </w:rPr>
        <w:t>在合同执行过程中，发包人和承包人应严格履行《廉政合同</w:t>
      </w:r>
      <w:r>
        <w:rPr>
          <w:rFonts w:ascii="宋体" w:hAnsi="宋体" w:cs="宋体"/>
          <w:color w:val="auto"/>
          <w:sz w:val="24"/>
        </w:rPr>
        <w:t>》约定的双方在廉</w:t>
      </w:r>
      <w:r>
        <w:rPr>
          <w:rFonts w:ascii="宋体" w:hAnsi="宋体" w:cs="宋体"/>
          <w:color w:val="auto"/>
          <w:spacing w:val="-1"/>
          <w:sz w:val="24"/>
        </w:rPr>
        <w:t>政建设方面的权利和义务以及应承担的违约责任。</w:t>
      </w:r>
    </w:p>
    <w:p w14:paraId="0026CC6F">
      <w:pPr>
        <w:spacing w:line="219" w:lineRule="auto"/>
        <w:ind w:left="487"/>
        <w:outlineLvl w:val="3"/>
        <w:rPr>
          <w:rFonts w:ascii="宋体" w:hAnsi="宋体" w:cs="宋体"/>
          <w:color w:val="auto"/>
          <w:sz w:val="24"/>
        </w:rPr>
      </w:pPr>
      <w:r>
        <w:rPr>
          <w:rFonts w:eastAsia="Times New Roman"/>
          <w:b/>
          <w:bCs/>
          <w:color w:val="auto"/>
          <w:spacing w:val="-6"/>
          <w:sz w:val="24"/>
        </w:rPr>
        <w:t>1.9</w:t>
      </w:r>
      <w:r>
        <w:rPr>
          <w:rFonts w:ascii="宋体" w:hAnsi="宋体" w:cs="宋体"/>
          <w:b/>
          <w:bCs/>
          <w:color w:val="auto"/>
          <w:spacing w:val="-6"/>
          <w:sz w:val="24"/>
        </w:rPr>
        <w:t>知识产权</w:t>
      </w:r>
    </w:p>
    <w:p w14:paraId="476E95C5">
      <w:pPr>
        <w:spacing w:before="126" w:line="278" w:lineRule="auto"/>
        <w:ind w:left="2" w:right="164" w:firstLine="496"/>
        <w:rPr>
          <w:rFonts w:ascii="宋体" w:hAnsi="宋体" w:cs="宋体"/>
          <w:color w:val="auto"/>
          <w:sz w:val="24"/>
        </w:rPr>
      </w:pPr>
      <w:r>
        <w:rPr>
          <w:rFonts w:eastAsia="Times New Roman"/>
          <w:color w:val="auto"/>
          <w:spacing w:val="3"/>
          <w:sz w:val="24"/>
        </w:rPr>
        <w:t xml:space="preserve">1.9.1  </w:t>
      </w:r>
      <w:r>
        <w:rPr>
          <w:rFonts w:ascii="宋体" w:hAnsi="宋体" w:cs="宋体"/>
          <w:color w:val="auto"/>
          <w:spacing w:val="3"/>
          <w:sz w:val="24"/>
        </w:rPr>
        <w:t>承包人在使用任何材料、承包人设备、工程设备或采用施工工艺时，因</w:t>
      </w:r>
      <w:r>
        <w:rPr>
          <w:rFonts w:ascii="宋体" w:hAnsi="宋体" w:cs="宋体"/>
          <w:color w:val="auto"/>
          <w:spacing w:val="1"/>
          <w:sz w:val="24"/>
        </w:rPr>
        <w:t>侵犯专利权或其他知识产权所引起的责任，由承包人</w:t>
      </w:r>
      <w:r>
        <w:rPr>
          <w:rFonts w:ascii="宋体" w:hAnsi="宋体" w:cs="宋体"/>
          <w:color w:val="auto"/>
          <w:sz w:val="24"/>
        </w:rPr>
        <w:t>承担，但由于遵照发包人提供</w:t>
      </w:r>
      <w:r>
        <w:rPr>
          <w:rFonts w:ascii="宋体" w:hAnsi="宋体" w:cs="宋体"/>
          <w:color w:val="auto"/>
          <w:spacing w:val="-1"/>
          <w:sz w:val="24"/>
        </w:rPr>
        <w:t>的设计或技术规范引起的除外。</w:t>
      </w:r>
    </w:p>
    <w:p w14:paraId="3C2CCD18">
      <w:pPr>
        <w:spacing w:before="116" w:line="263" w:lineRule="auto"/>
        <w:ind w:right="166" w:firstLine="498"/>
        <w:rPr>
          <w:rFonts w:ascii="宋体" w:hAnsi="宋体" w:cs="宋体"/>
          <w:color w:val="auto"/>
          <w:sz w:val="24"/>
        </w:rPr>
      </w:pPr>
      <w:r>
        <w:rPr>
          <w:rFonts w:eastAsia="Times New Roman"/>
          <w:color w:val="auto"/>
          <w:spacing w:val="3"/>
          <w:sz w:val="24"/>
        </w:rPr>
        <w:t xml:space="preserve">1.9.2  </w:t>
      </w:r>
      <w:r>
        <w:rPr>
          <w:rFonts w:ascii="宋体" w:hAnsi="宋体" w:cs="宋体"/>
          <w:color w:val="auto"/>
          <w:spacing w:val="3"/>
          <w:sz w:val="24"/>
        </w:rPr>
        <w:t>承包人在实施养护项目中采用专利技术的，专利技术的使用费已包含在</w:t>
      </w:r>
      <w:r>
        <w:rPr>
          <w:rFonts w:ascii="宋体" w:hAnsi="宋体" w:cs="宋体"/>
          <w:color w:val="auto"/>
          <w:spacing w:val="-2"/>
          <w:sz w:val="24"/>
        </w:rPr>
        <w:t>签约合同价内。</w:t>
      </w:r>
    </w:p>
    <w:p w14:paraId="0432B3EC">
      <w:pPr>
        <w:spacing w:before="115" w:line="264" w:lineRule="auto"/>
        <w:ind w:left="3" w:right="166" w:firstLine="495"/>
        <w:rPr>
          <w:rFonts w:ascii="宋体" w:hAnsi="宋体" w:cs="宋体"/>
          <w:color w:val="auto"/>
          <w:sz w:val="24"/>
        </w:rPr>
      </w:pPr>
      <w:r>
        <w:rPr>
          <w:rFonts w:eastAsia="Times New Roman"/>
          <w:color w:val="auto"/>
          <w:spacing w:val="3"/>
          <w:sz w:val="24"/>
        </w:rPr>
        <w:t xml:space="preserve">1.9.3  </w:t>
      </w:r>
      <w:r>
        <w:rPr>
          <w:rFonts w:ascii="宋体" w:hAnsi="宋体" w:cs="宋体"/>
          <w:color w:val="auto"/>
          <w:spacing w:val="3"/>
          <w:sz w:val="24"/>
        </w:rPr>
        <w:t>承包人的技术秘密和声明需要保密的资料和信息，发包人和咨询人不得</w:t>
      </w:r>
      <w:r>
        <w:rPr>
          <w:rFonts w:ascii="宋体" w:hAnsi="宋体" w:cs="宋体"/>
          <w:color w:val="auto"/>
          <w:spacing w:val="-1"/>
          <w:sz w:val="24"/>
        </w:rPr>
        <w:t>为合同以外的目的泄露给他人。</w:t>
      </w:r>
    </w:p>
    <w:p w14:paraId="3B8BA052">
      <w:pPr>
        <w:spacing w:before="271" w:line="219" w:lineRule="auto"/>
        <w:ind w:left="488"/>
        <w:outlineLvl w:val="3"/>
        <w:rPr>
          <w:rFonts w:ascii="宋体" w:hAnsi="宋体" w:cs="宋体"/>
          <w:color w:val="auto"/>
          <w:sz w:val="24"/>
        </w:rPr>
      </w:pPr>
      <w:bookmarkStart w:id="117" w:name="bookmark211"/>
      <w:bookmarkEnd w:id="117"/>
      <w:r>
        <w:rPr>
          <w:rFonts w:eastAsia="Times New Roman"/>
          <w:b/>
          <w:bCs/>
          <w:color w:val="auto"/>
          <w:spacing w:val="-6"/>
          <w:sz w:val="24"/>
        </w:rPr>
        <w:t>1.10</w:t>
      </w:r>
      <w:r>
        <w:rPr>
          <w:rFonts w:ascii="宋体" w:hAnsi="宋体" w:cs="宋体"/>
          <w:b/>
          <w:bCs/>
          <w:color w:val="auto"/>
          <w:spacing w:val="-6"/>
          <w:sz w:val="24"/>
        </w:rPr>
        <w:t>图纸和文件的保密</w:t>
      </w:r>
    </w:p>
    <w:p w14:paraId="22BCB3D5">
      <w:pPr>
        <w:spacing w:before="125" w:line="263" w:lineRule="auto"/>
        <w:ind w:left="47" w:right="2" w:firstLine="452"/>
        <w:rPr>
          <w:rFonts w:ascii="宋体" w:hAnsi="宋体" w:cs="宋体"/>
          <w:color w:val="auto"/>
          <w:sz w:val="24"/>
        </w:rPr>
      </w:pPr>
      <w:r>
        <w:rPr>
          <w:rFonts w:eastAsia="Times New Roman"/>
          <w:color w:val="auto"/>
          <w:sz w:val="24"/>
        </w:rPr>
        <w:t xml:space="preserve">1.10.1  </w:t>
      </w:r>
      <w:r>
        <w:rPr>
          <w:rFonts w:ascii="宋体" w:hAnsi="宋体" w:cs="宋体"/>
          <w:color w:val="auto"/>
          <w:sz w:val="24"/>
        </w:rPr>
        <w:t>发包人提供的图纸和文件，未经发包人同意，承包人不得为合同以外的</w:t>
      </w:r>
      <w:r>
        <w:rPr>
          <w:rFonts w:ascii="宋体" w:hAnsi="宋体" w:cs="宋体"/>
          <w:color w:val="auto"/>
          <w:spacing w:val="-4"/>
          <w:sz w:val="24"/>
        </w:rPr>
        <w:t>目的泄露给他人或公开发表与引用。</w:t>
      </w:r>
    </w:p>
    <w:p w14:paraId="52F5F581">
      <w:pPr>
        <w:spacing w:before="115" w:line="264" w:lineRule="auto"/>
        <w:ind w:left="21" w:right="2" w:firstLine="479"/>
        <w:rPr>
          <w:rFonts w:ascii="宋体" w:hAnsi="宋体" w:cs="宋体"/>
          <w:color w:val="auto"/>
          <w:sz w:val="24"/>
        </w:rPr>
      </w:pPr>
      <w:r>
        <w:rPr>
          <w:rFonts w:eastAsia="Times New Roman"/>
          <w:color w:val="auto"/>
          <w:sz w:val="24"/>
        </w:rPr>
        <w:t xml:space="preserve">1.10.2  </w:t>
      </w:r>
      <w:r>
        <w:rPr>
          <w:rFonts w:ascii="宋体" w:hAnsi="宋体" w:cs="宋体"/>
          <w:color w:val="auto"/>
          <w:sz w:val="24"/>
        </w:rPr>
        <w:t>承包人提供的文件，未经承包人同意，发包人和咨询人不得为合同以外</w:t>
      </w:r>
      <w:r>
        <w:rPr>
          <w:rFonts w:ascii="宋体" w:hAnsi="宋体" w:cs="宋体"/>
          <w:color w:val="auto"/>
          <w:spacing w:val="-2"/>
          <w:sz w:val="24"/>
        </w:rPr>
        <w:t>的目的泄露给他人或公开发表与引用。</w:t>
      </w:r>
    </w:p>
    <w:p w14:paraId="64F55969">
      <w:pPr>
        <w:spacing w:before="103" w:line="219" w:lineRule="auto"/>
        <w:ind w:left="488"/>
        <w:outlineLvl w:val="3"/>
        <w:rPr>
          <w:rFonts w:ascii="宋体" w:hAnsi="宋体" w:cs="宋体"/>
          <w:color w:val="auto"/>
          <w:sz w:val="24"/>
        </w:rPr>
      </w:pPr>
      <w:r>
        <w:rPr>
          <w:rFonts w:eastAsia="Times New Roman"/>
          <w:b/>
          <w:bCs/>
          <w:color w:val="auto"/>
          <w:spacing w:val="-3"/>
          <w:sz w:val="24"/>
        </w:rPr>
        <w:t xml:space="preserve">1.11  </w:t>
      </w:r>
      <w:r>
        <w:rPr>
          <w:rFonts w:ascii="宋体" w:hAnsi="宋体" w:cs="宋体"/>
          <w:b/>
          <w:bCs/>
          <w:color w:val="auto"/>
          <w:spacing w:val="-3"/>
          <w:sz w:val="24"/>
        </w:rPr>
        <w:t>养护管理信息系统</w:t>
      </w:r>
    </w:p>
    <w:p w14:paraId="4B4A0E98">
      <w:pPr>
        <w:spacing w:before="124" w:line="304" w:lineRule="auto"/>
        <w:ind w:left="21" w:firstLine="464"/>
        <w:rPr>
          <w:rFonts w:ascii="宋体" w:hAnsi="宋体" w:cs="宋体"/>
          <w:color w:val="auto"/>
          <w:sz w:val="24"/>
        </w:rPr>
      </w:pPr>
      <w:r>
        <w:rPr>
          <w:rFonts w:ascii="宋体" w:hAnsi="宋体" w:cs="宋体"/>
          <w:color w:val="auto"/>
          <w:spacing w:val="1"/>
          <w:sz w:val="24"/>
        </w:rPr>
        <w:t>发包人使用养护管理信息系统进行项目管理的，</w:t>
      </w:r>
      <w:r>
        <w:rPr>
          <w:rFonts w:ascii="宋体" w:hAnsi="宋体" w:cs="宋体"/>
          <w:color w:val="auto"/>
          <w:sz w:val="24"/>
        </w:rPr>
        <w:t>养护相关技术文件和养护数据</w:t>
      </w:r>
      <w:r>
        <w:rPr>
          <w:rFonts w:ascii="宋体" w:hAnsi="宋体" w:cs="宋体"/>
          <w:color w:val="auto"/>
          <w:spacing w:val="-1"/>
          <w:sz w:val="24"/>
        </w:rPr>
        <w:t>的收集、加工、录入、存储、归档、费用列支等要求在专用合同条款中约定。</w:t>
      </w:r>
    </w:p>
    <w:p w14:paraId="03DA769F">
      <w:pPr>
        <w:spacing w:before="1" w:line="219" w:lineRule="auto"/>
        <w:ind w:left="488"/>
        <w:outlineLvl w:val="3"/>
        <w:rPr>
          <w:rFonts w:ascii="宋体" w:hAnsi="宋体" w:cs="宋体"/>
          <w:color w:val="auto"/>
          <w:sz w:val="24"/>
        </w:rPr>
      </w:pPr>
      <w:r>
        <w:rPr>
          <w:rFonts w:eastAsia="Times New Roman"/>
          <w:b/>
          <w:bCs/>
          <w:color w:val="auto"/>
          <w:spacing w:val="-3"/>
          <w:sz w:val="24"/>
        </w:rPr>
        <w:t xml:space="preserve">1.12  </w:t>
      </w:r>
      <w:r>
        <w:rPr>
          <w:rFonts w:ascii="宋体" w:hAnsi="宋体" w:cs="宋体"/>
          <w:b/>
          <w:bCs/>
          <w:color w:val="auto"/>
          <w:spacing w:val="-3"/>
          <w:sz w:val="24"/>
        </w:rPr>
        <w:t>施工产生资源的利用</w:t>
      </w:r>
    </w:p>
    <w:p w14:paraId="6683C55B">
      <w:pPr>
        <w:spacing w:before="124" w:line="309" w:lineRule="auto"/>
        <w:ind w:firstLine="480"/>
        <w:rPr>
          <w:rFonts w:ascii="宋体" w:hAnsi="宋体" w:cs="宋体"/>
          <w:color w:val="auto"/>
          <w:sz w:val="24"/>
        </w:rPr>
      </w:pPr>
      <w:r>
        <w:rPr>
          <w:rFonts w:ascii="宋体" w:hAnsi="宋体" w:cs="宋体"/>
          <w:color w:val="auto"/>
          <w:spacing w:val="1"/>
          <w:sz w:val="24"/>
        </w:rPr>
        <w:t>在合同工程范围内，承包人在施工过程中产生的可循环再生</w:t>
      </w:r>
      <w:r>
        <w:rPr>
          <w:rFonts w:ascii="宋体" w:hAnsi="宋体" w:cs="宋体"/>
          <w:color w:val="auto"/>
          <w:sz w:val="24"/>
        </w:rPr>
        <w:t>利用资源应按要求</w:t>
      </w:r>
      <w:r>
        <w:rPr>
          <w:rFonts w:ascii="宋体" w:hAnsi="宋体" w:cs="宋体"/>
          <w:color w:val="auto"/>
          <w:spacing w:val="1"/>
          <w:sz w:val="24"/>
        </w:rPr>
        <w:t>进行分类收集，及时回收运至发包人指定地点进行分类储存与</w:t>
      </w:r>
      <w:r>
        <w:rPr>
          <w:rFonts w:ascii="宋体" w:hAnsi="宋体" w:cs="宋体"/>
          <w:color w:val="auto"/>
          <w:sz w:val="24"/>
        </w:rPr>
        <w:t>再生利用，可循环再</w:t>
      </w:r>
      <w:r>
        <w:rPr>
          <w:rFonts w:ascii="宋体" w:hAnsi="宋体" w:cs="宋体"/>
          <w:color w:val="auto"/>
          <w:spacing w:val="1"/>
          <w:sz w:val="24"/>
        </w:rPr>
        <w:t>生利用资源的范围、处置方式、费用承担及利益分享等事宜，</w:t>
      </w:r>
      <w:r>
        <w:rPr>
          <w:rFonts w:ascii="宋体" w:hAnsi="宋体" w:cs="宋体"/>
          <w:color w:val="auto"/>
          <w:sz w:val="24"/>
        </w:rPr>
        <w:t>由发包人和承包人依</w:t>
      </w:r>
      <w:r>
        <w:rPr>
          <w:rFonts w:ascii="宋体" w:hAnsi="宋体" w:cs="宋体"/>
          <w:color w:val="auto"/>
          <w:spacing w:val="1"/>
          <w:sz w:val="24"/>
        </w:rPr>
        <w:t>据国家相关法律在专用合同条款中约定。无法循环再生利用的</w:t>
      </w:r>
      <w:r>
        <w:rPr>
          <w:rFonts w:ascii="宋体" w:hAnsi="宋体" w:cs="宋体"/>
          <w:color w:val="auto"/>
          <w:sz w:val="24"/>
        </w:rPr>
        <w:t>废料应集中弃运至路</w:t>
      </w:r>
      <w:r>
        <w:rPr>
          <w:rFonts w:ascii="宋体" w:hAnsi="宋体" w:cs="宋体"/>
          <w:color w:val="auto"/>
          <w:spacing w:val="-1"/>
          <w:sz w:val="24"/>
        </w:rPr>
        <w:t>线外的垃圾场妥善处理。</w:t>
      </w:r>
    </w:p>
    <w:p w14:paraId="043A79E1">
      <w:pPr>
        <w:spacing w:before="304" w:line="219" w:lineRule="auto"/>
        <w:ind w:left="478"/>
        <w:outlineLvl w:val="2"/>
        <w:rPr>
          <w:rFonts w:ascii="宋体" w:hAnsi="宋体" w:cs="宋体"/>
          <w:color w:val="auto"/>
          <w:sz w:val="24"/>
        </w:rPr>
      </w:pPr>
      <w:bookmarkStart w:id="118" w:name="bookmark10"/>
      <w:bookmarkEnd w:id="118"/>
      <w:bookmarkStart w:id="119" w:name="bookmark9"/>
      <w:bookmarkEnd w:id="119"/>
      <w:r>
        <w:rPr>
          <w:rFonts w:eastAsia="Times New Roman"/>
          <w:b/>
          <w:bCs/>
          <w:color w:val="auto"/>
          <w:spacing w:val="-4"/>
          <w:sz w:val="24"/>
        </w:rPr>
        <w:t>2.</w:t>
      </w:r>
      <w:r>
        <w:rPr>
          <w:rFonts w:ascii="宋体" w:hAnsi="宋体" w:cs="宋体"/>
          <w:b/>
          <w:bCs/>
          <w:color w:val="auto"/>
          <w:spacing w:val="-4"/>
          <w:sz w:val="24"/>
        </w:rPr>
        <w:t>发包人义务</w:t>
      </w:r>
    </w:p>
    <w:p w14:paraId="4ABC13F3">
      <w:pPr>
        <w:spacing w:before="260" w:line="219" w:lineRule="auto"/>
        <w:ind w:left="478"/>
        <w:outlineLvl w:val="3"/>
        <w:rPr>
          <w:rFonts w:ascii="宋体" w:hAnsi="宋体" w:cs="宋体"/>
          <w:color w:val="auto"/>
          <w:sz w:val="24"/>
        </w:rPr>
      </w:pPr>
      <w:r>
        <w:rPr>
          <w:rFonts w:eastAsia="Times New Roman"/>
          <w:b/>
          <w:bCs/>
          <w:color w:val="auto"/>
          <w:spacing w:val="-2"/>
          <w:sz w:val="24"/>
        </w:rPr>
        <w:t xml:space="preserve">2.1  </w:t>
      </w:r>
      <w:r>
        <w:rPr>
          <w:rFonts w:ascii="宋体" w:hAnsi="宋体" w:cs="宋体"/>
          <w:b/>
          <w:bCs/>
          <w:color w:val="auto"/>
          <w:spacing w:val="-2"/>
          <w:sz w:val="24"/>
        </w:rPr>
        <w:t>遵守法律</w:t>
      </w:r>
    </w:p>
    <w:p w14:paraId="40A60F7A">
      <w:pPr>
        <w:spacing w:before="125" w:line="304" w:lineRule="auto"/>
        <w:ind w:left="1" w:firstLine="483"/>
        <w:rPr>
          <w:rFonts w:ascii="宋体" w:hAnsi="宋体" w:cs="宋体"/>
          <w:color w:val="auto"/>
          <w:sz w:val="24"/>
        </w:rPr>
      </w:pPr>
      <w:r>
        <w:rPr>
          <w:rFonts w:ascii="宋体" w:hAnsi="宋体" w:cs="宋体"/>
          <w:color w:val="auto"/>
          <w:spacing w:val="1"/>
          <w:sz w:val="24"/>
        </w:rPr>
        <w:t>发包人在履行合同过程中应遵守法律，并保证承</w:t>
      </w:r>
      <w:r>
        <w:rPr>
          <w:rFonts w:ascii="宋体" w:hAnsi="宋体" w:cs="宋体"/>
          <w:color w:val="auto"/>
          <w:sz w:val="24"/>
        </w:rPr>
        <w:t>包人免于承担因发包人违反法</w:t>
      </w:r>
      <w:r>
        <w:rPr>
          <w:rFonts w:ascii="宋体" w:hAnsi="宋体" w:cs="宋体"/>
          <w:color w:val="auto"/>
          <w:spacing w:val="-1"/>
          <w:sz w:val="24"/>
        </w:rPr>
        <w:t>律而引起的任何责任。</w:t>
      </w:r>
    </w:p>
    <w:p w14:paraId="1E2519B2">
      <w:pPr>
        <w:spacing w:line="220" w:lineRule="auto"/>
        <w:ind w:left="478"/>
        <w:outlineLvl w:val="3"/>
        <w:rPr>
          <w:rFonts w:ascii="宋体" w:hAnsi="宋体" w:cs="宋体"/>
          <w:color w:val="auto"/>
          <w:sz w:val="24"/>
        </w:rPr>
      </w:pPr>
      <w:r>
        <w:rPr>
          <w:rFonts w:eastAsia="Times New Roman"/>
          <w:b/>
          <w:bCs/>
          <w:color w:val="auto"/>
          <w:spacing w:val="-2"/>
          <w:sz w:val="24"/>
        </w:rPr>
        <w:t xml:space="preserve">2.2  </w:t>
      </w:r>
      <w:r>
        <w:rPr>
          <w:rFonts w:ascii="宋体" w:hAnsi="宋体" w:cs="宋体"/>
          <w:b/>
          <w:bCs/>
          <w:color w:val="auto"/>
          <w:spacing w:val="-2"/>
          <w:sz w:val="24"/>
        </w:rPr>
        <w:t>发出开工通知</w:t>
      </w:r>
    </w:p>
    <w:p w14:paraId="7CA29413">
      <w:pPr>
        <w:spacing w:before="124" w:line="219" w:lineRule="auto"/>
        <w:ind w:left="485"/>
        <w:rPr>
          <w:rFonts w:ascii="宋体" w:hAnsi="宋体" w:cs="宋体"/>
          <w:color w:val="auto"/>
          <w:sz w:val="24"/>
        </w:rPr>
      </w:pPr>
      <w:r>
        <w:rPr>
          <w:rFonts w:ascii="宋体" w:hAnsi="宋体" w:cs="宋体"/>
          <w:color w:val="auto"/>
          <w:spacing w:val="-2"/>
          <w:sz w:val="24"/>
        </w:rPr>
        <w:t>发包人应委托咨询人按第</w:t>
      </w:r>
      <w:r>
        <w:rPr>
          <w:rFonts w:eastAsia="Times New Roman"/>
          <w:color w:val="auto"/>
          <w:spacing w:val="-2"/>
          <w:sz w:val="24"/>
        </w:rPr>
        <w:t xml:space="preserve">11.1 </w:t>
      </w:r>
      <w:r>
        <w:rPr>
          <w:rFonts w:ascii="宋体" w:hAnsi="宋体" w:cs="宋体"/>
          <w:color w:val="auto"/>
          <w:spacing w:val="-2"/>
          <w:sz w:val="24"/>
        </w:rPr>
        <w:t>款的约定向承包人发出开工通知。</w:t>
      </w:r>
    </w:p>
    <w:p w14:paraId="201223E5">
      <w:pPr>
        <w:spacing w:before="104" w:line="219" w:lineRule="auto"/>
        <w:ind w:left="478"/>
        <w:outlineLvl w:val="3"/>
        <w:rPr>
          <w:rFonts w:ascii="宋体" w:hAnsi="宋体" w:cs="宋体"/>
          <w:color w:val="auto"/>
          <w:sz w:val="24"/>
        </w:rPr>
      </w:pPr>
      <w:r>
        <w:rPr>
          <w:rFonts w:eastAsia="Times New Roman"/>
          <w:b/>
          <w:bCs/>
          <w:color w:val="auto"/>
          <w:spacing w:val="-2"/>
          <w:sz w:val="24"/>
        </w:rPr>
        <w:t xml:space="preserve">2.3  </w:t>
      </w:r>
      <w:r>
        <w:rPr>
          <w:rFonts w:ascii="宋体" w:hAnsi="宋体" w:cs="宋体"/>
          <w:b/>
          <w:bCs/>
          <w:color w:val="auto"/>
          <w:spacing w:val="-2"/>
          <w:sz w:val="24"/>
        </w:rPr>
        <w:t>提供养护作业场地</w:t>
      </w:r>
    </w:p>
    <w:p w14:paraId="074EEB40">
      <w:pPr>
        <w:spacing w:before="125" w:line="304" w:lineRule="auto"/>
        <w:ind w:firstLine="495"/>
        <w:rPr>
          <w:rFonts w:ascii="宋体" w:hAnsi="宋体" w:cs="宋体"/>
          <w:color w:val="auto"/>
          <w:sz w:val="24"/>
        </w:rPr>
      </w:pPr>
      <w:r>
        <w:rPr>
          <w:rFonts w:ascii="宋体" w:hAnsi="宋体" w:cs="宋体"/>
          <w:color w:val="auto"/>
          <w:sz w:val="24"/>
        </w:rPr>
        <w:t>除专用合同条款另有约定外，发包人应按已通过审查或批复的施工组织设计文</w:t>
      </w:r>
      <w:r>
        <w:rPr>
          <w:rFonts w:ascii="宋体" w:hAnsi="宋体" w:cs="宋体"/>
          <w:color w:val="auto"/>
          <w:spacing w:val="-1"/>
          <w:sz w:val="24"/>
        </w:rPr>
        <w:t>件，向承包人提供在公路两侧路权范围内的养护作业场地。</w:t>
      </w:r>
    </w:p>
    <w:p w14:paraId="109E75C5">
      <w:pPr>
        <w:spacing w:line="219" w:lineRule="auto"/>
        <w:ind w:left="478"/>
        <w:outlineLvl w:val="3"/>
        <w:rPr>
          <w:rFonts w:ascii="宋体" w:hAnsi="宋体" w:cs="宋体"/>
          <w:color w:val="auto"/>
          <w:sz w:val="24"/>
        </w:rPr>
      </w:pPr>
      <w:r>
        <w:rPr>
          <w:rFonts w:eastAsia="Times New Roman"/>
          <w:b/>
          <w:bCs/>
          <w:color w:val="auto"/>
          <w:spacing w:val="-2"/>
          <w:sz w:val="24"/>
        </w:rPr>
        <w:t xml:space="preserve">2.4  </w:t>
      </w:r>
      <w:r>
        <w:rPr>
          <w:rFonts w:ascii="宋体" w:hAnsi="宋体" w:cs="宋体"/>
          <w:b/>
          <w:bCs/>
          <w:color w:val="auto"/>
          <w:spacing w:val="-2"/>
          <w:sz w:val="24"/>
        </w:rPr>
        <w:t>协助承包人办理证件和批件</w:t>
      </w:r>
    </w:p>
    <w:p w14:paraId="17555703">
      <w:pPr>
        <w:spacing w:before="126" w:line="219" w:lineRule="auto"/>
        <w:ind w:left="485"/>
        <w:rPr>
          <w:rFonts w:ascii="宋体" w:hAnsi="宋体" w:cs="宋体"/>
          <w:color w:val="auto"/>
          <w:sz w:val="24"/>
        </w:rPr>
      </w:pPr>
      <w:r>
        <w:rPr>
          <w:rFonts w:ascii="宋体" w:hAnsi="宋体" w:cs="宋体"/>
          <w:color w:val="auto"/>
          <w:spacing w:val="-1"/>
          <w:sz w:val="24"/>
        </w:rPr>
        <w:t>发包人应协助承包人办理法律规定的有关施工证件和批件。</w:t>
      </w:r>
    </w:p>
    <w:p w14:paraId="40E6BF7F">
      <w:pPr>
        <w:spacing w:before="106" w:line="221" w:lineRule="auto"/>
        <w:ind w:left="478"/>
        <w:outlineLvl w:val="3"/>
        <w:rPr>
          <w:rFonts w:ascii="宋体" w:hAnsi="宋体" w:cs="宋体"/>
          <w:color w:val="auto"/>
          <w:sz w:val="24"/>
        </w:rPr>
      </w:pPr>
      <w:r>
        <w:rPr>
          <w:rFonts w:eastAsia="Times New Roman"/>
          <w:b/>
          <w:bCs/>
          <w:color w:val="auto"/>
          <w:spacing w:val="-2"/>
          <w:sz w:val="24"/>
        </w:rPr>
        <w:t xml:space="preserve">2.5  </w:t>
      </w:r>
      <w:r>
        <w:rPr>
          <w:rFonts w:ascii="宋体" w:hAnsi="宋体" w:cs="宋体"/>
          <w:b/>
          <w:bCs/>
          <w:color w:val="auto"/>
          <w:spacing w:val="-2"/>
          <w:sz w:val="24"/>
        </w:rPr>
        <w:t>组织设计交底</w:t>
      </w:r>
    </w:p>
    <w:p w14:paraId="5A4FB29F">
      <w:pPr>
        <w:spacing w:before="124" w:line="219" w:lineRule="auto"/>
        <w:ind w:left="485"/>
        <w:rPr>
          <w:rFonts w:ascii="宋体" w:hAnsi="宋体" w:cs="宋体"/>
          <w:color w:val="auto"/>
          <w:sz w:val="24"/>
        </w:rPr>
      </w:pPr>
      <w:r>
        <w:rPr>
          <w:rFonts w:ascii="宋体" w:hAnsi="宋体" w:cs="宋体"/>
          <w:color w:val="auto"/>
          <w:spacing w:val="-1"/>
          <w:sz w:val="24"/>
        </w:rPr>
        <w:t>发包人应根据合同进度计划，组织设计单位向承包人进行设计交底。</w:t>
      </w:r>
    </w:p>
    <w:p w14:paraId="1D520684">
      <w:pPr>
        <w:spacing w:before="103" w:line="218" w:lineRule="auto"/>
        <w:ind w:left="478"/>
        <w:outlineLvl w:val="3"/>
        <w:rPr>
          <w:rFonts w:ascii="宋体" w:hAnsi="宋体" w:cs="宋体"/>
          <w:color w:val="auto"/>
          <w:sz w:val="24"/>
        </w:rPr>
      </w:pPr>
      <w:r>
        <w:rPr>
          <w:rFonts w:eastAsia="Times New Roman"/>
          <w:b/>
          <w:bCs/>
          <w:color w:val="auto"/>
          <w:spacing w:val="-2"/>
          <w:sz w:val="24"/>
        </w:rPr>
        <w:t xml:space="preserve">2.6  </w:t>
      </w:r>
      <w:r>
        <w:rPr>
          <w:rFonts w:ascii="宋体" w:hAnsi="宋体" w:cs="宋体"/>
          <w:b/>
          <w:bCs/>
          <w:color w:val="auto"/>
          <w:spacing w:val="-2"/>
          <w:sz w:val="24"/>
        </w:rPr>
        <w:t>支付合同价款</w:t>
      </w:r>
    </w:p>
    <w:p w14:paraId="45A115F0">
      <w:pPr>
        <w:spacing w:before="127" w:line="218" w:lineRule="auto"/>
        <w:ind w:left="485"/>
        <w:rPr>
          <w:rFonts w:ascii="宋体" w:hAnsi="宋体" w:cs="宋体"/>
          <w:color w:val="auto"/>
          <w:sz w:val="24"/>
        </w:rPr>
      </w:pPr>
      <w:r>
        <w:rPr>
          <w:rFonts w:ascii="宋体" w:hAnsi="宋体" w:cs="宋体"/>
          <w:color w:val="auto"/>
          <w:spacing w:val="-1"/>
          <w:sz w:val="24"/>
        </w:rPr>
        <w:t>发包人应按合同约定向承包人及时支付合同价款。</w:t>
      </w:r>
    </w:p>
    <w:p w14:paraId="2C78B24B">
      <w:pPr>
        <w:spacing w:before="106" w:line="219" w:lineRule="auto"/>
        <w:ind w:left="478"/>
        <w:outlineLvl w:val="3"/>
        <w:rPr>
          <w:rFonts w:ascii="宋体" w:hAnsi="宋体" w:cs="宋体"/>
          <w:color w:val="auto"/>
          <w:sz w:val="24"/>
        </w:rPr>
      </w:pPr>
      <w:r>
        <w:rPr>
          <w:rFonts w:eastAsia="Times New Roman"/>
          <w:b/>
          <w:bCs/>
          <w:color w:val="auto"/>
          <w:spacing w:val="-2"/>
          <w:sz w:val="24"/>
        </w:rPr>
        <w:t xml:space="preserve">2.7  </w:t>
      </w:r>
      <w:r>
        <w:rPr>
          <w:rFonts w:ascii="宋体" w:hAnsi="宋体" w:cs="宋体"/>
          <w:b/>
          <w:bCs/>
          <w:color w:val="auto"/>
          <w:spacing w:val="-2"/>
          <w:sz w:val="24"/>
        </w:rPr>
        <w:t>组织工程验收</w:t>
      </w:r>
    </w:p>
    <w:p w14:paraId="318A7A9B">
      <w:pPr>
        <w:spacing w:before="126" w:line="219" w:lineRule="auto"/>
        <w:ind w:left="485"/>
        <w:rPr>
          <w:rFonts w:ascii="宋体" w:hAnsi="宋体" w:cs="宋体"/>
          <w:color w:val="auto"/>
          <w:sz w:val="24"/>
        </w:rPr>
      </w:pPr>
      <w:r>
        <w:rPr>
          <w:rFonts w:ascii="宋体" w:hAnsi="宋体" w:cs="宋体"/>
          <w:color w:val="auto"/>
          <w:spacing w:val="-1"/>
          <w:sz w:val="24"/>
        </w:rPr>
        <w:t>发包人应按合同约定及时组织工程验收。</w:t>
      </w:r>
    </w:p>
    <w:p w14:paraId="5FBEA7D5">
      <w:pPr>
        <w:spacing w:before="106" w:line="219" w:lineRule="auto"/>
        <w:ind w:left="478"/>
        <w:outlineLvl w:val="3"/>
        <w:rPr>
          <w:rFonts w:ascii="宋体" w:hAnsi="宋体" w:cs="宋体"/>
          <w:color w:val="auto"/>
          <w:sz w:val="24"/>
        </w:rPr>
      </w:pPr>
      <w:r>
        <w:rPr>
          <w:rFonts w:eastAsia="Times New Roman"/>
          <w:b/>
          <w:bCs/>
          <w:color w:val="auto"/>
          <w:spacing w:val="-2"/>
          <w:sz w:val="24"/>
        </w:rPr>
        <w:t xml:space="preserve">2.8  </w:t>
      </w:r>
      <w:r>
        <w:rPr>
          <w:rFonts w:ascii="宋体" w:hAnsi="宋体" w:cs="宋体"/>
          <w:b/>
          <w:bCs/>
          <w:color w:val="auto"/>
          <w:spacing w:val="-2"/>
          <w:sz w:val="24"/>
        </w:rPr>
        <w:t>其他义务</w:t>
      </w:r>
    </w:p>
    <w:p w14:paraId="5F4EE45F">
      <w:pPr>
        <w:spacing w:before="126" w:line="219" w:lineRule="auto"/>
        <w:ind w:left="485"/>
        <w:rPr>
          <w:color w:val="auto"/>
        </w:rPr>
      </w:pPr>
      <w:r>
        <w:rPr>
          <w:rFonts w:ascii="宋体" w:hAnsi="宋体" w:cs="宋体"/>
          <w:color w:val="auto"/>
          <w:spacing w:val="-1"/>
          <w:sz w:val="24"/>
        </w:rPr>
        <w:t>发包人应履行合同约定的其他义务。</w:t>
      </w:r>
    </w:p>
    <w:p w14:paraId="27D8C1D4">
      <w:pPr>
        <w:spacing w:before="78" w:line="221" w:lineRule="auto"/>
        <w:ind w:firstLine="472" w:firstLineChars="200"/>
        <w:outlineLvl w:val="2"/>
        <w:rPr>
          <w:rFonts w:ascii="宋体" w:hAnsi="宋体" w:cs="宋体"/>
          <w:color w:val="auto"/>
          <w:sz w:val="24"/>
        </w:rPr>
      </w:pPr>
      <w:bookmarkStart w:id="120" w:name="bookmark11"/>
      <w:bookmarkEnd w:id="120"/>
      <w:bookmarkStart w:id="121" w:name="bookmark12"/>
      <w:bookmarkEnd w:id="121"/>
      <w:r>
        <w:rPr>
          <w:rFonts w:eastAsia="Times New Roman"/>
          <w:b/>
          <w:bCs/>
          <w:color w:val="auto"/>
          <w:spacing w:val="-2"/>
          <w:sz w:val="24"/>
        </w:rPr>
        <w:t xml:space="preserve">3.  </w:t>
      </w:r>
      <w:r>
        <w:rPr>
          <w:rFonts w:ascii="宋体" w:hAnsi="宋体" w:cs="宋体"/>
          <w:b/>
          <w:bCs/>
          <w:color w:val="auto"/>
          <w:spacing w:val="-2"/>
          <w:sz w:val="24"/>
        </w:rPr>
        <w:t>咨询人（监理人）</w:t>
      </w:r>
    </w:p>
    <w:p w14:paraId="236DF24A">
      <w:pPr>
        <w:spacing w:before="258" w:line="219" w:lineRule="auto"/>
        <w:ind w:left="475"/>
        <w:outlineLvl w:val="3"/>
        <w:rPr>
          <w:rFonts w:ascii="宋体" w:hAnsi="宋体" w:cs="宋体"/>
          <w:color w:val="auto"/>
          <w:sz w:val="24"/>
        </w:rPr>
      </w:pPr>
      <w:r>
        <w:rPr>
          <w:rFonts w:eastAsia="Times New Roman"/>
          <w:b/>
          <w:bCs/>
          <w:color w:val="auto"/>
          <w:spacing w:val="-2"/>
          <w:sz w:val="24"/>
        </w:rPr>
        <w:t xml:space="preserve">3.1  </w:t>
      </w:r>
      <w:r>
        <w:rPr>
          <w:rFonts w:ascii="宋体" w:hAnsi="宋体" w:cs="宋体"/>
          <w:b/>
          <w:bCs/>
          <w:color w:val="auto"/>
          <w:spacing w:val="-2"/>
          <w:sz w:val="24"/>
        </w:rPr>
        <w:t>咨询人的职责和权力</w:t>
      </w:r>
    </w:p>
    <w:p w14:paraId="2DF84116">
      <w:pPr>
        <w:spacing w:before="126" w:line="307" w:lineRule="auto"/>
        <w:ind w:left="14" w:right="2" w:firstLine="467"/>
        <w:rPr>
          <w:rFonts w:ascii="宋体" w:hAnsi="宋体" w:cs="宋体"/>
          <w:color w:val="auto"/>
          <w:sz w:val="24"/>
        </w:rPr>
      </w:pPr>
      <w:r>
        <w:rPr>
          <w:rFonts w:eastAsia="Times New Roman"/>
          <w:color w:val="auto"/>
          <w:spacing w:val="4"/>
          <w:sz w:val="24"/>
        </w:rPr>
        <w:t xml:space="preserve">3.1.1  </w:t>
      </w:r>
      <w:r>
        <w:rPr>
          <w:rFonts w:ascii="宋体" w:hAnsi="宋体" w:cs="宋体"/>
          <w:color w:val="auto"/>
          <w:spacing w:val="4"/>
          <w:sz w:val="24"/>
        </w:rPr>
        <w:t>咨询人受发包人委托，享有合同约定的权力。咨</w:t>
      </w:r>
      <w:r>
        <w:rPr>
          <w:rFonts w:ascii="宋体" w:hAnsi="宋体" w:cs="宋体"/>
          <w:color w:val="auto"/>
          <w:spacing w:val="3"/>
          <w:sz w:val="24"/>
        </w:rPr>
        <w:t>询人在行使下列权力前</w:t>
      </w:r>
      <w:r>
        <w:rPr>
          <w:rFonts w:ascii="宋体" w:hAnsi="宋体" w:cs="宋体"/>
          <w:color w:val="auto"/>
          <w:spacing w:val="-3"/>
          <w:sz w:val="24"/>
        </w:rPr>
        <w:t>需要经发包人事先批准：</w:t>
      </w:r>
    </w:p>
    <w:p w14:paraId="0455FEC2">
      <w:pPr>
        <w:spacing w:line="219" w:lineRule="auto"/>
        <w:ind w:left="492"/>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1</w:t>
      </w:r>
      <w:r>
        <w:rPr>
          <w:rFonts w:ascii="宋体" w:hAnsi="宋体" w:cs="宋体"/>
          <w:color w:val="auto"/>
          <w:spacing w:val="-1"/>
          <w:sz w:val="24"/>
        </w:rPr>
        <w:t>）根据第</w:t>
      </w:r>
      <w:r>
        <w:rPr>
          <w:rFonts w:eastAsia="Times New Roman"/>
          <w:color w:val="auto"/>
          <w:spacing w:val="-1"/>
          <w:sz w:val="24"/>
        </w:rPr>
        <w:t xml:space="preserve">4.3 </w:t>
      </w:r>
      <w:r>
        <w:rPr>
          <w:rFonts w:ascii="宋体" w:hAnsi="宋体" w:cs="宋体"/>
          <w:color w:val="auto"/>
          <w:spacing w:val="-1"/>
          <w:sz w:val="24"/>
        </w:rPr>
        <w:t>款，同意分包部分养护</w:t>
      </w:r>
      <w:r>
        <w:rPr>
          <w:rFonts w:ascii="宋体" w:hAnsi="宋体" w:cs="宋体"/>
          <w:color w:val="auto"/>
          <w:spacing w:val="-2"/>
          <w:sz w:val="24"/>
        </w:rPr>
        <w:t>项目；</w:t>
      </w:r>
    </w:p>
    <w:p w14:paraId="017D31B9">
      <w:pPr>
        <w:spacing w:before="116" w:line="219" w:lineRule="auto"/>
        <w:ind w:left="492"/>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2</w:t>
      </w:r>
      <w:r>
        <w:rPr>
          <w:rFonts w:ascii="宋体" w:hAnsi="宋体" w:cs="宋体"/>
          <w:color w:val="auto"/>
          <w:spacing w:val="-2"/>
          <w:sz w:val="24"/>
        </w:rPr>
        <w:t>）确定第</w:t>
      </w:r>
      <w:r>
        <w:rPr>
          <w:rFonts w:eastAsia="Times New Roman"/>
          <w:color w:val="auto"/>
          <w:spacing w:val="-2"/>
          <w:sz w:val="24"/>
        </w:rPr>
        <w:t xml:space="preserve">4.13 </w:t>
      </w:r>
      <w:r>
        <w:rPr>
          <w:rFonts w:ascii="宋体" w:hAnsi="宋体" w:cs="宋体"/>
          <w:color w:val="auto"/>
          <w:spacing w:val="-2"/>
          <w:sz w:val="24"/>
        </w:rPr>
        <w:t>款下产生的费用增加额；</w:t>
      </w:r>
    </w:p>
    <w:p w14:paraId="55E0B0FA">
      <w:pPr>
        <w:spacing w:before="113" w:line="264" w:lineRule="auto"/>
        <w:ind w:left="1" w:firstLine="490"/>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3</w:t>
      </w:r>
      <w:r>
        <w:rPr>
          <w:rFonts w:ascii="宋体" w:hAnsi="宋体" w:cs="宋体"/>
          <w:color w:val="auto"/>
          <w:spacing w:val="1"/>
          <w:sz w:val="24"/>
        </w:rPr>
        <w:t>）根据第</w:t>
      </w:r>
      <w:r>
        <w:rPr>
          <w:rFonts w:eastAsia="Times New Roman"/>
          <w:color w:val="auto"/>
          <w:spacing w:val="1"/>
          <w:sz w:val="24"/>
        </w:rPr>
        <w:t>11.1</w:t>
      </w:r>
      <w:r>
        <w:rPr>
          <w:rFonts w:ascii="宋体" w:hAnsi="宋体" w:cs="宋体"/>
          <w:color w:val="auto"/>
          <w:spacing w:val="1"/>
          <w:sz w:val="24"/>
        </w:rPr>
        <w:t>款、第</w:t>
      </w:r>
      <w:r>
        <w:rPr>
          <w:rFonts w:eastAsia="Times New Roman"/>
          <w:color w:val="auto"/>
          <w:spacing w:val="1"/>
          <w:sz w:val="24"/>
        </w:rPr>
        <w:t>12.3</w:t>
      </w:r>
      <w:r>
        <w:rPr>
          <w:rFonts w:ascii="宋体" w:hAnsi="宋体" w:cs="宋体"/>
          <w:color w:val="auto"/>
          <w:spacing w:val="1"/>
          <w:sz w:val="24"/>
        </w:rPr>
        <w:t>款、第</w:t>
      </w:r>
      <w:r>
        <w:rPr>
          <w:rFonts w:eastAsia="Times New Roman"/>
          <w:color w:val="auto"/>
          <w:spacing w:val="1"/>
          <w:sz w:val="24"/>
        </w:rPr>
        <w:t>12.4</w:t>
      </w:r>
      <w:r>
        <w:rPr>
          <w:rFonts w:ascii="宋体" w:hAnsi="宋体" w:cs="宋体"/>
          <w:color w:val="auto"/>
          <w:spacing w:val="1"/>
          <w:sz w:val="24"/>
        </w:rPr>
        <w:t>款发布开工通</w:t>
      </w:r>
      <w:r>
        <w:rPr>
          <w:rFonts w:ascii="宋体" w:hAnsi="宋体" w:cs="宋体"/>
          <w:color w:val="auto"/>
          <w:sz w:val="24"/>
        </w:rPr>
        <w:t>知、暂停养护作业指</w:t>
      </w:r>
      <w:r>
        <w:rPr>
          <w:rFonts w:ascii="宋体" w:hAnsi="宋体" w:cs="宋体"/>
          <w:color w:val="auto"/>
          <w:spacing w:val="-2"/>
          <w:sz w:val="24"/>
        </w:rPr>
        <w:t>示或复工通知；</w:t>
      </w:r>
    </w:p>
    <w:p w14:paraId="3917062D">
      <w:pPr>
        <w:spacing w:before="115" w:line="219" w:lineRule="auto"/>
        <w:ind w:left="492"/>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4</w:t>
      </w:r>
      <w:r>
        <w:rPr>
          <w:rFonts w:ascii="宋体" w:hAnsi="宋体" w:cs="宋体"/>
          <w:color w:val="auto"/>
          <w:spacing w:val="-4"/>
          <w:sz w:val="24"/>
        </w:rPr>
        <w:t>）决定第</w:t>
      </w:r>
      <w:r>
        <w:rPr>
          <w:rFonts w:eastAsia="Times New Roman"/>
          <w:color w:val="auto"/>
          <w:spacing w:val="-4"/>
          <w:sz w:val="24"/>
        </w:rPr>
        <w:t xml:space="preserve">11.3 </w:t>
      </w:r>
      <w:r>
        <w:rPr>
          <w:rFonts w:ascii="宋体" w:hAnsi="宋体" w:cs="宋体"/>
          <w:color w:val="auto"/>
          <w:spacing w:val="-4"/>
          <w:sz w:val="24"/>
        </w:rPr>
        <w:t>款、第</w:t>
      </w:r>
      <w:r>
        <w:rPr>
          <w:rFonts w:eastAsia="Times New Roman"/>
          <w:color w:val="auto"/>
          <w:spacing w:val="-4"/>
          <w:sz w:val="24"/>
        </w:rPr>
        <w:t xml:space="preserve">11.4 </w:t>
      </w:r>
      <w:r>
        <w:rPr>
          <w:rFonts w:ascii="宋体" w:hAnsi="宋体" w:cs="宋体"/>
          <w:color w:val="auto"/>
          <w:spacing w:val="-4"/>
          <w:sz w:val="24"/>
        </w:rPr>
        <w:t>款下的工期延长；</w:t>
      </w:r>
    </w:p>
    <w:p w14:paraId="3752DD8C">
      <w:pPr>
        <w:spacing w:before="114" w:line="219" w:lineRule="auto"/>
        <w:ind w:left="492"/>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5</w:t>
      </w:r>
      <w:r>
        <w:rPr>
          <w:rFonts w:ascii="宋体" w:hAnsi="宋体" w:cs="宋体"/>
          <w:color w:val="auto"/>
          <w:spacing w:val="-2"/>
          <w:sz w:val="24"/>
        </w:rPr>
        <w:t>）审查批准技术方案或设计的变更；</w:t>
      </w:r>
    </w:p>
    <w:p w14:paraId="07853E99">
      <w:pPr>
        <w:spacing w:before="116" w:line="219" w:lineRule="auto"/>
        <w:ind w:left="492"/>
        <w:rPr>
          <w:rFonts w:ascii="宋体" w:hAnsi="宋体" w:cs="宋体"/>
          <w:color w:val="auto"/>
          <w:sz w:val="24"/>
        </w:rPr>
      </w:pPr>
      <w:r>
        <w:rPr>
          <w:rFonts w:ascii="宋体" w:hAnsi="宋体" w:cs="宋体"/>
          <w:color w:val="auto"/>
          <w:spacing w:val="-3"/>
          <w:sz w:val="24"/>
        </w:rPr>
        <w:t>（</w:t>
      </w:r>
      <w:r>
        <w:rPr>
          <w:rFonts w:eastAsia="Times New Roman"/>
          <w:color w:val="auto"/>
          <w:spacing w:val="-3"/>
          <w:sz w:val="24"/>
        </w:rPr>
        <w:t>6</w:t>
      </w:r>
      <w:r>
        <w:rPr>
          <w:rFonts w:ascii="宋体" w:hAnsi="宋体" w:cs="宋体"/>
          <w:color w:val="auto"/>
          <w:spacing w:val="-3"/>
          <w:sz w:val="24"/>
        </w:rPr>
        <w:t>）根据第</w:t>
      </w:r>
      <w:r>
        <w:rPr>
          <w:rFonts w:eastAsia="Times New Roman"/>
          <w:color w:val="auto"/>
          <w:spacing w:val="-3"/>
          <w:sz w:val="24"/>
        </w:rPr>
        <w:t xml:space="preserve">15.3 </w:t>
      </w:r>
      <w:r>
        <w:rPr>
          <w:rFonts w:ascii="宋体" w:hAnsi="宋体" w:cs="宋体"/>
          <w:color w:val="auto"/>
          <w:spacing w:val="-3"/>
          <w:sz w:val="24"/>
        </w:rPr>
        <w:t>款发出变更指示；</w:t>
      </w:r>
    </w:p>
    <w:p w14:paraId="7652BA41">
      <w:pPr>
        <w:spacing w:before="115" w:line="218" w:lineRule="auto"/>
        <w:ind w:left="492"/>
        <w:rPr>
          <w:rFonts w:ascii="宋体" w:hAnsi="宋体" w:cs="宋体"/>
          <w:color w:val="auto"/>
          <w:sz w:val="24"/>
        </w:rPr>
      </w:pPr>
      <w:r>
        <w:rPr>
          <w:rFonts w:ascii="宋体" w:hAnsi="宋体" w:cs="宋体"/>
          <w:color w:val="auto"/>
          <w:spacing w:val="-3"/>
          <w:sz w:val="24"/>
        </w:rPr>
        <w:t>（</w:t>
      </w:r>
      <w:r>
        <w:rPr>
          <w:rFonts w:eastAsia="Times New Roman"/>
          <w:color w:val="auto"/>
          <w:spacing w:val="-3"/>
          <w:sz w:val="24"/>
        </w:rPr>
        <w:t>7</w:t>
      </w:r>
      <w:r>
        <w:rPr>
          <w:rFonts w:ascii="宋体" w:hAnsi="宋体" w:cs="宋体"/>
          <w:color w:val="auto"/>
          <w:spacing w:val="-3"/>
          <w:sz w:val="24"/>
        </w:rPr>
        <w:t>）确定第</w:t>
      </w:r>
      <w:r>
        <w:rPr>
          <w:rFonts w:eastAsia="Times New Roman"/>
          <w:color w:val="auto"/>
          <w:spacing w:val="-3"/>
          <w:sz w:val="24"/>
        </w:rPr>
        <w:t xml:space="preserve">15.4 </w:t>
      </w:r>
      <w:r>
        <w:rPr>
          <w:rFonts w:ascii="宋体" w:hAnsi="宋体" w:cs="宋体"/>
          <w:color w:val="auto"/>
          <w:spacing w:val="-3"/>
          <w:sz w:val="24"/>
        </w:rPr>
        <w:t>款下变更工作的单价；</w:t>
      </w:r>
    </w:p>
    <w:p w14:paraId="6BC29665">
      <w:pPr>
        <w:spacing w:before="116" w:line="219" w:lineRule="auto"/>
        <w:ind w:left="492"/>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8</w:t>
      </w:r>
      <w:r>
        <w:rPr>
          <w:rFonts w:ascii="宋体" w:hAnsi="宋体" w:cs="宋体"/>
          <w:color w:val="auto"/>
          <w:spacing w:val="-2"/>
          <w:sz w:val="24"/>
        </w:rPr>
        <w:t>）按照第</w:t>
      </w:r>
      <w:r>
        <w:rPr>
          <w:rFonts w:eastAsia="Times New Roman"/>
          <w:color w:val="auto"/>
          <w:spacing w:val="-2"/>
          <w:sz w:val="24"/>
        </w:rPr>
        <w:t xml:space="preserve">15.6 </w:t>
      </w:r>
      <w:r>
        <w:rPr>
          <w:rFonts w:ascii="宋体" w:hAnsi="宋体" w:cs="宋体"/>
          <w:color w:val="auto"/>
          <w:spacing w:val="-2"/>
          <w:sz w:val="24"/>
        </w:rPr>
        <w:t>款决定有关暂列金额的使</w:t>
      </w:r>
      <w:r>
        <w:rPr>
          <w:rFonts w:ascii="宋体" w:hAnsi="宋体" w:cs="宋体"/>
          <w:color w:val="auto"/>
          <w:spacing w:val="-3"/>
          <w:sz w:val="24"/>
        </w:rPr>
        <w:t>用；</w:t>
      </w:r>
    </w:p>
    <w:p w14:paraId="0A85701C">
      <w:pPr>
        <w:spacing w:before="115" w:line="218" w:lineRule="auto"/>
        <w:ind w:left="492"/>
        <w:rPr>
          <w:rFonts w:ascii="宋体" w:hAnsi="宋体" w:cs="宋体"/>
          <w:color w:val="auto"/>
          <w:sz w:val="24"/>
        </w:rPr>
      </w:pPr>
      <w:r>
        <w:rPr>
          <w:rFonts w:ascii="宋体" w:hAnsi="宋体" w:cs="宋体"/>
          <w:color w:val="auto"/>
          <w:spacing w:val="-3"/>
          <w:sz w:val="24"/>
        </w:rPr>
        <w:t>（</w:t>
      </w:r>
      <w:r>
        <w:rPr>
          <w:rFonts w:eastAsia="Times New Roman"/>
          <w:color w:val="auto"/>
          <w:spacing w:val="-3"/>
          <w:sz w:val="24"/>
        </w:rPr>
        <w:t>9</w:t>
      </w:r>
      <w:r>
        <w:rPr>
          <w:rFonts w:ascii="宋体" w:hAnsi="宋体" w:cs="宋体"/>
          <w:color w:val="auto"/>
          <w:spacing w:val="-3"/>
          <w:sz w:val="24"/>
        </w:rPr>
        <w:t>）确定第</w:t>
      </w:r>
      <w:r>
        <w:rPr>
          <w:rFonts w:eastAsia="Times New Roman"/>
          <w:color w:val="auto"/>
          <w:spacing w:val="-3"/>
          <w:sz w:val="24"/>
        </w:rPr>
        <w:t xml:space="preserve">15.8 </w:t>
      </w:r>
      <w:r>
        <w:rPr>
          <w:rFonts w:ascii="宋体" w:hAnsi="宋体" w:cs="宋体"/>
          <w:color w:val="auto"/>
          <w:spacing w:val="-3"/>
          <w:sz w:val="24"/>
        </w:rPr>
        <w:t>款下的暂估价金额；</w:t>
      </w:r>
    </w:p>
    <w:p w14:paraId="342CE46C">
      <w:pPr>
        <w:spacing w:before="118" w:line="219" w:lineRule="auto"/>
        <w:ind w:left="492"/>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10</w:t>
      </w:r>
      <w:r>
        <w:rPr>
          <w:rFonts w:ascii="宋体" w:hAnsi="宋体" w:cs="宋体"/>
          <w:color w:val="auto"/>
          <w:spacing w:val="-2"/>
          <w:sz w:val="24"/>
        </w:rPr>
        <w:t>）确定第</w:t>
      </w:r>
      <w:r>
        <w:rPr>
          <w:rFonts w:eastAsia="Times New Roman"/>
          <w:color w:val="auto"/>
          <w:spacing w:val="-2"/>
          <w:sz w:val="24"/>
        </w:rPr>
        <w:t xml:space="preserve">23.1 </w:t>
      </w:r>
      <w:r>
        <w:rPr>
          <w:rFonts w:ascii="宋体" w:hAnsi="宋体" w:cs="宋体"/>
          <w:color w:val="auto"/>
          <w:spacing w:val="-2"/>
          <w:sz w:val="24"/>
        </w:rPr>
        <w:t>款下的索赔额。</w:t>
      </w:r>
    </w:p>
    <w:p w14:paraId="4236DC9E">
      <w:pPr>
        <w:spacing w:before="113" w:line="308" w:lineRule="auto"/>
        <w:ind w:left="1" w:firstLine="482"/>
        <w:rPr>
          <w:rFonts w:ascii="宋体" w:hAnsi="宋体" w:cs="宋体"/>
          <w:color w:val="auto"/>
          <w:sz w:val="24"/>
        </w:rPr>
      </w:pPr>
      <w:r>
        <w:rPr>
          <w:rFonts w:ascii="宋体" w:hAnsi="宋体" w:cs="宋体"/>
          <w:color w:val="auto"/>
          <w:spacing w:val="1"/>
          <w:sz w:val="24"/>
        </w:rPr>
        <w:t>如果发生紧急情况，咨询人认为将造成人员伤亡</w:t>
      </w:r>
      <w:r>
        <w:rPr>
          <w:rFonts w:ascii="宋体" w:hAnsi="宋体" w:cs="宋体"/>
          <w:color w:val="auto"/>
          <w:sz w:val="24"/>
        </w:rPr>
        <w:t>，或危及本养护项目或邻近的</w:t>
      </w:r>
      <w:r>
        <w:rPr>
          <w:rFonts w:ascii="宋体" w:hAnsi="宋体" w:cs="宋体"/>
          <w:color w:val="auto"/>
          <w:spacing w:val="1"/>
          <w:sz w:val="24"/>
        </w:rPr>
        <w:t>财产安全需立即采取行动，咨询人有权在未征得发包人</w:t>
      </w:r>
      <w:r>
        <w:rPr>
          <w:rFonts w:ascii="宋体" w:hAnsi="宋体" w:cs="宋体"/>
          <w:color w:val="auto"/>
          <w:sz w:val="24"/>
        </w:rPr>
        <w:t>的批准的情况下发布处理紧</w:t>
      </w:r>
      <w:r>
        <w:rPr>
          <w:rFonts w:ascii="宋体" w:hAnsi="宋体" w:cs="宋体"/>
          <w:color w:val="auto"/>
          <w:spacing w:val="2"/>
          <w:sz w:val="24"/>
        </w:rPr>
        <w:t>急情况所必需的指令，承包人应予执行，由此造成的费用增加由咨询人</w:t>
      </w:r>
      <w:r>
        <w:rPr>
          <w:rFonts w:ascii="宋体" w:hAnsi="宋体" w:cs="宋体"/>
          <w:color w:val="auto"/>
          <w:spacing w:val="1"/>
          <w:sz w:val="24"/>
        </w:rPr>
        <w:t>按第</w:t>
      </w:r>
      <w:r>
        <w:rPr>
          <w:rFonts w:eastAsia="Times New Roman"/>
          <w:color w:val="auto"/>
          <w:spacing w:val="1"/>
          <w:sz w:val="24"/>
        </w:rPr>
        <w:t xml:space="preserve">3.5 </w:t>
      </w:r>
      <w:r>
        <w:rPr>
          <w:rFonts w:ascii="宋体" w:hAnsi="宋体" w:cs="宋体"/>
          <w:color w:val="auto"/>
          <w:spacing w:val="1"/>
          <w:sz w:val="24"/>
        </w:rPr>
        <w:t>款</w:t>
      </w:r>
      <w:r>
        <w:rPr>
          <w:rFonts w:ascii="宋体" w:hAnsi="宋体" w:cs="宋体"/>
          <w:color w:val="auto"/>
          <w:spacing w:val="-2"/>
          <w:sz w:val="24"/>
        </w:rPr>
        <w:t>商定或确定。</w:t>
      </w:r>
    </w:p>
    <w:p w14:paraId="554BCB39">
      <w:pPr>
        <w:spacing w:before="2" w:line="263" w:lineRule="auto"/>
        <w:ind w:left="3" w:right="2" w:firstLine="477"/>
        <w:rPr>
          <w:rFonts w:ascii="宋体" w:hAnsi="宋体" w:cs="宋体"/>
          <w:color w:val="auto"/>
          <w:sz w:val="24"/>
        </w:rPr>
      </w:pPr>
      <w:r>
        <w:rPr>
          <w:rFonts w:eastAsia="Times New Roman"/>
          <w:color w:val="auto"/>
          <w:spacing w:val="4"/>
          <w:sz w:val="24"/>
        </w:rPr>
        <w:t xml:space="preserve">3.1.2  </w:t>
      </w:r>
      <w:r>
        <w:rPr>
          <w:rFonts w:ascii="宋体" w:hAnsi="宋体" w:cs="宋体"/>
          <w:color w:val="auto"/>
          <w:spacing w:val="4"/>
          <w:sz w:val="24"/>
        </w:rPr>
        <w:t>咨询人发出的任何指示应视为已得到发包人的批</w:t>
      </w:r>
      <w:r>
        <w:rPr>
          <w:rFonts w:ascii="宋体" w:hAnsi="宋体" w:cs="宋体"/>
          <w:color w:val="auto"/>
          <w:spacing w:val="3"/>
          <w:sz w:val="24"/>
        </w:rPr>
        <w:t>准，但咨询人无权免除</w:t>
      </w:r>
      <w:r>
        <w:rPr>
          <w:rFonts w:ascii="宋体" w:hAnsi="宋体" w:cs="宋体"/>
          <w:color w:val="auto"/>
          <w:spacing w:val="-1"/>
          <w:sz w:val="24"/>
        </w:rPr>
        <w:t>或变更合同约定的发包人和承包人的权利、义务和责任。</w:t>
      </w:r>
    </w:p>
    <w:p w14:paraId="3D6C2555">
      <w:pPr>
        <w:spacing w:before="112" w:line="279" w:lineRule="auto"/>
        <w:ind w:left="1" w:firstLine="479"/>
        <w:rPr>
          <w:rFonts w:ascii="宋体" w:hAnsi="宋体" w:cs="宋体"/>
          <w:color w:val="auto"/>
          <w:sz w:val="24"/>
        </w:rPr>
      </w:pPr>
      <w:r>
        <w:rPr>
          <w:rFonts w:eastAsia="Times New Roman"/>
          <w:color w:val="auto"/>
          <w:spacing w:val="4"/>
          <w:sz w:val="24"/>
        </w:rPr>
        <w:t xml:space="preserve">3.1.3  </w:t>
      </w:r>
      <w:r>
        <w:rPr>
          <w:rFonts w:ascii="宋体" w:hAnsi="宋体" w:cs="宋体"/>
          <w:color w:val="auto"/>
          <w:spacing w:val="4"/>
          <w:sz w:val="24"/>
        </w:rPr>
        <w:t>合同约定应由承包人承担的义务和责任，不因咨</w:t>
      </w:r>
      <w:r>
        <w:rPr>
          <w:rFonts w:ascii="宋体" w:hAnsi="宋体" w:cs="宋体"/>
          <w:color w:val="auto"/>
          <w:spacing w:val="3"/>
          <w:sz w:val="24"/>
        </w:rPr>
        <w:t>询人对承包人提交文件</w:t>
      </w:r>
      <w:r>
        <w:rPr>
          <w:rFonts w:ascii="宋体" w:hAnsi="宋体" w:cs="宋体"/>
          <w:color w:val="auto"/>
          <w:spacing w:val="1"/>
          <w:sz w:val="24"/>
        </w:rPr>
        <w:t>的审查或批准，对工程、材料、设备的检查和检验，以</w:t>
      </w:r>
      <w:r>
        <w:rPr>
          <w:rFonts w:ascii="宋体" w:hAnsi="宋体" w:cs="宋体"/>
          <w:color w:val="auto"/>
          <w:sz w:val="24"/>
        </w:rPr>
        <w:t>及为实施监督管理作出的指</w:t>
      </w:r>
      <w:r>
        <w:rPr>
          <w:rFonts w:ascii="宋体" w:hAnsi="宋体" w:cs="宋体"/>
          <w:color w:val="auto"/>
          <w:spacing w:val="-1"/>
          <w:sz w:val="24"/>
        </w:rPr>
        <w:t>示等职务行为而减轻或解除。</w:t>
      </w:r>
    </w:p>
    <w:p w14:paraId="15100216">
      <w:pPr>
        <w:spacing w:before="104" w:line="219" w:lineRule="auto"/>
        <w:ind w:left="475"/>
        <w:outlineLvl w:val="3"/>
        <w:rPr>
          <w:rFonts w:ascii="宋体" w:hAnsi="宋体" w:cs="宋体"/>
          <w:color w:val="auto"/>
          <w:sz w:val="24"/>
        </w:rPr>
      </w:pPr>
      <w:r>
        <w:rPr>
          <w:rFonts w:eastAsia="Times New Roman"/>
          <w:b/>
          <w:bCs/>
          <w:color w:val="auto"/>
          <w:spacing w:val="-4"/>
          <w:sz w:val="24"/>
        </w:rPr>
        <w:t>3.2</w:t>
      </w:r>
      <w:r>
        <w:rPr>
          <w:rFonts w:ascii="宋体" w:hAnsi="宋体" w:cs="宋体"/>
          <w:b/>
          <w:bCs/>
          <w:color w:val="auto"/>
          <w:spacing w:val="-4"/>
          <w:sz w:val="24"/>
        </w:rPr>
        <w:t>咨询总负责人</w:t>
      </w:r>
    </w:p>
    <w:p w14:paraId="1F9D6A28">
      <w:pPr>
        <w:spacing w:before="124" w:line="304" w:lineRule="auto"/>
        <w:ind w:left="3" w:firstLine="480"/>
        <w:rPr>
          <w:rFonts w:ascii="宋体" w:hAnsi="宋体" w:cs="宋体"/>
          <w:color w:val="auto"/>
          <w:sz w:val="24"/>
        </w:rPr>
      </w:pPr>
      <w:r>
        <w:rPr>
          <w:rFonts w:ascii="宋体" w:hAnsi="宋体" w:cs="宋体"/>
          <w:color w:val="auto"/>
          <w:spacing w:val="1"/>
          <w:sz w:val="24"/>
        </w:rPr>
        <w:t>发包人应在发出开工通知前将咨询总负责人的任</w:t>
      </w:r>
      <w:r>
        <w:rPr>
          <w:rFonts w:ascii="宋体" w:hAnsi="宋体" w:cs="宋体"/>
          <w:color w:val="auto"/>
          <w:sz w:val="24"/>
        </w:rPr>
        <w:t>命通知承包人。咨询总负责人</w:t>
      </w:r>
      <w:r>
        <w:rPr>
          <w:rFonts w:ascii="宋体" w:hAnsi="宋体" w:cs="宋体"/>
          <w:color w:val="auto"/>
          <w:spacing w:val="-2"/>
          <w:sz w:val="24"/>
        </w:rPr>
        <w:t>更换时，应在调离</w:t>
      </w:r>
      <w:r>
        <w:rPr>
          <w:rFonts w:eastAsia="Times New Roman"/>
          <w:color w:val="auto"/>
          <w:spacing w:val="-2"/>
          <w:sz w:val="24"/>
        </w:rPr>
        <w:t xml:space="preserve">7 </w:t>
      </w:r>
      <w:r>
        <w:rPr>
          <w:rFonts w:ascii="宋体" w:hAnsi="宋体" w:cs="宋体"/>
          <w:color w:val="auto"/>
          <w:spacing w:val="-2"/>
          <w:sz w:val="24"/>
        </w:rPr>
        <w:t>天前通知承包人。</w:t>
      </w:r>
    </w:p>
    <w:p w14:paraId="1E5D2741">
      <w:pPr>
        <w:spacing w:before="2" w:line="220" w:lineRule="auto"/>
        <w:ind w:left="475"/>
        <w:outlineLvl w:val="3"/>
        <w:rPr>
          <w:rFonts w:ascii="宋体" w:hAnsi="宋体" w:cs="宋体"/>
          <w:color w:val="auto"/>
          <w:sz w:val="24"/>
        </w:rPr>
      </w:pPr>
      <w:r>
        <w:rPr>
          <w:rFonts w:eastAsia="Times New Roman"/>
          <w:b/>
          <w:bCs/>
          <w:color w:val="auto"/>
          <w:spacing w:val="-5"/>
          <w:sz w:val="24"/>
        </w:rPr>
        <w:t>3.3</w:t>
      </w:r>
      <w:r>
        <w:rPr>
          <w:rFonts w:ascii="宋体" w:hAnsi="宋体" w:cs="宋体"/>
          <w:b/>
          <w:bCs/>
          <w:color w:val="auto"/>
          <w:spacing w:val="-5"/>
          <w:sz w:val="24"/>
        </w:rPr>
        <w:t>咨询人员</w:t>
      </w:r>
    </w:p>
    <w:p w14:paraId="55765D56">
      <w:pPr>
        <w:spacing w:before="121" w:line="309" w:lineRule="auto"/>
        <w:ind w:firstLine="481"/>
        <w:rPr>
          <w:rFonts w:ascii="宋体" w:hAnsi="宋体" w:cs="宋体"/>
          <w:color w:val="auto"/>
          <w:spacing w:val="-1"/>
          <w:sz w:val="24"/>
        </w:rPr>
      </w:pPr>
      <w:r>
        <w:rPr>
          <w:rFonts w:eastAsia="Times New Roman"/>
          <w:color w:val="auto"/>
          <w:spacing w:val="4"/>
          <w:sz w:val="24"/>
        </w:rPr>
        <w:t xml:space="preserve">3.3.1  </w:t>
      </w:r>
      <w:r>
        <w:rPr>
          <w:rFonts w:ascii="宋体" w:hAnsi="宋体" w:cs="宋体"/>
          <w:color w:val="auto"/>
          <w:spacing w:val="4"/>
          <w:sz w:val="24"/>
        </w:rPr>
        <w:t>咨询总负责人可以授权其他咨询人员负责执行其</w:t>
      </w:r>
      <w:r>
        <w:rPr>
          <w:rFonts w:ascii="宋体" w:hAnsi="宋体" w:cs="宋体"/>
          <w:color w:val="auto"/>
          <w:spacing w:val="3"/>
          <w:sz w:val="24"/>
        </w:rPr>
        <w:t>指派的一项或多项监督</w:t>
      </w:r>
      <w:r>
        <w:rPr>
          <w:rFonts w:ascii="宋体" w:hAnsi="宋体" w:cs="宋体"/>
          <w:color w:val="auto"/>
          <w:spacing w:val="1"/>
          <w:sz w:val="24"/>
        </w:rPr>
        <w:t>管理工作。咨询总负责人应将被授权咨询人员的姓名及其授</w:t>
      </w:r>
      <w:r>
        <w:rPr>
          <w:rFonts w:ascii="宋体" w:hAnsi="宋体" w:cs="宋体"/>
          <w:color w:val="auto"/>
          <w:sz w:val="24"/>
        </w:rPr>
        <w:t>权范围通知承包人。被</w:t>
      </w:r>
      <w:r>
        <w:rPr>
          <w:rFonts w:ascii="宋体" w:hAnsi="宋体" w:cs="宋体"/>
          <w:color w:val="auto"/>
          <w:spacing w:val="1"/>
          <w:sz w:val="24"/>
        </w:rPr>
        <w:t>授权的咨询人员在授权范围内发出的指示视为已得到咨询总</w:t>
      </w:r>
      <w:r>
        <w:rPr>
          <w:rFonts w:ascii="宋体" w:hAnsi="宋体" w:cs="宋体"/>
          <w:color w:val="auto"/>
          <w:sz w:val="24"/>
        </w:rPr>
        <w:t>负责人的同意，与咨询</w:t>
      </w:r>
      <w:r>
        <w:rPr>
          <w:rFonts w:ascii="宋体" w:hAnsi="宋体" w:cs="宋体"/>
          <w:color w:val="auto"/>
          <w:spacing w:val="1"/>
          <w:sz w:val="24"/>
        </w:rPr>
        <w:t>总负责人发出的指示具有同等效力。咨询总负责人撤销某项</w:t>
      </w:r>
      <w:r>
        <w:rPr>
          <w:rFonts w:ascii="宋体" w:hAnsi="宋体" w:cs="宋体"/>
          <w:color w:val="auto"/>
          <w:sz w:val="24"/>
        </w:rPr>
        <w:t>授权时，应将撤销授权</w:t>
      </w:r>
      <w:r>
        <w:rPr>
          <w:rFonts w:ascii="宋体" w:hAnsi="宋体" w:cs="宋体"/>
          <w:color w:val="auto"/>
          <w:spacing w:val="-1"/>
          <w:sz w:val="24"/>
        </w:rPr>
        <w:t>的决定及时通知承包人。</w:t>
      </w:r>
      <w:bookmarkStart w:id="122" w:name="bookmark212"/>
      <w:bookmarkEnd w:id="122"/>
    </w:p>
    <w:p w14:paraId="7F27891B">
      <w:pPr>
        <w:spacing w:before="121" w:line="309" w:lineRule="auto"/>
        <w:ind w:firstLine="481"/>
        <w:rPr>
          <w:rFonts w:ascii="宋体" w:hAnsi="宋体" w:cs="宋体"/>
          <w:color w:val="auto"/>
          <w:sz w:val="24"/>
        </w:rPr>
      </w:pPr>
      <w:r>
        <w:rPr>
          <w:rFonts w:eastAsia="Times New Roman"/>
          <w:color w:val="auto"/>
          <w:spacing w:val="4"/>
          <w:sz w:val="24"/>
        </w:rPr>
        <w:t xml:space="preserve">3.3.2  </w:t>
      </w:r>
      <w:r>
        <w:rPr>
          <w:rFonts w:ascii="宋体" w:hAnsi="宋体" w:cs="宋体"/>
          <w:color w:val="auto"/>
          <w:spacing w:val="4"/>
          <w:sz w:val="24"/>
        </w:rPr>
        <w:t>咨询人员对承包人的任何工作、工程或其采用的</w:t>
      </w:r>
      <w:r>
        <w:rPr>
          <w:rFonts w:ascii="宋体" w:hAnsi="宋体" w:cs="宋体"/>
          <w:color w:val="auto"/>
          <w:spacing w:val="3"/>
          <w:sz w:val="24"/>
        </w:rPr>
        <w:t>材料和工程设备未在约</w:t>
      </w:r>
      <w:r>
        <w:rPr>
          <w:rFonts w:ascii="宋体" w:hAnsi="宋体" w:cs="宋体"/>
          <w:color w:val="auto"/>
          <w:spacing w:val="1"/>
          <w:sz w:val="24"/>
        </w:rPr>
        <w:t>定的或合理的期限内提出否定意见的，视为已获</w:t>
      </w:r>
      <w:r>
        <w:rPr>
          <w:rFonts w:ascii="宋体" w:hAnsi="宋体" w:cs="宋体"/>
          <w:color w:val="auto"/>
          <w:sz w:val="24"/>
        </w:rPr>
        <w:t>批准，但不影响咨询人在以后拒绝</w:t>
      </w:r>
      <w:r>
        <w:rPr>
          <w:rFonts w:ascii="宋体" w:hAnsi="宋体" w:cs="宋体"/>
          <w:color w:val="auto"/>
          <w:spacing w:val="-1"/>
          <w:sz w:val="24"/>
        </w:rPr>
        <w:t>该项工作、工程、材料或工程设备的权利。</w:t>
      </w:r>
    </w:p>
    <w:p w14:paraId="4EAAC96B">
      <w:pPr>
        <w:spacing w:before="117" w:line="278" w:lineRule="auto"/>
        <w:ind w:firstLine="481"/>
        <w:rPr>
          <w:rFonts w:ascii="宋体" w:hAnsi="宋体" w:cs="宋体"/>
          <w:color w:val="auto"/>
          <w:sz w:val="24"/>
        </w:rPr>
      </w:pPr>
      <w:r>
        <w:rPr>
          <w:rFonts w:eastAsia="Times New Roman"/>
          <w:color w:val="auto"/>
          <w:spacing w:val="4"/>
          <w:sz w:val="24"/>
        </w:rPr>
        <w:t xml:space="preserve">3.3.3  </w:t>
      </w:r>
      <w:r>
        <w:rPr>
          <w:rFonts w:ascii="宋体" w:hAnsi="宋体" w:cs="宋体"/>
          <w:color w:val="auto"/>
          <w:spacing w:val="4"/>
          <w:sz w:val="24"/>
        </w:rPr>
        <w:t>承包人对咨询总负责人授权的咨询人员发出的指</w:t>
      </w:r>
      <w:r>
        <w:rPr>
          <w:rFonts w:ascii="宋体" w:hAnsi="宋体" w:cs="宋体"/>
          <w:color w:val="auto"/>
          <w:spacing w:val="3"/>
          <w:sz w:val="24"/>
        </w:rPr>
        <w:t>示有疑问的，可向咨询总负责人提出书面异议，咨询总负责人应在</w:t>
      </w:r>
      <w:r>
        <w:rPr>
          <w:rFonts w:eastAsia="Times New Roman"/>
          <w:color w:val="auto"/>
          <w:spacing w:val="3"/>
          <w:sz w:val="24"/>
        </w:rPr>
        <w:t>48</w:t>
      </w:r>
      <w:r>
        <w:rPr>
          <w:rFonts w:ascii="宋体" w:hAnsi="宋体" w:cs="宋体"/>
          <w:color w:val="auto"/>
          <w:spacing w:val="3"/>
          <w:sz w:val="24"/>
        </w:rPr>
        <w:t>小时内对该指示予以确认、更改或</w:t>
      </w:r>
      <w:r>
        <w:rPr>
          <w:rFonts w:ascii="宋体" w:hAnsi="宋体" w:cs="宋体"/>
          <w:color w:val="auto"/>
          <w:spacing w:val="-3"/>
          <w:sz w:val="24"/>
        </w:rPr>
        <w:t>撤销。</w:t>
      </w:r>
    </w:p>
    <w:p w14:paraId="48BD18B5">
      <w:pPr>
        <w:spacing w:before="114" w:line="264" w:lineRule="auto"/>
        <w:ind w:firstLine="480"/>
        <w:rPr>
          <w:rFonts w:ascii="宋体" w:hAnsi="宋体" w:cs="宋体"/>
          <w:color w:val="auto"/>
          <w:sz w:val="24"/>
        </w:rPr>
      </w:pPr>
      <w:r>
        <w:rPr>
          <w:rFonts w:eastAsia="Times New Roman"/>
          <w:color w:val="auto"/>
          <w:spacing w:val="4"/>
          <w:sz w:val="24"/>
        </w:rPr>
        <w:t xml:space="preserve">3.3.4  </w:t>
      </w:r>
      <w:r>
        <w:rPr>
          <w:rFonts w:ascii="宋体" w:hAnsi="宋体" w:cs="宋体"/>
          <w:color w:val="auto"/>
          <w:spacing w:val="4"/>
          <w:sz w:val="24"/>
        </w:rPr>
        <w:t>除专用合同条款另有约定外，咨询总负责人不应将第</w:t>
      </w:r>
      <w:r>
        <w:rPr>
          <w:rFonts w:eastAsia="Times New Roman"/>
          <w:color w:val="auto"/>
          <w:spacing w:val="4"/>
          <w:sz w:val="24"/>
        </w:rPr>
        <w:t>3.5</w:t>
      </w:r>
      <w:r>
        <w:rPr>
          <w:rFonts w:ascii="宋体" w:hAnsi="宋体" w:cs="宋体"/>
          <w:color w:val="auto"/>
          <w:spacing w:val="4"/>
          <w:sz w:val="24"/>
        </w:rPr>
        <w:t>款约定应由咨</w:t>
      </w:r>
      <w:r>
        <w:rPr>
          <w:rFonts w:ascii="宋体" w:hAnsi="宋体" w:cs="宋体"/>
          <w:color w:val="auto"/>
          <w:spacing w:val="-1"/>
          <w:sz w:val="24"/>
        </w:rPr>
        <w:t>询总负责人作出确定的权力授权或委托给其他咨询人员。</w:t>
      </w:r>
    </w:p>
    <w:p w14:paraId="55563075">
      <w:pPr>
        <w:spacing w:before="103" w:line="221" w:lineRule="auto"/>
        <w:ind w:left="475"/>
        <w:outlineLvl w:val="3"/>
        <w:rPr>
          <w:rFonts w:ascii="宋体" w:hAnsi="宋体" w:cs="宋体"/>
          <w:color w:val="auto"/>
          <w:sz w:val="24"/>
        </w:rPr>
      </w:pPr>
      <w:r>
        <w:rPr>
          <w:rFonts w:eastAsia="Times New Roman"/>
          <w:b/>
          <w:bCs/>
          <w:color w:val="auto"/>
          <w:spacing w:val="-4"/>
          <w:sz w:val="24"/>
        </w:rPr>
        <w:t>3.4</w:t>
      </w:r>
      <w:r>
        <w:rPr>
          <w:rFonts w:ascii="宋体" w:hAnsi="宋体" w:cs="宋体"/>
          <w:b/>
          <w:bCs/>
          <w:color w:val="auto"/>
          <w:spacing w:val="-4"/>
          <w:sz w:val="24"/>
        </w:rPr>
        <w:t>咨询人的指示</w:t>
      </w:r>
    </w:p>
    <w:p w14:paraId="687E81EE">
      <w:pPr>
        <w:spacing w:before="123" w:line="278" w:lineRule="auto"/>
        <w:ind w:firstLine="480"/>
        <w:rPr>
          <w:rFonts w:ascii="宋体" w:hAnsi="宋体" w:cs="宋体"/>
          <w:color w:val="auto"/>
          <w:sz w:val="24"/>
        </w:rPr>
      </w:pPr>
      <w:r>
        <w:rPr>
          <w:rFonts w:eastAsia="Times New Roman"/>
          <w:color w:val="auto"/>
          <w:spacing w:val="4"/>
          <w:sz w:val="24"/>
        </w:rPr>
        <w:t xml:space="preserve">3.4.1  </w:t>
      </w:r>
      <w:r>
        <w:rPr>
          <w:rFonts w:ascii="宋体" w:hAnsi="宋体" w:cs="宋体"/>
          <w:color w:val="auto"/>
          <w:spacing w:val="4"/>
          <w:sz w:val="24"/>
        </w:rPr>
        <w:t>咨询人应按第</w:t>
      </w:r>
      <w:r>
        <w:rPr>
          <w:rFonts w:eastAsia="Times New Roman"/>
          <w:color w:val="auto"/>
          <w:spacing w:val="4"/>
          <w:sz w:val="24"/>
        </w:rPr>
        <w:t>3.1</w:t>
      </w:r>
      <w:r>
        <w:rPr>
          <w:rFonts w:ascii="宋体" w:hAnsi="宋体" w:cs="宋体"/>
          <w:color w:val="auto"/>
          <w:spacing w:val="4"/>
          <w:sz w:val="24"/>
        </w:rPr>
        <w:t>款的约定向承包人发出指示，咨询人的指示应盖有咨</w:t>
      </w:r>
      <w:r>
        <w:rPr>
          <w:rFonts w:ascii="宋体" w:hAnsi="宋体" w:cs="宋体"/>
          <w:color w:val="auto"/>
          <w:spacing w:val="1"/>
          <w:sz w:val="24"/>
        </w:rPr>
        <w:t>询人单位公章或其授权的项目管理机构章，并由咨询总负</w:t>
      </w:r>
      <w:r>
        <w:rPr>
          <w:rFonts w:ascii="宋体" w:hAnsi="宋体" w:cs="宋体"/>
          <w:color w:val="auto"/>
          <w:sz w:val="24"/>
        </w:rPr>
        <w:t>责人或咨询总负责人按第</w:t>
      </w:r>
      <w:r>
        <w:rPr>
          <w:rFonts w:eastAsia="Times New Roman"/>
          <w:color w:val="auto"/>
          <w:spacing w:val="-1"/>
          <w:sz w:val="24"/>
        </w:rPr>
        <w:t xml:space="preserve">3.3.1 </w:t>
      </w:r>
      <w:r>
        <w:rPr>
          <w:rFonts w:ascii="宋体" w:hAnsi="宋体" w:cs="宋体"/>
          <w:color w:val="auto"/>
          <w:spacing w:val="-1"/>
          <w:sz w:val="24"/>
        </w:rPr>
        <w:t>项约定授权的咨询人员签名。</w:t>
      </w:r>
    </w:p>
    <w:p w14:paraId="40D48880">
      <w:pPr>
        <w:spacing w:before="115" w:line="264" w:lineRule="auto"/>
        <w:ind w:left="20" w:right="2" w:firstLine="460"/>
        <w:rPr>
          <w:rFonts w:ascii="宋体" w:hAnsi="宋体" w:cs="宋体"/>
          <w:color w:val="auto"/>
          <w:sz w:val="24"/>
        </w:rPr>
      </w:pPr>
      <w:r>
        <w:rPr>
          <w:rFonts w:eastAsia="Times New Roman"/>
          <w:color w:val="auto"/>
          <w:sz w:val="24"/>
        </w:rPr>
        <w:t xml:space="preserve">3.4.2  </w:t>
      </w:r>
      <w:r>
        <w:rPr>
          <w:rFonts w:ascii="宋体" w:hAnsi="宋体" w:cs="宋体"/>
          <w:color w:val="auto"/>
          <w:sz w:val="24"/>
        </w:rPr>
        <w:t>承包人收到咨询人按第</w:t>
      </w:r>
      <w:r>
        <w:rPr>
          <w:rFonts w:eastAsia="Times New Roman"/>
          <w:color w:val="auto"/>
          <w:sz w:val="24"/>
        </w:rPr>
        <w:t xml:space="preserve">3.4.1 </w:t>
      </w:r>
      <w:r>
        <w:rPr>
          <w:rFonts w:ascii="宋体" w:hAnsi="宋体" w:cs="宋体"/>
          <w:color w:val="auto"/>
          <w:sz w:val="24"/>
        </w:rPr>
        <w:t>项作出的指示后应遵照执行。指示构成变更</w:t>
      </w:r>
      <w:r>
        <w:rPr>
          <w:rFonts w:ascii="宋体" w:hAnsi="宋体" w:cs="宋体"/>
          <w:color w:val="auto"/>
          <w:spacing w:val="-5"/>
          <w:sz w:val="24"/>
        </w:rPr>
        <w:t>的，应按第</w:t>
      </w:r>
      <w:r>
        <w:rPr>
          <w:rFonts w:eastAsia="Times New Roman"/>
          <w:color w:val="auto"/>
          <w:spacing w:val="-5"/>
          <w:sz w:val="24"/>
        </w:rPr>
        <w:t xml:space="preserve">15 </w:t>
      </w:r>
      <w:r>
        <w:rPr>
          <w:rFonts w:ascii="宋体" w:hAnsi="宋体" w:cs="宋体"/>
          <w:color w:val="auto"/>
          <w:spacing w:val="-5"/>
          <w:sz w:val="24"/>
        </w:rPr>
        <w:t>条处理。</w:t>
      </w:r>
    </w:p>
    <w:p w14:paraId="339F7A3D">
      <w:pPr>
        <w:spacing w:before="111" w:line="286" w:lineRule="auto"/>
        <w:ind w:left="1" w:firstLine="479"/>
        <w:rPr>
          <w:rFonts w:ascii="宋体" w:hAnsi="宋体" w:cs="宋体"/>
          <w:color w:val="auto"/>
          <w:sz w:val="24"/>
        </w:rPr>
      </w:pPr>
      <w:r>
        <w:rPr>
          <w:rFonts w:eastAsia="Times New Roman"/>
          <w:color w:val="auto"/>
          <w:spacing w:val="4"/>
          <w:sz w:val="24"/>
        </w:rPr>
        <w:t xml:space="preserve">3.4.3  </w:t>
      </w:r>
      <w:r>
        <w:rPr>
          <w:rFonts w:ascii="宋体" w:hAnsi="宋体" w:cs="宋体"/>
          <w:color w:val="auto"/>
          <w:spacing w:val="4"/>
          <w:sz w:val="24"/>
        </w:rPr>
        <w:t>在紧急情况下，咨询总负责人或被授权的咨询人</w:t>
      </w:r>
      <w:r>
        <w:rPr>
          <w:rFonts w:ascii="宋体" w:hAnsi="宋体" w:cs="宋体"/>
          <w:color w:val="auto"/>
          <w:spacing w:val="3"/>
          <w:sz w:val="24"/>
        </w:rPr>
        <w:t>员可以当场签发临时书面指示，承包人应遵照执行。承包人应在收到上述临时书面指示后</w:t>
      </w:r>
      <w:r>
        <w:rPr>
          <w:rFonts w:eastAsia="Times New Roman"/>
          <w:color w:val="auto"/>
          <w:spacing w:val="3"/>
          <w:sz w:val="24"/>
        </w:rPr>
        <w:t>24</w:t>
      </w:r>
      <w:r>
        <w:rPr>
          <w:rFonts w:ascii="宋体" w:hAnsi="宋体" w:cs="宋体"/>
          <w:color w:val="auto"/>
          <w:spacing w:val="3"/>
          <w:sz w:val="24"/>
        </w:rPr>
        <w:t>小时内，向咨询人发出书面确认函。咨询人在收到书面确认函后</w:t>
      </w:r>
      <w:r>
        <w:rPr>
          <w:rFonts w:eastAsia="Times New Roman"/>
          <w:color w:val="auto"/>
          <w:spacing w:val="3"/>
          <w:sz w:val="24"/>
        </w:rPr>
        <w:t>24</w:t>
      </w:r>
      <w:r>
        <w:rPr>
          <w:rFonts w:ascii="宋体" w:hAnsi="宋体" w:cs="宋体"/>
          <w:color w:val="auto"/>
          <w:spacing w:val="3"/>
          <w:sz w:val="24"/>
        </w:rPr>
        <w:t>小时内未予答复的，该书</w:t>
      </w:r>
      <w:r>
        <w:rPr>
          <w:rFonts w:ascii="宋体" w:hAnsi="宋体" w:cs="宋体"/>
          <w:color w:val="auto"/>
          <w:spacing w:val="-1"/>
          <w:sz w:val="24"/>
        </w:rPr>
        <w:t>面确认函应被视为咨询人的正式指示。</w:t>
      </w:r>
    </w:p>
    <w:p w14:paraId="1DD1B6E5">
      <w:pPr>
        <w:spacing w:before="115" w:line="264" w:lineRule="auto"/>
        <w:ind w:right="2" w:firstLine="480"/>
        <w:rPr>
          <w:rFonts w:ascii="宋体" w:hAnsi="宋体" w:cs="宋体"/>
          <w:color w:val="auto"/>
          <w:sz w:val="24"/>
        </w:rPr>
      </w:pPr>
      <w:r>
        <w:rPr>
          <w:rFonts w:eastAsia="Times New Roman"/>
          <w:color w:val="auto"/>
          <w:sz w:val="24"/>
        </w:rPr>
        <w:t xml:space="preserve">3.4.4  </w:t>
      </w:r>
      <w:r>
        <w:rPr>
          <w:rFonts w:ascii="宋体" w:hAnsi="宋体" w:cs="宋体"/>
          <w:color w:val="auto"/>
          <w:sz w:val="24"/>
        </w:rPr>
        <w:t>除合同另有约定外，承包人只从咨询总负责人或按第</w:t>
      </w:r>
      <w:r>
        <w:rPr>
          <w:rFonts w:eastAsia="Times New Roman"/>
          <w:color w:val="auto"/>
          <w:sz w:val="24"/>
        </w:rPr>
        <w:t>3.3.1</w:t>
      </w:r>
      <w:r>
        <w:rPr>
          <w:rFonts w:ascii="宋体" w:hAnsi="宋体" w:cs="宋体"/>
          <w:color w:val="auto"/>
          <w:sz w:val="24"/>
        </w:rPr>
        <w:t>项被授</w:t>
      </w:r>
      <w:r>
        <w:rPr>
          <w:rFonts w:ascii="宋体" w:hAnsi="宋体" w:cs="宋体"/>
          <w:color w:val="auto"/>
          <w:spacing w:val="-1"/>
          <w:sz w:val="24"/>
        </w:rPr>
        <w:t>权的咨</w:t>
      </w:r>
      <w:r>
        <w:rPr>
          <w:rFonts w:ascii="宋体" w:hAnsi="宋体" w:cs="宋体"/>
          <w:color w:val="auto"/>
          <w:spacing w:val="-2"/>
          <w:sz w:val="24"/>
        </w:rPr>
        <w:t>询人员处取得指示。</w:t>
      </w:r>
    </w:p>
    <w:p w14:paraId="0B3BE61C">
      <w:pPr>
        <w:spacing w:before="113" w:line="264" w:lineRule="auto"/>
        <w:ind w:left="2" w:right="2" w:firstLine="478"/>
        <w:rPr>
          <w:rFonts w:ascii="宋体" w:hAnsi="宋体" w:cs="宋体"/>
          <w:color w:val="auto"/>
          <w:sz w:val="24"/>
        </w:rPr>
      </w:pPr>
      <w:r>
        <w:rPr>
          <w:rFonts w:eastAsia="Times New Roman"/>
          <w:color w:val="auto"/>
          <w:spacing w:val="3"/>
          <w:sz w:val="24"/>
        </w:rPr>
        <w:t>3.4.5</w:t>
      </w:r>
      <w:r>
        <w:rPr>
          <w:rFonts w:ascii="宋体" w:hAnsi="宋体" w:cs="宋体"/>
          <w:color w:val="auto"/>
          <w:spacing w:val="3"/>
          <w:sz w:val="24"/>
        </w:rPr>
        <w:t>由于咨询人未能按合同约定发出指示、指示延误或</w:t>
      </w:r>
      <w:r>
        <w:rPr>
          <w:rFonts w:ascii="宋体" w:hAnsi="宋体" w:cs="宋体"/>
          <w:color w:val="auto"/>
          <w:spacing w:val="2"/>
          <w:sz w:val="24"/>
        </w:rPr>
        <w:t>指示错误而导致承包</w:t>
      </w:r>
      <w:r>
        <w:rPr>
          <w:rFonts w:ascii="宋体" w:hAnsi="宋体" w:cs="宋体"/>
          <w:color w:val="auto"/>
          <w:spacing w:val="-1"/>
          <w:sz w:val="24"/>
        </w:rPr>
        <w:t>人费用增加和（或）工期延误的，由发包人承担赔偿责任。</w:t>
      </w:r>
    </w:p>
    <w:p w14:paraId="4A852B91">
      <w:pPr>
        <w:spacing w:before="106" w:line="220" w:lineRule="auto"/>
        <w:ind w:left="475"/>
        <w:outlineLvl w:val="3"/>
        <w:rPr>
          <w:rFonts w:ascii="宋体" w:hAnsi="宋体" w:cs="宋体"/>
          <w:color w:val="auto"/>
          <w:sz w:val="24"/>
        </w:rPr>
      </w:pPr>
      <w:r>
        <w:rPr>
          <w:rFonts w:eastAsia="Times New Roman"/>
          <w:b/>
          <w:bCs/>
          <w:color w:val="auto"/>
          <w:spacing w:val="-4"/>
          <w:sz w:val="24"/>
        </w:rPr>
        <w:t>3.5</w:t>
      </w:r>
      <w:r>
        <w:rPr>
          <w:rFonts w:ascii="宋体" w:hAnsi="宋体" w:cs="宋体"/>
          <w:b/>
          <w:bCs/>
          <w:color w:val="auto"/>
          <w:spacing w:val="-4"/>
          <w:sz w:val="24"/>
        </w:rPr>
        <w:t>商定或确定</w:t>
      </w:r>
    </w:p>
    <w:p w14:paraId="454323BD">
      <w:pPr>
        <w:spacing w:before="121" w:line="308" w:lineRule="auto"/>
        <w:ind w:firstLine="480"/>
        <w:rPr>
          <w:rFonts w:ascii="宋体" w:hAnsi="宋体" w:cs="宋体"/>
          <w:color w:val="auto"/>
          <w:sz w:val="24"/>
        </w:rPr>
      </w:pPr>
      <w:r>
        <w:rPr>
          <w:rFonts w:eastAsia="Times New Roman"/>
          <w:color w:val="auto"/>
          <w:spacing w:val="5"/>
          <w:sz w:val="24"/>
        </w:rPr>
        <w:t xml:space="preserve">3.5.1 </w:t>
      </w:r>
      <w:r>
        <w:rPr>
          <w:rFonts w:ascii="宋体" w:hAnsi="宋体" w:cs="宋体"/>
          <w:color w:val="auto"/>
          <w:spacing w:val="5"/>
          <w:sz w:val="24"/>
        </w:rPr>
        <w:t>合同约定咨询总负责人应按照本款对任何事项进行商定或确定时，咨询</w:t>
      </w:r>
      <w:r>
        <w:rPr>
          <w:rFonts w:ascii="宋体" w:hAnsi="宋体" w:cs="宋体"/>
          <w:color w:val="auto"/>
          <w:spacing w:val="1"/>
          <w:sz w:val="24"/>
        </w:rPr>
        <w:t>总负责人应与合同当事人协商，尽量达成一致。不能达成</w:t>
      </w:r>
      <w:r>
        <w:rPr>
          <w:rFonts w:ascii="宋体" w:hAnsi="宋体" w:cs="宋体"/>
          <w:color w:val="auto"/>
          <w:sz w:val="24"/>
        </w:rPr>
        <w:t>一致的，咨询总负责人应</w:t>
      </w:r>
      <w:r>
        <w:rPr>
          <w:rFonts w:ascii="宋体" w:hAnsi="宋体" w:cs="宋体"/>
          <w:color w:val="auto"/>
          <w:spacing w:val="-1"/>
          <w:sz w:val="24"/>
        </w:rPr>
        <w:t>认真研究后审慎确定。</w:t>
      </w:r>
    </w:p>
    <w:p w14:paraId="63EBD89C">
      <w:pPr>
        <w:spacing w:before="1" w:line="308" w:lineRule="auto"/>
        <w:ind w:left="20" w:firstLine="464"/>
        <w:rPr>
          <w:rFonts w:ascii="宋体" w:hAnsi="宋体" w:cs="宋体"/>
          <w:color w:val="auto"/>
          <w:sz w:val="24"/>
        </w:rPr>
      </w:pPr>
      <w:r>
        <w:rPr>
          <w:rFonts w:ascii="宋体" w:hAnsi="宋体" w:cs="宋体"/>
          <w:color w:val="auto"/>
          <w:spacing w:val="1"/>
          <w:sz w:val="24"/>
        </w:rPr>
        <w:t>如果这项商定或确定导致费用增加和（或）工期</w:t>
      </w:r>
      <w:r>
        <w:rPr>
          <w:rFonts w:ascii="宋体" w:hAnsi="宋体" w:cs="宋体"/>
          <w:color w:val="auto"/>
          <w:sz w:val="24"/>
        </w:rPr>
        <w:t>延长，或者涉及确定变更工程</w:t>
      </w:r>
      <w:r>
        <w:rPr>
          <w:rFonts w:ascii="宋体" w:hAnsi="宋体" w:cs="宋体"/>
          <w:color w:val="auto"/>
          <w:spacing w:val="-1"/>
          <w:sz w:val="24"/>
        </w:rPr>
        <w:t>的价格，则咨询总负责人在发出通知前，应征得发包人的</w:t>
      </w:r>
      <w:r>
        <w:rPr>
          <w:rFonts w:ascii="宋体" w:hAnsi="宋体" w:cs="宋体"/>
          <w:color w:val="auto"/>
          <w:spacing w:val="-2"/>
          <w:sz w:val="24"/>
        </w:rPr>
        <w:t>同意。</w:t>
      </w:r>
    </w:p>
    <w:p w14:paraId="738D03DB">
      <w:pPr>
        <w:spacing w:before="3" w:line="308" w:lineRule="auto"/>
        <w:ind w:right="2" w:firstLine="481"/>
        <w:rPr>
          <w:rFonts w:ascii="宋体" w:hAnsi="宋体" w:cs="宋体"/>
          <w:color w:val="auto"/>
          <w:sz w:val="24"/>
        </w:rPr>
      </w:pPr>
      <w:r>
        <w:rPr>
          <w:rFonts w:eastAsia="Times New Roman"/>
          <w:color w:val="auto"/>
          <w:spacing w:val="4"/>
          <w:sz w:val="24"/>
        </w:rPr>
        <w:t xml:space="preserve">3.5.2  </w:t>
      </w:r>
      <w:r>
        <w:rPr>
          <w:rFonts w:ascii="宋体" w:hAnsi="宋体" w:cs="宋体"/>
          <w:color w:val="auto"/>
          <w:spacing w:val="4"/>
          <w:sz w:val="24"/>
        </w:rPr>
        <w:t>咨询总负责人应将商定或确定的事项通知合同当</w:t>
      </w:r>
      <w:r>
        <w:rPr>
          <w:rFonts w:ascii="宋体" w:hAnsi="宋体" w:cs="宋体"/>
          <w:color w:val="auto"/>
          <w:spacing w:val="3"/>
          <w:sz w:val="24"/>
        </w:rPr>
        <w:t>事人，并附详细依据。</w:t>
      </w:r>
      <w:r>
        <w:rPr>
          <w:rFonts w:ascii="宋体" w:hAnsi="宋体" w:cs="宋体"/>
          <w:color w:val="auto"/>
          <w:spacing w:val="4"/>
          <w:sz w:val="24"/>
        </w:rPr>
        <w:t>对咨询总负责人的确定有异议的，构成争议，按照第</w:t>
      </w:r>
      <w:r>
        <w:rPr>
          <w:rFonts w:eastAsia="Times New Roman"/>
          <w:color w:val="auto"/>
          <w:spacing w:val="4"/>
          <w:sz w:val="24"/>
        </w:rPr>
        <w:t>24</w:t>
      </w:r>
      <w:r>
        <w:rPr>
          <w:rFonts w:ascii="宋体" w:hAnsi="宋体" w:cs="宋体"/>
          <w:color w:val="auto"/>
          <w:spacing w:val="3"/>
          <w:sz w:val="24"/>
        </w:rPr>
        <w:t>条的约定处理。在争议解</w:t>
      </w:r>
      <w:r>
        <w:rPr>
          <w:rFonts w:ascii="宋体" w:hAnsi="宋体" w:cs="宋体"/>
          <w:color w:val="auto"/>
          <w:spacing w:val="4"/>
          <w:sz w:val="24"/>
        </w:rPr>
        <w:t>决前，双方应暂按咨询总负责人的确定执行，按照第</w:t>
      </w:r>
      <w:r>
        <w:rPr>
          <w:rFonts w:eastAsia="Times New Roman"/>
          <w:color w:val="auto"/>
          <w:spacing w:val="4"/>
          <w:sz w:val="24"/>
        </w:rPr>
        <w:t>24</w:t>
      </w:r>
      <w:r>
        <w:rPr>
          <w:rFonts w:ascii="宋体" w:hAnsi="宋体" w:cs="宋体"/>
          <w:color w:val="auto"/>
          <w:spacing w:val="3"/>
          <w:sz w:val="24"/>
        </w:rPr>
        <w:t>条的约定对咨询总负责人</w:t>
      </w:r>
      <w:r>
        <w:rPr>
          <w:rFonts w:ascii="宋体" w:hAnsi="宋体" w:cs="宋体"/>
          <w:color w:val="auto"/>
          <w:spacing w:val="-1"/>
          <w:sz w:val="24"/>
        </w:rPr>
        <w:t>的确定作出修改的，按修改后的结果执行。</w:t>
      </w:r>
    </w:p>
    <w:p w14:paraId="1B532CF2">
      <w:pPr>
        <w:spacing w:before="192" w:line="219" w:lineRule="auto"/>
        <w:ind w:left="477"/>
        <w:outlineLvl w:val="2"/>
        <w:rPr>
          <w:rFonts w:ascii="宋体" w:hAnsi="宋体" w:cs="宋体"/>
          <w:color w:val="auto"/>
          <w:sz w:val="24"/>
        </w:rPr>
      </w:pPr>
      <w:bookmarkStart w:id="123" w:name="bookmark13"/>
      <w:bookmarkEnd w:id="123"/>
      <w:bookmarkStart w:id="124" w:name="bookmark14"/>
      <w:bookmarkEnd w:id="124"/>
      <w:r>
        <w:rPr>
          <w:rFonts w:eastAsia="Times New Roman"/>
          <w:b/>
          <w:bCs/>
          <w:color w:val="auto"/>
          <w:spacing w:val="-5"/>
          <w:sz w:val="24"/>
        </w:rPr>
        <w:t>4.</w:t>
      </w:r>
      <w:r>
        <w:rPr>
          <w:rFonts w:ascii="宋体" w:hAnsi="宋体" w:cs="宋体"/>
          <w:b/>
          <w:bCs/>
          <w:color w:val="auto"/>
          <w:spacing w:val="-5"/>
          <w:sz w:val="24"/>
        </w:rPr>
        <w:t>承包人</w:t>
      </w:r>
    </w:p>
    <w:p w14:paraId="5D8E80E1">
      <w:pPr>
        <w:spacing w:before="260" w:line="219" w:lineRule="auto"/>
        <w:ind w:left="477"/>
        <w:outlineLvl w:val="3"/>
        <w:rPr>
          <w:rFonts w:ascii="宋体" w:hAnsi="宋体" w:cs="宋体"/>
          <w:color w:val="auto"/>
          <w:sz w:val="24"/>
        </w:rPr>
      </w:pPr>
      <w:r>
        <w:rPr>
          <w:rFonts w:eastAsia="Times New Roman"/>
          <w:b/>
          <w:bCs/>
          <w:color w:val="auto"/>
          <w:spacing w:val="-2"/>
          <w:sz w:val="24"/>
        </w:rPr>
        <w:t xml:space="preserve">4.1  </w:t>
      </w:r>
      <w:r>
        <w:rPr>
          <w:rFonts w:ascii="宋体" w:hAnsi="宋体" w:cs="宋体"/>
          <w:b/>
          <w:bCs/>
          <w:color w:val="auto"/>
          <w:spacing w:val="-2"/>
          <w:sz w:val="24"/>
        </w:rPr>
        <w:t>承包人的一般义务</w:t>
      </w:r>
    </w:p>
    <w:p w14:paraId="30F24660">
      <w:pPr>
        <w:spacing w:before="125" w:line="219" w:lineRule="auto"/>
        <w:ind w:left="475"/>
        <w:rPr>
          <w:rFonts w:ascii="宋体" w:hAnsi="宋体" w:cs="宋体"/>
          <w:color w:val="auto"/>
          <w:sz w:val="24"/>
        </w:rPr>
      </w:pPr>
      <w:r>
        <w:rPr>
          <w:rFonts w:eastAsia="Times New Roman"/>
          <w:color w:val="auto"/>
          <w:spacing w:val="-1"/>
          <w:sz w:val="24"/>
        </w:rPr>
        <w:t xml:space="preserve">4.1.1  </w:t>
      </w:r>
      <w:r>
        <w:rPr>
          <w:rFonts w:ascii="宋体" w:hAnsi="宋体" w:cs="宋体"/>
          <w:color w:val="auto"/>
          <w:spacing w:val="-1"/>
          <w:sz w:val="24"/>
        </w:rPr>
        <w:t>遵守法律</w:t>
      </w:r>
    </w:p>
    <w:p w14:paraId="197640E1">
      <w:pPr>
        <w:spacing w:before="116" w:line="307" w:lineRule="auto"/>
        <w:ind w:right="104" w:firstLine="480"/>
        <w:rPr>
          <w:rFonts w:ascii="宋体" w:hAnsi="宋体" w:cs="宋体"/>
          <w:color w:val="auto"/>
          <w:sz w:val="24"/>
        </w:rPr>
      </w:pPr>
      <w:r>
        <w:rPr>
          <w:rFonts w:ascii="宋体" w:hAnsi="宋体" w:cs="宋体"/>
          <w:color w:val="auto"/>
          <w:spacing w:val="1"/>
          <w:sz w:val="24"/>
        </w:rPr>
        <w:t>承包人在履行合同过程中应遵守法律，并保证发包人免于</w:t>
      </w:r>
      <w:r>
        <w:rPr>
          <w:rFonts w:ascii="宋体" w:hAnsi="宋体" w:cs="宋体"/>
          <w:color w:val="auto"/>
          <w:sz w:val="24"/>
        </w:rPr>
        <w:t>承担因承包人违反法</w:t>
      </w:r>
      <w:r>
        <w:rPr>
          <w:rFonts w:ascii="宋体" w:hAnsi="宋体" w:cs="宋体"/>
          <w:color w:val="auto"/>
          <w:spacing w:val="-1"/>
          <w:sz w:val="24"/>
        </w:rPr>
        <w:t>律而引起的任何责任。</w:t>
      </w:r>
    </w:p>
    <w:p w14:paraId="7E189E6B">
      <w:pPr>
        <w:spacing w:line="218" w:lineRule="auto"/>
        <w:ind w:left="475"/>
        <w:rPr>
          <w:rFonts w:ascii="宋体" w:hAnsi="宋体" w:cs="宋体"/>
          <w:color w:val="auto"/>
          <w:sz w:val="24"/>
        </w:rPr>
      </w:pPr>
      <w:r>
        <w:rPr>
          <w:rFonts w:eastAsia="Times New Roman"/>
          <w:color w:val="auto"/>
          <w:spacing w:val="-1"/>
          <w:sz w:val="24"/>
        </w:rPr>
        <w:t xml:space="preserve">4.1.2  </w:t>
      </w:r>
      <w:r>
        <w:rPr>
          <w:rFonts w:ascii="宋体" w:hAnsi="宋体" w:cs="宋体"/>
          <w:color w:val="auto"/>
          <w:spacing w:val="-1"/>
          <w:sz w:val="24"/>
        </w:rPr>
        <w:t>依法纳税</w:t>
      </w:r>
    </w:p>
    <w:p w14:paraId="21AC3DB3">
      <w:pPr>
        <w:spacing w:before="117" w:line="218" w:lineRule="auto"/>
        <w:ind w:left="480"/>
        <w:rPr>
          <w:rFonts w:ascii="宋体" w:hAnsi="宋体" w:cs="宋体"/>
          <w:color w:val="auto"/>
          <w:sz w:val="24"/>
        </w:rPr>
      </w:pPr>
      <w:r>
        <w:rPr>
          <w:rFonts w:ascii="宋体" w:hAnsi="宋体" w:cs="宋体"/>
          <w:color w:val="auto"/>
          <w:spacing w:val="-1"/>
          <w:sz w:val="24"/>
        </w:rPr>
        <w:t>承包人应按有关法律规定纳税，应缴纳的税金包括在合同价格内。</w:t>
      </w:r>
    </w:p>
    <w:p w14:paraId="7A629F19">
      <w:pPr>
        <w:spacing w:before="115" w:line="219" w:lineRule="auto"/>
        <w:ind w:left="475"/>
        <w:rPr>
          <w:rFonts w:ascii="宋体" w:hAnsi="宋体" w:cs="宋体"/>
          <w:color w:val="auto"/>
          <w:sz w:val="24"/>
        </w:rPr>
      </w:pPr>
      <w:r>
        <w:rPr>
          <w:rFonts w:eastAsia="Times New Roman"/>
          <w:color w:val="auto"/>
          <w:spacing w:val="-1"/>
          <w:sz w:val="24"/>
        </w:rPr>
        <w:t xml:space="preserve">4.1.3  </w:t>
      </w:r>
      <w:r>
        <w:rPr>
          <w:rFonts w:ascii="宋体" w:hAnsi="宋体" w:cs="宋体"/>
          <w:color w:val="auto"/>
          <w:spacing w:val="-1"/>
          <w:sz w:val="24"/>
        </w:rPr>
        <w:t>完成各项承包工作</w:t>
      </w:r>
    </w:p>
    <w:p w14:paraId="4DD8A969">
      <w:pPr>
        <w:spacing w:before="115" w:line="308" w:lineRule="auto"/>
        <w:ind w:right="104" w:firstLine="480"/>
        <w:rPr>
          <w:rFonts w:ascii="宋体" w:hAnsi="宋体" w:cs="宋体"/>
          <w:color w:val="auto"/>
          <w:sz w:val="24"/>
        </w:rPr>
      </w:pPr>
      <w:r>
        <w:rPr>
          <w:rFonts w:ascii="宋体" w:hAnsi="宋体" w:cs="宋体"/>
          <w:color w:val="auto"/>
          <w:spacing w:val="2"/>
          <w:sz w:val="24"/>
        </w:rPr>
        <w:t>承包人应按合同约定以及咨询人根据第</w:t>
      </w:r>
      <w:r>
        <w:rPr>
          <w:rFonts w:eastAsia="Times New Roman"/>
          <w:color w:val="auto"/>
          <w:spacing w:val="2"/>
          <w:sz w:val="24"/>
        </w:rPr>
        <w:t xml:space="preserve">3.4 </w:t>
      </w:r>
      <w:r>
        <w:rPr>
          <w:rFonts w:ascii="宋体" w:hAnsi="宋体" w:cs="宋体"/>
          <w:color w:val="auto"/>
          <w:spacing w:val="2"/>
          <w:sz w:val="24"/>
        </w:rPr>
        <w:t>款作出的指示，实施、完成全</w:t>
      </w:r>
      <w:r>
        <w:rPr>
          <w:rFonts w:ascii="宋体" w:hAnsi="宋体" w:cs="宋体"/>
          <w:color w:val="auto"/>
          <w:spacing w:val="1"/>
          <w:sz w:val="24"/>
        </w:rPr>
        <w:t>部养护项目，并修补养护项目中的任何缺陷。除专用合同条款</w:t>
      </w:r>
      <w:r>
        <w:rPr>
          <w:rFonts w:ascii="宋体" w:hAnsi="宋体" w:cs="宋体"/>
          <w:color w:val="auto"/>
          <w:sz w:val="24"/>
        </w:rPr>
        <w:t>另有约定外，承包人应提</w:t>
      </w:r>
      <w:r>
        <w:rPr>
          <w:rFonts w:ascii="宋体" w:hAnsi="宋体" w:cs="宋体"/>
          <w:color w:val="auto"/>
          <w:spacing w:val="1"/>
          <w:sz w:val="24"/>
        </w:rPr>
        <w:t>供为完成合同工作所需的劳务、材料、养护作业设备、工</w:t>
      </w:r>
      <w:r>
        <w:rPr>
          <w:rFonts w:ascii="宋体" w:hAnsi="宋体" w:cs="宋体"/>
          <w:color w:val="auto"/>
          <w:sz w:val="24"/>
        </w:rPr>
        <w:t>程设备和其他物品，并按</w:t>
      </w:r>
      <w:r>
        <w:rPr>
          <w:rFonts w:ascii="宋体" w:hAnsi="宋体" w:cs="宋体"/>
          <w:color w:val="auto"/>
          <w:spacing w:val="-1"/>
          <w:sz w:val="24"/>
        </w:rPr>
        <w:t>合同约定负责临时设施的设计、建造、运行、维护、管理和拆除。</w:t>
      </w:r>
    </w:p>
    <w:p w14:paraId="0A900521">
      <w:pPr>
        <w:spacing w:before="1" w:line="219" w:lineRule="auto"/>
        <w:ind w:left="475"/>
        <w:rPr>
          <w:rFonts w:ascii="宋体" w:hAnsi="宋体" w:cs="宋体"/>
          <w:color w:val="auto"/>
          <w:sz w:val="24"/>
        </w:rPr>
      </w:pPr>
      <w:r>
        <w:rPr>
          <w:rFonts w:eastAsia="Times New Roman"/>
          <w:color w:val="auto"/>
          <w:spacing w:val="-1"/>
          <w:sz w:val="24"/>
        </w:rPr>
        <w:t xml:space="preserve">4.1.4  </w:t>
      </w:r>
      <w:r>
        <w:rPr>
          <w:rFonts w:ascii="宋体" w:hAnsi="宋体" w:cs="宋体"/>
          <w:color w:val="auto"/>
          <w:spacing w:val="-1"/>
          <w:sz w:val="24"/>
        </w:rPr>
        <w:t>对养护作业和方法的完备性负责</w:t>
      </w:r>
    </w:p>
    <w:p w14:paraId="597CE16A">
      <w:pPr>
        <w:spacing w:before="114" w:line="308" w:lineRule="auto"/>
        <w:ind w:right="104" w:firstLine="480"/>
        <w:rPr>
          <w:rFonts w:ascii="宋体" w:hAnsi="宋体" w:cs="宋体"/>
          <w:color w:val="auto"/>
          <w:sz w:val="24"/>
        </w:rPr>
      </w:pPr>
      <w:r>
        <w:rPr>
          <w:rFonts w:ascii="宋体" w:hAnsi="宋体" w:cs="宋体"/>
          <w:color w:val="auto"/>
          <w:spacing w:val="1"/>
          <w:sz w:val="24"/>
        </w:rPr>
        <w:t>承包人应按合同约定的工作内容和进度要求，编制施工组</w:t>
      </w:r>
      <w:r>
        <w:rPr>
          <w:rFonts w:ascii="宋体" w:hAnsi="宋体" w:cs="宋体"/>
          <w:color w:val="auto"/>
          <w:sz w:val="24"/>
        </w:rPr>
        <w:t>织设计和施工措施计</w:t>
      </w:r>
      <w:r>
        <w:rPr>
          <w:rFonts w:ascii="宋体" w:hAnsi="宋体" w:cs="宋体"/>
          <w:color w:val="auto"/>
          <w:spacing w:val="-1"/>
          <w:sz w:val="24"/>
        </w:rPr>
        <w:t>划，并对所有养护作业和方法的完备性和安全可靠性负责。</w:t>
      </w:r>
    </w:p>
    <w:p w14:paraId="02F7AE59">
      <w:pPr>
        <w:spacing w:line="219" w:lineRule="auto"/>
        <w:ind w:left="475"/>
        <w:rPr>
          <w:rFonts w:ascii="宋体" w:hAnsi="宋体" w:cs="宋体"/>
          <w:color w:val="auto"/>
          <w:sz w:val="24"/>
        </w:rPr>
      </w:pPr>
      <w:r>
        <w:rPr>
          <w:rFonts w:eastAsia="Times New Roman"/>
          <w:color w:val="auto"/>
          <w:spacing w:val="-1"/>
          <w:sz w:val="24"/>
        </w:rPr>
        <w:t xml:space="preserve">4.1.5  </w:t>
      </w:r>
      <w:r>
        <w:rPr>
          <w:rFonts w:ascii="宋体" w:hAnsi="宋体" w:cs="宋体"/>
          <w:color w:val="auto"/>
          <w:spacing w:val="-1"/>
          <w:sz w:val="24"/>
        </w:rPr>
        <w:t>保证养护项目和人员的安全</w:t>
      </w:r>
    </w:p>
    <w:p w14:paraId="08DE734C">
      <w:pPr>
        <w:spacing w:before="112" w:line="308" w:lineRule="auto"/>
        <w:ind w:left="1" w:right="104" w:firstLine="479"/>
        <w:rPr>
          <w:rFonts w:ascii="宋体" w:hAnsi="宋体" w:cs="宋体"/>
          <w:color w:val="auto"/>
          <w:sz w:val="24"/>
        </w:rPr>
      </w:pPr>
      <w:r>
        <w:rPr>
          <w:rFonts w:ascii="宋体" w:hAnsi="宋体" w:cs="宋体"/>
          <w:color w:val="auto"/>
          <w:spacing w:val="2"/>
          <w:sz w:val="24"/>
        </w:rPr>
        <w:t>承包人应按第</w:t>
      </w:r>
      <w:r>
        <w:rPr>
          <w:rFonts w:eastAsia="Times New Roman"/>
          <w:color w:val="auto"/>
          <w:spacing w:val="2"/>
          <w:sz w:val="24"/>
        </w:rPr>
        <w:t xml:space="preserve">9.2 </w:t>
      </w:r>
      <w:r>
        <w:rPr>
          <w:rFonts w:ascii="宋体" w:hAnsi="宋体" w:cs="宋体"/>
          <w:color w:val="auto"/>
          <w:spacing w:val="2"/>
          <w:sz w:val="24"/>
        </w:rPr>
        <w:t>款约定采取安全措施，确保本合同约定范围内的养护项</w:t>
      </w:r>
      <w:r>
        <w:rPr>
          <w:rFonts w:ascii="宋体" w:hAnsi="宋体" w:cs="宋体"/>
          <w:color w:val="auto"/>
          <w:spacing w:val="1"/>
          <w:sz w:val="24"/>
        </w:rPr>
        <w:t>目及其人员、材料、设备和设施的安全，防止因养护项目实</w:t>
      </w:r>
      <w:r>
        <w:rPr>
          <w:rFonts w:ascii="宋体" w:hAnsi="宋体" w:cs="宋体"/>
          <w:color w:val="auto"/>
          <w:sz w:val="24"/>
        </w:rPr>
        <w:t>施造成的人身伤害和财产损</w:t>
      </w:r>
      <w:r>
        <w:rPr>
          <w:rFonts w:ascii="宋体" w:hAnsi="宋体" w:cs="宋体"/>
          <w:color w:val="auto"/>
          <w:spacing w:val="-6"/>
          <w:sz w:val="24"/>
        </w:rPr>
        <w:t>失。</w:t>
      </w:r>
    </w:p>
    <w:p w14:paraId="48ADDC91">
      <w:pPr>
        <w:spacing w:before="1" w:line="219" w:lineRule="auto"/>
        <w:ind w:left="475"/>
        <w:rPr>
          <w:rFonts w:ascii="宋体" w:hAnsi="宋体" w:cs="宋体"/>
          <w:color w:val="auto"/>
          <w:sz w:val="24"/>
        </w:rPr>
      </w:pPr>
      <w:r>
        <w:rPr>
          <w:rFonts w:eastAsia="Times New Roman"/>
          <w:color w:val="auto"/>
          <w:sz w:val="24"/>
        </w:rPr>
        <w:t xml:space="preserve">4.1.6  </w:t>
      </w:r>
      <w:r>
        <w:rPr>
          <w:rFonts w:ascii="宋体" w:hAnsi="宋体" w:cs="宋体"/>
          <w:color w:val="auto"/>
          <w:sz w:val="24"/>
        </w:rPr>
        <w:t>负责养护作业场地及其周边环境与生态</w:t>
      </w:r>
      <w:r>
        <w:rPr>
          <w:rFonts w:ascii="宋体" w:hAnsi="宋体" w:cs="宋体"/>
          <w:color w:val="auto"/>
          <w:spacing w:val="-1"/>
          <w:sz w:val="24"/>
        </w:rPr>
        <w:t>的保护工作</w:t>
      </w:r>
    </w:p>
    <w:p w14:paraId="5A74C662">
      <w:pPr>
        <w:spacing w:before="116" w:line="219" w:lineRule="auto"/>
        <w:jc w:val="right"/>
        <w:rPr>
          <w:rFonts w:ascii="宋体" w:hAnsi="宋体" w:cs="宋体"/>
          <w:color w:val="auto"/>
          <w:sz w:val="24"/>
        </w:rPr>
      </w:pPr>
      <w:r>
        <w:rPr>
          <w:rFonts w:ascii="宋体" w:hAnsi="宋体" w:cs="宋体"/>
          <w:color w:val="auto"/>
          <w:spacing w:val="-2"/>
          <w:sz w:val="24"/>
        </w:rPr>
        <w:t>承包人应按照第</w:t>
      </w:r>
      <w:r>
        <w:rPr>
          <w:rFonts w:eastAsia="Times New Roman"/>
          <w:color w:val="auto"/>
          <w:spacing w:val="-2"/>
          <w:sz w:val="24"/>
        </w:rPr>
        <w:t xml:space="preserve">9.4 </w:t>
      </w:r>
      <w:r>
        <w:rPr>
          <w:rFonts w:ascii="宋体" w:hAnsi="宋体" w:cs="宋体"/>
          <w:color w:val="auto"/>
          <w:spacing w:val="-2"/>
          <w:sz w:val="24"/>
        </w:rPr>
        <w:t>款约定负责养护作业场地及其周边环境与生态的保护工作。</w:t>
      </w:r>
    </w:p>
    <w:p w14:paraId="1D5E771C">
      <w:pPr>
        <w:spacing w:before="116" w:line="219" w:lineRule="auto"/>
        <w:ind w:left="475"/>
        <w:rPr>
          <w:rFonts w:ascii="宋体" w:hAnsi="宋体" w:cs="宋体"/>
          <w:color w:val="auto"/>
          <w:sz w:val="24"/>
        </w:rPr>
      </w:pPr>
      <w:r>
        <w:rPr>
          <w:rFonts w:eastAsia="Times New Roman"/>
          <w:color w:val="auto"/>
          <w:spacing w:val="-1"/>
          <w:sz w:val="24"/>
        </w:rPr>
        <w:t xml:space="preserve">4.1.7  </w:t>
      </w:r>
      <w:r>
        <w:rPr>
          <w:rFonts w:ascii="宋体" w:hAnsi="宋体" w:cs="宋体"/>
          <w:color w:val="auto"/>
          <w:spacing w:val="-1"/>
          <w:sz w:val="24"/>
        </w:rPr>
        <w:t>避免损害公众与他人利益</w:t>
      </w:r>
    </w:p>
    <w:p w14:paraId="779C21EC">
      <w:pPr>
        <w:spacing w:before="112" w:line="308" w:lineRule="auto"/>
        <w:ind w:left="3" w:right="104" w:firstLine="477"/>
        <w:rPr>
          <w:rFonts w:ascii="宋体" w:hAnsi="宋体" w:cs="宋体"/>
          <w:color w:val="auto"/>
          <w:sz w:val="24"/>
        </w:rPr>
      </w:pPr>
      <w:r>
        <w:rPr>
          <w:rFonts w:ascii="宋体" w:hAnsi="宋体" w:cs="宋体"/>
          <w:color w:val="auto"/>
          <w:spacing w:val="1"/>
          <w:sz w:val="24"/>
        </w:rPr>
        <w:t>承包人在进行合同约定的各项工作时，不得侵害发包人与</w:t>
      </w:r>
      <w:r>
        <w:rPr>
          <w:rFonts w:ascii="宋体" w:hAnsi="宋体" w:cs="宋体"/>
          <w:color w:val="auto"/>
          <w:sz w:val="24"/>
        </w:rPr>
        <w:t>他人使用公用道路、</w:t>
      </w:r>
      <w:r>
        <w:rPr>
          <w:rFonts w:ascii="宋体" w:hAnsi="宋体" w:cs="宋体"/>
          <w:color w:val="auto"/>
          <w:spacing w:val="1"/>
          <w:sz w:val="24"/>
        </w:rPr>
        <w:t>水源、市政管网等公共设施的权利，避免对邻近的</w:t>
      </w:r>
      <w:r>
        <w:rPr>
          <w:rFonts w:ascii="宋体" w:hAnsi="宋体" w:cs="宋体"/>
          <w:color w:val="auto"/>
          <w:sz w:val="24"/>
        </w:rPr>
        <w:t>公共设施产生干扰。承包人占用</w:t>
      </w:r>
      <w:r>
        <w:rPr>
          <w:rFonts w:ascii="宋体" w:hAnsi="宋体" w:cs="宋体"/>
          <w:color w:val="auto"/>
          <w:spacing w:val="-1"/>
          <w:sz w:val="24"/>
        </w:rPr>
        <w:t>或使用他人的场地或设施，影响他人作业或生活的，应承担相应责任。</w:t>
      </w:r>
    </w:p>
    <w:p w14:paraId="1F713457">
      <w:pPr>
        <w:spacing w:before="1" w:line="218" w:lineRule="auto"/>
        <w:ind w:left="475"/>
        <w:rPr>
          <w:rFonts w:ascii="宋体" w:hAnsi="宋体" w:cs="宋体"/>
          <w:color w:val="auto"/>
          <w:sz w:val="24"/>
        </w:rPr>
      </w:pPr>
      <w:r>
        <w:rPr>
          <w:rFonts w:eastAsia="Times New Roman"/>
          <w:color w:val="auto"/>
          <w:spacing w:val="-1"/>
          <w:sz w:val="24"/>
        </w:rPr>
        <w:t xml:space="preserve">4.1.8  </w:t>
      </w:r>
      <w:r>
        <w:rPr>
          <w:rFonts w:ascii="宋体" w:hAnsi="宋体" w:cs="宋体"/>
          <w:color w:val="auto"/>
          <w:spacing w:val="-1"/>
          <w:sz w:val="24"/>
        </w:rPr>
        <w:t>为他人提供方便</w:t>
      </w:r>
    </w:p>
    <w:p w14:paraId="3EBFD7CF">
      <w:pPr>
        <w:spacing w:before="115" w:line="308" w:lineRule="auto"/>
        <w:ind w:left="1" w:right="104" w:firstLine="479"/>
        <w:rPr>
          <w:rFonts w:ascii="宋体" w:hAnsi="宋体" w:cs="宋体"/>
          <w:color w:val="auto"/>
          <w:sz w:val="24"/>
        </w:rPr>
      </w:pPr>
      <w:r>
        <w:rPr>
          <w:rFonts w:ascii="宋体" w:hAnsi="宋体" w:cs="宋体"/>
          <w:color w:val="auto"/>
          <w:spacing w:val="1"/>
          <w:sz w:val="24"/>
        </w:rPr>
        <w:t>承包人应按咨询人的指示为他人在养护作业场地或附近实</w:t>
      </w:r>
      <w:r>
        <w:rPr>
          <w:rFonts w:ascii="宋体" w:hAnsi="宋体" w:cs="宋体"/>
          <w:color w:val="auto"/>
          <w:sz w:val="24"/>
        </w:rPr>
        <w:t>施与养护项目有关的</w:t>
      </w:r>
      <w:r>
        <w:rPr>
          <w:rFonts w:ascii="宋体" w:hAnsi="宋体" w:cs="宋体"/>
          <w:color w:val="auto"/>
          <w:spacing w:val="1"/>
          <w:sz w:val="24"/>
        </w:rPr>
        <w:t>其他各项工作提供可能的条件。除合同另有约定外，提</w:t>
      </w:r>
      <w:r>
        <w:rPr>
          <w:rFonts w:ascii="宋体" w:hAnsi="宋体" w:cs="宋体"/>
          <w:color w:val="auto"/>
          <w:sz w:val="24"/>
        </w:rPr>
        <w:t>供有关条件的内容和可能发</w:t>
      </w:r>
      <w:r>
        <w:rPr>
          <w:rFonts w:ascii="宋体" w:hAnsi="宋体" w:cs="宋体"/>
          <w:color w:val="auto"/>
          <w:spacing w:val="-1"/>
          <w:sz w:val="24"/>
        </w:rPr>
        <w:t>生的费用，由咨询人按第</w:t>
      </w:r>
      <w:r>
        <w:rPr>
          <w:rFonts w:eastAsia="Times New Roman"/>
          <w:color w:val="auto"/>
          <w:spacing w:val="-1"/>
          <w:sz w:val="24"/>
        </w:rPr>
        <w:t xml:space="preserve">3.5 </w:t>
      </w:r>
      <w:r>
        <w:rPr>
          <w:rFonts w:ascii="宋体" w:hAnsi="宋体" w:cs="宋体"/>
          <w:color w:val="auto"/>
          <w:spacing w:val="-1"/>
          <w:sz w:val="24"/>
        </w:rPr>
        <w:t>款商定或确定。</w:t>
      </w:r>
    </w:p>
    <w:p w14:paraId="68EAB1F3">
      <w:pPr>
        <w:spacing w:before="1" w:line="219" w:lineRule="auto"/>
        <w:ind w:left="475"/>
        <w:rPr>
          <w:rFonts w:ascii="宋体" w:hAnsi="宋体" w:cs="宋体"/>
          <w:color w:val="auto"/>
          <w:sz w:val="24"/>
        </w:rPr>
      </w:pPr>
      <w:r>
        <w:rPr>
          <w:rFonts w:eastAsia="Times New Roman"/>
          <w:color w:val="auto"/>
          <w:spacing w:val="-1"/>
          <w:sz w:val="24"/>
        </w:rPr>
        <w:t xml:space="preserve">4.1.9  </w:t>
      </w:r>
      <w:r>
        <w:rPr>
          <w:rFonts w:ascii="宋体" w:hAnsi="宋体" w:cs="宋体"/>
          <w:color w:val="auto"/>
          <w:spacing w:val="-1"/>
          <w:sz w:val="24"/>
        </w:rPr>
        <w:t>养护项目的维护和照管</w:t>
      </w:r>
    </w:p>
    <w:p w14:paraId="25D2588C">
      <w:pPr>
        <w:spacing w:before="114" w:line="263" w:lineRule="auto"/>
        <w:ind w:left="46" w:right="104" w:firstLine="445"/>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1</w:t>
      </w:r>
      <w:r>
        <w:rPr>
          <w:rFonts w:ascii="宋体" w:hAnsi="宋体" w:cs="宋体"/>
          <w:color w:val="auto"/>
          <w:spacing w:val="4"/>
          <w:sz w:val="24"/>
        </w:rPr>
        <w:t>）未开放交通前，承包人应负责照管和维护作业控制区内已实施的养</w:t>
      </w:r>
      <w:r>
        <w:rPr>
          <w:rFonts w:ascii="宋体" w:hAnsi="宋体" w:cs="宋体"/>
          <w:color w:val="auto"/>
          <w:spacing w:val="3"/>
          <w:sz w:val="24"/>
        </w:rPr>
        <w:t>护项</w:t>
      </w:r>
      <w:r>
        <w:rPr>
          <w:rFonts w:ascii="宋体" w:hAnsi="宋体" w:cs="宋体"/>
          <w:color w:val="auto"/>
          <w:spacing w:val="-6"/>
          <w:sz w:val="24"/>
        </w:rPr>
        <w:t>目及相关材料、设备。</w:t>
      </w:r>
    </w:p>
    <w:p w14:paraId="596B2E89">
      <w:pPr>
        <w:spacing w:before="116" w:line="264" w:lineRule="auto"/>
        <w:ind w:left="3" w:right="104" w:firstLine="488"/>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2</w:t>
      </w:r>
      <w:r>
        <w:rPr>
          <w:rFonts w:ascii="宋体" w:hAnsi="宋体" w:cs="宋体"/>
          <w:color w:val="auto"/>
          <w:spacing w:val="4"/>
          <w:sz w:val="24"/>
        </w:rPr>
        <w:t>）在承包人负责照管与维护期间，如果养护项目或材料、设备等发生</w:t>
      </w:r>
      <w:r>
        <w:rPr>
          <w:rFonts w:ascii="宋体" w:hAnsi="宋体" w:cs="宋体"/>
          <w:color w:val="auto"/>
          <w:spacing w:val="3"/>
          <w:sz w:val="24"/>
        </w:rPr>
        <w:t>损失</w:t>
      </w:r>
      <w:r>
        <w:rPr>
          <w:rFonts w:ascii="宋体" w:hAnsi="宋体" w:cs="宋体"/>
          <w:color w:val="auto"/>
          <w:spacing w:val="1"/>
          <w:sz w:val="24"/>
        </w:rPr>
        <w:t>或损害，除不可抗力原因之外，承包人均应自费弥</w:t>
      </w:r>
      <w:r>
        <w:rPr>
          <w:rFonts w:ascii="宋体" w:hAnsi="宋体" w:cs="宋体"/>
          <w:color w:val="auto"/>
          <w:sz w:val="24"/>
        </w:rPr>
        <w:t>补，并达到合同要求。承包人还</w:t>
      </w:r>
      <w:r>
        <w:rPr>
          <w:rFonts w:ascii="宋体" w:hAnsi="宋体" w:cs="宋体"/>
          <w:color w:val="auto"/>
          <w:spacing w:val="3"/>
          <w:sz w:val="24"/>
        </w:rPr>
        <w:t>应对按第</w:t>
      </w:r>
      <w:r>
        <w:rPr>
          <w:rFonts w:eastAsia="Times New Roman"/>
          <w:color w:val="auto"/>
          <w:spacing w:val="3"/>
          <w:sz w:val="24"/>
        </w:rPr>
        <w:t>19</w:t>
      </w:r>
      <w:r>
        <w:rPr>
          <w:rFonts w:ascii="宋体" w:hAnsi="宋体" w:cs="宋体"/>
          <w:color w:val="auto"/>
          <w:spacing w:val="3"/>
          <w:sz w:val="24"/>
        </w:rPr>
        <w:t>条约定实施缺陷修复过程中由承包人造成</w:t>
      </w:r>
      <w:r>
        <w:rPr>
          <w:rFonts w:ascii="宋体" w:hAnsi="宋体" w:cs="宋体"/>
          <w:color w:val="auto"/>
          <w:spacing w:val="2"/>
          <w:sz w:val="24"/>
        </w:rPr>
        <w:t>的对养护项目的任何损失或</w:t>
      </w:r>
      <w:r>
        <w:rPr>
          <w:rFonts w:ascii="宋体" w:hAnsi="宋体" w:cs="宋体"/>
          <w:color w:val="auto"/>
          <w:spacing w:val="-2"/>
          <w:sz w:val="24"/>
        </w:rPr>
        <w:t>损害负责。</w:t>
      </w:r>
    </w:p>
    <w:p w14:paraId="4F1345DC">
      <w:pPr>
        <w:spacing w:line="219" w:lineRule="auto"/>
        <w:ind w:left="475"/>
        <w:rPr>
          <w:rFonts w:ascii="宋体" w:hAnsi="宋体" w:cs="宋体"/>
          <w:color w:val="auto"/>
          <w:sz w:val="24"/>
        </w:rPr>
      </w:pPr>
      <w:r>
        <w:rPr>
          <w:rFonts w:eastAsia="Times New Roman"/>
          <w:color w:val="auto"/>
          <w:spacing w:val="-1"/>
          <w:sz w:val="24"/>
        </w:rPr>
        <w:t xml:space="preserve">4.1.10  </w:t>
      </w:r>
      <w:r>
        <w:rPr>
          <w:rFonts w:ascii="宋体" w:hAnsi="宋体" w:cs="宋体"/>
          <w:color w:val="auto"/>
          <w:spacing w:val="-1"/>
          <w:sz w:val="24"/>
        </w:rPr>
        <w:t>临时占地的租用和退还</w:t>
      </w:r>
    </w:p>
    <w:p w14:paraId="41E5B87B">
      <w:pPr>
        <w:spacing w:before="116" w:line="307" w:lineRule="auto"/>
        <w:ind w:left="6" w:right="58" w:firstLine="488"/>
        <w:rPr>
          <w:rFonts w:ascii="宋体" w:hAnsi="宋体" w:cs="宋体"/>
          <w:color w:val="auto"/>
          <w:sz w:val="24"/>
        </w:rPr>
      </w:pPr>
      <w:r>
        <w:rPr>
          <w:rFonts w:ascii="宋体" w:hAnsi="宋体" w:cs="宋体"/>
          <w:color w:val="auto"/>
          <w:spacing w:val="-1"/>
          <w:sz w:val="24"/>
        </w:rPr>
        <w:t>除专用合同条款另有约定外，承包人自行负责</w:t>
      </w:r>
      <w:r>
        <w:rPr>
          <w:rFonts w:ascii="宋体" w:hAnsi="宋体" w:cs="宋体"/>
          <w:color w:val="auto"/>
          <w:spacing w:val="-2"/>
          <w:sz w:val="24"/>
        </w:rPr>
        <w:t>临时占地的租用、恢复和移交，</w:t>
      </w:r>
      <w:r>
        <w:rPr>
          <w:rFonts w:ascii="宋体" w:hAnsi="宋体" w:cs="宋体"/>
          <w:color w:val="auto"/>
          <w:spacing w:val="-1"/>
          <w:sz w:val="24"/>
        </w:rPr>
        <w:t>并承担相关费用。发包人应尽可能协助承包人办理临时占地相关手续。</w:t>
      </w:r>
    </w:p>
    <w:p w14:paraId="456AD490">
      <w:pPr>
        <w:spacing w:line="219" w:lineRule="auto"/>
        <w:ind w:left="475"/>
        <w:rPr>
          <w:rFonts w:ascii="宋体" w:hAnsi="宋体" w:cs="宋体"/>
          <w:color w:val="auto"/>
          <w:sz w:val="24"/>
        </w:rPr>
      </w:pPr>
      <w:r>
        <w:rPr>
          <w:rFonts w:eastAsia="Times New Roman"/>
          <w:color w:val="auto"/>
          <w:spacing w:val="-2"/>
          <w:sz w:val="24"/>
        </w:rPr>
        <w:t xml:space="preserve">4.1.11  </w:t>
      </w:r>
      <w:r>
        <w:rPr>
          <w:rFonts w:ascii="宋体" w:hAnsi="宋体" w:cs="宋体"/>
          <w:color w:val="auto"/>
          <w:spacing w:val="-2"/>
          <w:sz w:val="24"/>
        </w:rPr>
        <w:t>其他义务</w:t>
      </w:r>
    </w:p>
    <w:p w14:paraId="5430EE0F">
      <w:pPr>
        <w:spacing w:before="116" w:line="219" w:lineRule="auto"/>
        <w:ind w:left="480"/>
        <w:rPr>
          <w:rFonts w:ascii="宋体" w:hAnsi="宋体" w:cs="宋体"/>
          <w:color w:val="auto"/>
          <w:sz w:val="24"/>
        </w:rPr>
      </w:pPr>
      <w:r>
        <w:rPr>
          <w:rFonts w:ascii="宋体" w:hAnsi="宋体" w:cs="宋体"/>
          <w:color w:val="auto"/>
          <w:spacing w:val="-1"/>
          <w:sz w:val="24"/>
        </w:rPr>
        <w:t>承包人应履行专用合同条款约定的其他义务。</w:t>
      </w:r>
    </w:p>
    <w:p w14:paraId="5827594C">
      <w:pPr>
        <w:spacing w:before="106" w:line="220" w:lineRule="auto"/>
        <w:ind w:left="477"/>
        <w:outlineLvl w:val="3"/>
        <w:rPr>
          <w:rFonts w:ascii="宋体" w:hAnsi="宋体" w:cs="宋体"/>
          <w:color w:val="auto"/>
          <w:sz w:val="24"/>
        </w:rPr>
      </w:pPr>
      <w:r>
        <w:rPr>
          <w:rFonts w:eastAsia="Times New Roman"/>
          <w:b/>
          <w:bCs/>
          <w:color w:val="auto"/>
          <w:spacing w:val="-2"/>
          <w:sz w:val="24"/>
        </w:rPr>
        <w:t xml:space="preserve">4.2  </w:t>
      </w:r>
      <w:r>
        <w:rPr>
          <w:rFonts w:ascii="宋体" w:hAnsi="宋体" w:cs="宋体"/>
          <w:b/>
          <w:bCs/>
          <w:color w:val="auto"/>
          <w:spacing w:val="-2"/>
          <w:sz w:val="24"/>
        </w:rPr>
        <w:t>履约保证金</w:t>
      </w:r>
    </w:p>
    <w:p w14:paraId="6D0CBFCB">
      <w:pPr>
        <w:spacing w:before="119" w:line="286" w:lineRule="auto"/>
        <w:ind w:firstLine="474"/>
        <w:rPr>
          <w:rFonts w:ascii="宋体" w:hAnsi="宋体" w:cs="宋体"/>
          <w:color w:val="auto"/>
          <w:sz w:val="24"/>
        </w:rPr>
      </w:pPr>
      <w:r>
        <w:rPr>
          <w:rFonts w:eastAsia="Times New Roman"/>
          <w:color w:val="auto"/>
          <w:spacing w:val="4"/>
          <w:sz w:val="24"/>
        </w:rPr>
        <w:t xml:space="preserve">4.2.1  </w:t>
      </w:r>
      <w:r>
        <w:rPr>
          <w:rFonts w:ascii="宋体" w:hAnsi="宋体" w:cs="宋体"/>
          <w:color w:val="auto"/>
          <w:spacing w:val="4"/>
          <w:sz w:val="24"/>
        </w:rPr>
        <w:t>承包人应按照专用合同条款约定的形式、金额和期限提交履约保证金。</w:t>
      </w:r>
      <w:r>
        <w:rPr>
          <w:rFonts w:ascii="宋体" w:hAnsi="宋体" w:cs="宋体"/>
          <w:color w:val="auto"/>
          <w:spacing w:val="1"/>
          <w:sz w:val="24"/>
        </w:rPr>
        <w:t>承包人应保证其履约保证金在发包人签发交工验收证书且</w:t>
      </w:r>
      <w:r>
        <w:rPr>
          <w:rFonts w:ascii="宋体" w:hAnsi="宋体" w:cs="宋体"/>
          <w:color w:val="auto"/>
          <w:sz w:val="24"/>
        </w:rPr>
        <w:t>承包人按照合同约定缴纳</w:t>
      </w:r>
      <w:r>
        <w:rPr>
          <w:rFonts w:ascii="宋体" w:hAnsi="宋体" w:cs="宋体"/>
          <w:color w:val="auto"/>
          <w:spacing w:val="3"/>
          <w:sz w:val="24"/>
        </w:rPr>
        <w:t>质量保证金前一直有效。发包人应在收到承包人</w:t>
      </w:r>
      <w:r>
        <w:rPr>
          <w:rFonts w:ascii="宋体" w:hAnsi="宋体" w:cs="宋体"/>
          <w:color w:val="auto"/>
          <w:spacing w:val="2"/>
          <w:sz w:val="24"/>
        </w:rPr>
        <w:t>缴纳的质量保证金后</w:t>
      </w:r>
      <w:r>
        <w:rPr>
          <w:rFonts w:eastAsia="Times New Roman"/>
          <w:color w:val="auto"/>
          <w:spacing w:val="2"/>
          <w:sz w:val="24"/>
        </w:rPr>
        <w:t>14</w:t>
      </w:r>
      <w:r>
        <w:rPr>
          <w:rFonts w:ascii="宋体" w:hAnsi="宋体" w:cs="宋体"/>
          <w:color w:val="auto"/>
          <w:spacing w:val="2"/>
          <w:sz w:val="24"/>
        </w:rPr>
        <w:t>天内将履</w:t>
      </w:r>
      <w:r>
        <w:rPr>
          <w:rFonts w:ascii="宋体" w:hAnsi="宋体" w:cs="宋体"/>
          <w:color w:val="auto"/>
          <w:spacing w:val="-1"/>
          <w:sz w:val="24"/>
        </w:rPr>
        <w:t>约保证金退还给承包人。</w:t>
      </w:r>
    </w:p>
    <w:p w14:paraId="072EE8C3">
      <w:pPr>
        <w:spacing w:before="116" w:line="278" w:lineRule="auto"/>
        <w:ind w:firstLine="475"/>
        <w:rPr>
          <w:rFonts w:ascii="宋体" w:hAnsi="宋体" w:cs="宋体"/>
          <w:color w:val="auto"/>
          <w:sz w:val="24"/>
        </w:rPr>
      </w:pPr>
      <w:r>
        <w:rPr>
          <w:rFonts w:eastAsia="Times New Roman"/>
          <w:color w:val="auto"/>
          <w:spacing w:val="4"/>
          <w:sz w:val="24"/>
        </w:rPr>
        <w:t xml:space="preserve">4.2.2  </w:t>
      </w:r>
      <w:r>
        <w:rPr>
          <w:rFonts w:ascii="宋体" w:hAnsi="宋体" w:cs="宋体"/>
          <w:color w:val="auto"/>
          <w:spacing w:val="4"/>
          <w:sz w:val="24"/>
        </w:rPr>
        <w:t>承包人拒绝按照本合同约定缴纳质量保证金的，发包人有权从</w:t>
      </w:r>
      <w:r>
        <w:rPr>
          <w:rFonts w:ascii="宋体" w:hAnsi="宋体" w:cs="宋体"/>
          <w:color w:val="auto"/>
          <w:spacing w:val="3"/>
          <w:sz w:val="24"/>
        </w:rPr>
        <w:t>交工付款</w:t>
      </w:r>
      <w:r>
        <w:rPr>
          <w:rFonts w:ascii="宋体" w:hAnsi="宋体" w:cs="宋体"/>
          <w:color w:val="auto"/>
          <w:spacing w:val="1"/>
          <w:sz w:val="24"/>
        </w:rPr>
        <w:t>证书中扣留相应金额作为质量保证金，或者直接将履约保证</w:t>
      </w:r>
      <w:r>
        <w:rPr>
          <w:rFonts w:ascii="宋体" w:hAnsi="宋体" w:cs="宋体"/>
          <w:color w:val="auto"/>
          <w:sz w:val="24"/>
        </w:rPr>
        <w:t>金金额用于保证承包人</w:t>
      </w:r>
      <w:r>
        <w:rPr>
          <w:rFonts w:ascii="宋体" w:hAnsi="宋体" w:cs="宋体"/>
          <w:color w:val="auto"/>
          <w:spacing w:val="-1"/>
          <w:sz w:val="24"/>
        </w:rPr>
        <w:t>在缺陷责任期内履行缺陷修复义务。</w:t>
      </w:r>
    </w:p>
    <w:p w14:paraId="71F4A287">
      <w:pPr>
        <w:spacing w:before="106" w:line="220" w:lineRule="auto"/>
        <w:ind w:left="477"/>
        <w:outlineLvl w:val="3"/>
        <w:rPr>
          <w:rFonts w:ascii="宋体" w:hAnsi="宋体" w:cs="宋体"/>
          <w:color w:val="auto"/>
          <w:sz w:val="24"/>
        </w:rPr>
      </w:pPr>
      <w:r>
        <w:rPr>
          <w:rFonts w:eastAsia="Times New Roman"/>
          <w:b/>
          <w:bCs/>
          <w:color w:val="auto"/>
          <w:spacing w:val="-2"/>
          <w:sz w:val="24"/>
        </w:rPr>
        <w:t xml:space="preserve">4.3  </w:t>
      </w:r>
      <w:r>
        <w:rPr>
          <w:rFonts w:ascii="宋体" w:hAnsi="宋体" w:cs="宋体"/>
          <w:b/>
          <w:bCs/>
          <w:color w:val="auto"/>
          <w:spacing w:val="-2"/>
          <w:sz w:val="24"/>
        </w:rPr>
        <w:t>转包、分包</w:t>
      </w:r>
    </w:p>
    <w:p w14:paraId="5991B7EB">
      <w:pPr>
        <w:spacing w:before="124" w:line="263" w:lineRule="auto"/>
        <w:ind w:left="1" w:right="2" w:firstLine="473"/>
        <w:rPr>
          <w:rFonts w:ascii="宋体" w:hAnsi="宋体" w:cs="宋体"/>
          <w:color w:val="auto"/>
          <w:sz w:val="24"/>
        </w:rPr>
      </w:pPr>
      <w:r>
        <w:rPr>
          <w:rFonts w:eastAsia="Times New Roman"/>
          <w:color w:val="auto"/>
          <w:spacing w:val="4"/>
          <w:sz w:val="24"/>
        </w:rPr>
        <w:t xml:space="preserve">4.3.1  </w:t>
      </w:r>
      <w:r>
        <w:rPr>
          <w:rFonts w:ascii="宋体" w:hAnsi="宋体" w:cs="宋体"/>
          <w:color w:val="auto"/>
          <w:spacing w:val="4"/>
          <w:sz w:val="24"/>
        </w:rPr>
        <w:t>承包人不得将其承包的养护项目全部工作转包给第三人，或将</w:t>
      </w:r>
      <w:r>
        <w:rPr>
          <w:rFonts w:ascii="宋体" w:hAnsi="宋体" w:cs="宋体"/>
          <w:color w:val="auto"/>
          <w:spacing w:val="3"/>
          <w:sz w:val="24"/>
        </w:rPr>
        <w:t>其承包的</w:t>
      </w:r>
      <w:r>
        <w:rPr>
          <w:rFonts w:ascii="宋体" w:hAnsi="宋体" w:cs="宋体"/>
          <w:color w:val="auto"/>
          <w:spacing w:val="-1"/>
          <w:sz w:val="24"/>
        </w:rPr>
        <w:t>养护项目中的全部工作支解后以分包的名义转包给第三人。</w:t>
      </w:r>
    </w:p>
    <w:p w14:paraId="2963AE8B">
      <w:pPr>
        <w:spacing w:before="116" w:line="219" w:lineRule="auto"/>
        <w:ind w:left="475"/>
        <w:rPr>
          <w:rFonts w:ascii="宋体" w:hAnsi="宋体" w:cs="宋体"/>
          <w:color w:val="auto"/>
          <w:sz w:val="24"/>
        </w:rPr>
      </w:pPr>
      <w:r>
        <w:rPr>
          <w:rFonts w:eastAsia="Times New Roman"/>
          <w:color w:val="auto"/>
          <w:sz w:val="24"/>
        </w:rPr>
        <w:t xml:space="preserve">4.3.2  </w:t>
      </w:r>
      <w:r>
        <w:rPr>
          <w:rFonts w:ascii="宋体" w:hAnsi="宋体" w:cs="宋体"/>
          <w:color w:val="auto"/>
          <w:sz w:val="24"/>
        </w:rPr>
        <w:t>承包人不得将专用合同条款约定的养护项目分包</w:t>
      </w:r>
      <w:r>
        <w:rPr>
          <w:rFonts w:ascii="宋体" w:hAnsi="宋体" w:cs="宋体"/>
          <w:color w:val="auto"/>
          <w:spacing w:val="-1"/>
          <w:sz w:val="24"/>
        </w:rPr>
        <w:t>给第三人。</w:t>
      </w:r>
    </w:p>
    <w:p w14:paraId="6F56CB57">
      <w:pPr>
        <w:spacing w:before="118" w:line="285" w:lineRule="auto"/>
        <w:ind w:firstLine="474"/>
        <w:rPr>
          <w:rFonts w:ascii="宋体" w:hAnsi="宋体" w:cs="宋体"/>
          <w:color w:val="auto"/>
          <w:sz w:val="24"/>
        </w:rPr>
      </w:pPr>
      <w:r>
        <w:rPr>
          <w:rFonts w:eastAsia="Times New Roman"/>
          <w:color w:val="auto"/>
          <w:spacing w:val="4"/>
          <w:sz w:val="24"/>
        </w:rPr>
        <w:t xml:space="preserve">4.3.3  </w:t>
      </w:r>
      <w:r>
        <w:rPr>
          <w:rFonts w:ascii="宋体" w:hAnsi="宋体" w:cs="宋体"/>
          <w:color w:val="auto"/>
          <w:spacing w:val="4"/>
          <w:sz w:val="24"/>
        </w:rPr>
        <w:t>承包人拟进行分包的，应向咨询人提出申请并经发包人同意后</w:t>
      </w:r>
      <w:r>
        <w:rPr>
          <w:rFonts w:ascii="宋体" w:hAnsi="宋体" w:cs="宋体"/>
          <w:color w:val="auto"/>
          <w:spacing w:val="3"/>
          <w:sz w:val="24"/>
        </w:rPr>
        <w:t>，方可在</w:t>
      </w:r>
      <w:r>
        <w:rPr>
          <w:rFonts w:ascii="宋体" w:hAnsi="宋体" w:cs="宋体"/>
          <w:color w:val="auto"/>
          <w:spacing w:val="1"/>
          <w:sz w:val="24"/>
        </w:rPr>
        <w:t>合同约定的范围内进行分包。分包人的资格能力应与</w:t>
      </w:r>
      <w:r>
        <w:rPr>
          <w:rFonts w:ascii="宋体" w:hAnsi="宋体" w:cs="宋体"/>
          <w:color w:val="auto"/>
          <w:sz w:val="24"/>
        </w:rPr>
        <w:t>其分包工作的标准和规模相适</w:t>
      </w:r>
      <w:r>
        <w:rPr>
          <w:rFonts w:ascii="宋体" w:hAnsi="宋体" w:cs="宋体"/>
          <w:color w:val="auto"/>
          <w:spacing w:val="1"/>
          <w:sz w:val="24"/>
        </w:rPr>
        <w:t>应，且满足专用合同条款约定的相关条件。承包人应向咨</w:t>
      </w:r>
      <w:r>
        <w:rPr>
          <w:rFonts w:ascii="宋体" w:hAnsi="宋体" w:cs="宋体"/>
          <w:color w:val="auto"/>
          <w:sz w:val="24"/>
        </w:rPr>
        <w:t>询人提交分包人的资格证</w:t>
      </w:r>
      <w:r>
        <w:rPr>
          <w:rFonts w:ascii="宋体" w:hAnsi="宋体" w:cs="宋体"/>
          <w:color w:val="auto"/>
          <w:spacing w:val="-1"/>
          <w:sz w:val="24"/>
        </w:rPr>
        <w:t>明材料，经咨询人审查同意后报发包人批准。</w:t>
      </w:r>
    </w:p>
    <w:p w14:paraId="5E9AB2A3">
      <w:pPr>
        <w:spacing w:before="115" w:line="308" w:lineRule="auto"/>
        <w:ind w:left="25" w:right="2" w:firstLine="450"/>
        <w:rPr>
          <w:rFonts w:ascii="宋体" w:hAnsi="宋体" w:cs="宋体"/>
          <w:color w:val="auto"/>
          <w:sz w:val="24"/>
        </w:rPr>
      </w:pPr>
      <w:r>
        <w:rPr>
          <w:rFonts w:eastAsia="Times New Roman"/>
          <w:color w:val="auto"/>
          <w:spacing w:val="4"/>
          <w:sz w:val="24"/>
        </w:rPr>
        <w:t xml:space="preserve">4.3.4  </w:t>
      </w:r>
      <w:r>
        <w:rPr>
          <w:rFonts w:ascii="宋体" w:hAnsi="宋体" w:cs="宋体"/>
          <w:color w:val="auto"/>
          <w:spacing w:val="4"/>
          <w:sz w:val="24"/>
        </w:rPr>
        <w:t>分包不减轻或免除承包人的责任和义务，承包人应与分包人就</w:t>
      </w:r>
      <w:r>
        <w:rPr>
          <w:rFonts w:ascii="宋体" w:hAnsi="宋体" w:cs="宋体"/>
          <w:color w:val="auto"/>
          <w:spacing w:val="3"/>
          <w:sz w:val="24"/>
        </w:rPr>
        <w:t>分包工作</w:t>
      </w:r>
      <w:r>
        <w:rPr>
          <w:rFonts w:ascii="宋体" w:hAnsi="宋体" w:cs="宋体"/>
          <w:color w:val="auto"/>
          <w:spacing w:val="-4"/>
          <w:sz w:val="24"/>
        </w:rPr>
        <w:t>向发包人承担连带责任。</w:t>
      </w:r>
    </w:p>
    <w:p w14:paraId="508EB7A1">
      <w:pPr>
        <w:spacing w:before="2" w:line="303" w:lineRule="auto"/>
        <w:ind w:left="4" w:right="2" w:firstLine="470"/>
        <w:rPr>
          <w:rFonts w:ascii="宋体" w:hAnsi="宋体" w:cs="宋体"/>
          <w:color w:val="auto"/>
          <w:sz w:val="24"/>
        </w:rPr>
      </w:pPr>
      <w:r>
        <w:rPr>
          <w:rFonts w:eastAsia="Times New Roman"/>
          <w:color w:val="auto"/>
          <w:spacing w:val="4"/>
          <w:sz w:val="24"/>
        </w:rPr>
        <w:t xml:space="preserve">4.3.5  </w:t>
      </w:r>
      <w:r>
        <w:rPr>
          <w:rFonts w:ascii="宋体" w:hAnsi="宋体" w:cs="宋体"/>
          <w:color w:val="auto"/>
          <w:spacing w:val="4"/>
          <w:sz w:val="24"/>
        </w:rPr>
        <w:t>承包人应妥善处理其与分包人之间的合同争议、纠纷，并保障</w:t>
      </w:r>
      <w:r>
        <w:rPr>
          <w:rFonts w:ascii="宋体" w:hAnsi="宋体" w:cs="宋体"/>
          <w:color w:val="auto"/>
          <w:spacing w:val="3"/>
          <w:sz w:val="24"/>
        </w:rPr>
        <w:t>发包人免</w:t>
      </w:r>
      <w:r>
        <w:rPr>
          <w:rFonts w:ascii="宋体" w:hAnsi="宋体" w:cs="宋体"/>
          <w:color w:val="auto"/>
          <w:spacing w:val="-2"/>
          <w:sz w:val="24"/>
        </w:rPr>
        <w:t>于承担相应法律责任。</w:t>
      </w:r>
    </w:p>
    <w:p w14:paraId="7143EA32">
      <w:pPr>
        <w:spacing w:before="1" w:line="220" w:lineRule="auto"/>
        <w:ind w:left="477"/>
        <w:outlineLvl w:val="3"/>
        <w:rPr>
          <w:rFonts w:ascii="宋体" w:hAnsi="宋体" w:cs="宋体"/>
          <w:color w:val="auto"/>
          <w:sz w:val="24"/>
        </w:rPr>
      </w:pPr>
      <w:r>
        <w:rPr>
          <w:rFonts w:eastAsia="Times New Roman"/>
          <w:b/>
          <w:bCs/>
          <w:color w:val="auto"/>
          <w:spacing w:val="-4"/>
          <w:sz w:val="24"/>
        </w:rPr>
        <w:t>4.4</w:t>
      </w:r>
      <w:r>
        <w:rPr>
          <w:rFonts w:ascii="宋体" w:hAnsi="宋体" w:cs="宋体"/>
          <w:b/>
          <w:bCs/>
          <w:color w:val="auto"/>
          <w:spacing w:val="-4"/>
          <w:sz w:val="24"/>
        </w:rPr>
        <w:t>联合体</w:t>
      </w:r>
    </w:p>
    <w:p w14:paraId="17BAE8BB">
      <w:pPr>
        <w:spacing w:before="123" w:line="263" w:lineRule="auto"/>
        <w:ind w:right="2" w:firstLine="474"/>
        <w:rPr>
          <w:rFonts w:ascii="宋体" w:hAnsi="宋体" w:cs="宋体"/>
          <w:color w:val="auto"/>
          <w:sz w:val="24"/>
        </w:rPr>
      </w:pPr>
      <w:r>
        <w:rPr>
          <w:rFonts w:eastAsia="Times New Roman"/>
          <w:color w:val="auto"/>
          <w:spacing w:val="4"/>
          <w:sz w:val="24"/>
        </w:rPr>
        <w:t xml:space="preserve">4.4.1  </w:t>
      </w:r>
      <w:r>
        <w:rPr>
          <w:rFonts w:ascii="宋体" w:hAnsi="宋体" w:cs="宋体"/>
          <w:color w:val="auto"/>
          <w:spacing w:val="4"/>
          <w:sz w:val="24"/>
        </w:rPr>
        <w:t>联合体各方应共同与发包人签订合同协议书。联合体各方应为</w:t>
      </w:r>
      <w:r>
        <w:rPr>
          <w:rFonts w:ascii="宋体" w:hAnsi="宋体" w:cs="宋体"/>
          <w:color w:val="auto"/>
          <w:spacing w:val="3"/>
          <w:sz w:val="24"/>
        </w:rPr>
        <w:t>履行合同</w:t>
      </w:r>
      <w:r>
        <w:rPr>
          <w:rFonts w:ascii="宋体" w:hAnsi="宋体" w:cs="宋体"/>
          <w:color w:val="auto"/>
          <w:spacing w:val="-2"/>
          <w:sz w:val="24"/>
        </w:rPr>
        <w:t>承担连带责任。</w:t>
      </w:r>
    </w:p>
    <w:p w14:paraId="6C6F436B">
      <w:pPr>
        <w:spacing w:before="116" w:line="278" w:lineRule="auto"/>
        <w:ind w:firstLine="474"/>
        <w:rPr>
          <w:rFonts w:ascii="宋体" w:hAnsi="宋体" w:cs="宋体"/>
          <w:color w:val="auto"/>
          <w:sz w:val="24"/>
        </w:rPr>
      </w:pPr>
      <w:r>
        <w:rPr>
          <w:rFonts w:eastAsia="Times New Roman"/>
          <w:color w:val="auto"/>
          <w:spacing w:val="4"/>
          <w:sz w:val="24"/>
        </w:rPr>
        <w:t xml:space="preserve">4.4.2  </w:t>
      </w:r>
      <w:r>
        <w:rPr>
          <w:rFonts w:ascii="宋体" w:hAnsi="宋体" w:cs="宋体"/>
          <w:color w:val="auto"/>
          <w:spacing w:val="4"/>
          <w:sz w:val="24"/>
        </w:rPr>
        <w:t>联合体协议经发包人确认后作为合同附件。在履行合同过程中，未经发</w:t>
      </w:r>
      <w:r>
        <w:rPr>
          <w:rFonts w:ascii="宋体" w:hAnsi="宋体" w:cs="宋体"/>
          <w:color w:val="auto"/>
          <w:spacing w:val="1"/>
          <w:sz w:val="24"/>
        </w:rPr>
        <w:t>包人同意，不得变更联合体成员和其负责的工作范围</w:t>
      </w:r>
      <w:r>
        <w:rPr>
          <w:rFonts w:ascii="宋体" w:hAnsi="宋体" w:cs="宋体"/>
          <w:color w:val="auto"/>
          <w:sz w:val="24"/>
        </w:rPr>
        <w:t>，或者修改联合体协议中与本</w:t>
      </w:r>
      <w:r>
        <w:rPr>
          <w:rFonts w:ascii="宋体" w:hAnsi="宋体" w:cs="宋体"/>
          <w:color w:val="auto"/>
          <w:spacing w:val="-1"/>
          <w:sz w:val="24"/>
        </w:rPr>
        <w:t>合同履行相关的内容。</w:t>
      </w:r>
    </w:p>
    <w:p w14:paraId="00C7DFFE">
      <w:pPr>
        <w:spacing w:before="115" w:line="219" w:lineRule="auto"/>
        <w:ind w:right="2"/>
        <w:jc w:val="left"/>
        <w:rPr>
          <w:rFonts w:ascii="宋体" w:hAnsi="宋体" w:cs="宋体"/>
          <w:color w:val="auto"/>
          <w:sz w:val="24"/>
        </w:rPr>
      </w:pPr>
      <w:r>
        <w:rPr>
          <w:rFonts w:eastAsia="Times New Roman"/>
          <w:color w:val="auto"/>
          <w:spacing w:val="4"/>
          <w:sz w:val="24"/>
        </w:rPr>
        <w:t xml:space="preserve">4.4.3  </w:t>
      </w:r>
      <w:r>
        <w:rPr>
          <w:rFonts w:ascii="宋体" w:hAnsi="宋体" w:cs="宋体"/>
          <w:color w:val="auto"/>
          <w:spacing w:val="4"/>
          <w:sz w:val="24"/>
        </w:rPr>
        <w:t>联合体牵头人负责与发包人和咨询人联系、接受指示，并向联</w:t>
      </w:r>
      <w:r>
        <w:rPr>
          <w:rFonts w:ascii="宋体" w:hAnsi="宋体" w:cs="宋体"/>
          <w:color w:val="auto"/>
          <w:spacing w:val="3"/>
          <w:sz w:val="24"/>
        </w:rPr>
        <w:t>合体各方</w:t>
      </w:r>
      <w:bookmarkStart w:id="125" w:name="bookmark213"/>
      <w:bookmarkEnd w:id="125"/>
      <w:r>
        <w:rPr>
          <w:rFonts w:ascii="宋体" w:hAnsi="宋体" w:cs="宋体"/>
          <w:color w:val="auto"/>
          <w:sz w:val="24"/>
        </w:rPr>
        <w:t>传达发包人指示、下达工作指令，负责组织联合体各</w:t>
      </w:r>
      <w:r>
        <w:rPr>
          <w:rFonts w:ascii="宋体" w:hAnsi="宋体" w:cs="宋体"/>
          <w:color w:val="auto"/>
          <w:spacing w:val="-1"/>
          <w:sz w:val="24"/>
        </w:rPr>
        <w:t>成员全面履行合同。</w:t>
      </w:r>
    </w:p>
    <w:p w14:paraId="3ACA07C6">
      <w:pPr>
        <w:spacing w:before="115" w:line="304" w:lineRule="auto"/>
        <w:ind w:left="1" w:right="147" w:firstLine="474"/>
        <w:rPr>
          <w:rFonts w:ascii="宋体" w:hAnsi="宋体" w:cs="宋体"/>
          <w:color w:val="auto"/>
          <w:sz w:val="24"/>
        </w:rPr>
      </w:pPr>
      <w:r>
        <w:rPr>
          <w:rFonts w:eastAsia="Times New Roman"/>
          <w:color w:val="auto"/>
          <w:spacing w:val="4"/>
          <w:sz w:val="24"/>
        </w:rPr>
        <w:t xml:space="preserve">4.4.4  </w:t>
      </w:r>
      <w:r>
        <w:rPr>
          <w:rFonts w:ascii="宋体" w:hAnsi="宋体" w:cs="宋体"/>
          <w:color w:val="auto"/>
          <w:spacing w:val="4"/>
          <w:sz w:val="24"/>
        </w:rPr>
        <w:t>联合体牵头人在履行合同中作出的所有行为和决定，均视为已</w:t>
      </w:r>
      <w:r>
        <w:rPr>
          <w:rFonts w:ascii="宋体" w:hAnsi="宋体" w:cs="宋体"/>
          <w:color w:val="auto"/>
          <w:spacing w:val="3"/>
          <w:sz w:val="24"/>
        </w:rPr>
        <w:t>得到联合</w:t>
      </w:r>
      <w:r>
        <w:rPr>
          <w:rFonts w:ascii="宋体" w:hAnsi="宋体" w:cs="宋体"/>
          <w:color w:val="auto"/>
          <w:spacing w:val="-2"/>
          <w:sz w:val="24"/>
        </w:rPr>
        <w:t>体全部成员认可。</w:t>
      </w:r>
    </w:p>
    <w:p w14:paraId="0825E70D">
      <w:pPr>
        <w:spacing w:line="219" w:lineRule="auto"/>
        <w:ind w:left="478"/>
        <w:outlineLvl w:val="3"/>
        <w:rPr>
          <w:rFonts w:ascii="宋体" w:hAnsi="宋体" w:cs="宋体"/>
          <w:color w:val="auto"/>
          <w:sz w:val="24"/>
        </w:rPr>
      </w:pPr>
      <w:r>
        <w:rPr>
          <w:rFonts w:eastAsia="Times New Roman"/>
          <w:b/>
          <w:bCs/>
          <w:color w:val="auto"/>
          <w:spacing w:val="-2"/>
          <w:sz w:val="24"/>
        </w:rPr>
        <w:t xml:space="preserve">4.5  </w:t>
      </w:r>
      <w:r>
        <w:rPr>
          <w:rFonts w:ascii="宋体" w:hAnsi="宋体" w:cs="宋体"/>
          <w:b/>
          <w:bCs/>
          <w:color w:val="auto"/>
          <w:spacing w:val="-2"/>
          <w:sz w:val="24"/>
        </w:rPr>
        <w:t>承包人项目经理和项目总工</w:t>
      </w:r>
    </w:p>
    <w:p w14:paraId="7B52C817">
      <w:pPr>
        <w:spacing w:before="123" w:line="286" w:lineRule="auto"/>
        <w:ind w:left="3" w:right="145" w:firstLine="472"/>
        <w:rPr>
          <w:rFonts w:ascii="宋体" w:hAnsi="宋体" w:cs="宋体"/>
          <w:color w:val="auto"/>
          <w:sz w:val="24"/>
        </w:rPr>
      </w:pPr>
      <w:r>
        <w:rPr>
          <w:rFonts w:eastAsia="Times New Roman"/>
          <w:color w:val="auto"/>
          <w:spacing w:val="6"/>
          <w:sz w:val="24"/>
        </w:rPr>
        <w:t xml:space="preserve">4.5.1 </w:t>
      </w:r>
      <w:r>
        <w:rPr>
          <w:rFonts w:ascii="宋体" w:hAnsi="宋体" w:cs="宋体"/>
          <w:color w:val="auto"/>
          <w:spacing w:val="6"/>
          <w:sz w:val="24"/>
        </w:rPr>
        <w:t>承包人应按合同协议书的约定指派项目</w:t>
      </w:r>
      <w:r>
        <w:rPr>
          <w:rFonts w:ascii="宋体" w:hAnsi="宋体" w:cs="宋体"/>
          <w:color w:val="auto"/>
          <w:spacing w:val="5"/>
          <w:sz w:val="24"/>
        </w:rPr>
        <w:t>经理和项目总工，并在专用合同</w:t>
      </w:r>
      <w:r>
        <w:rPr>
          <w:rFonts w:ascii="宋体" w:hAnsi="宋体" w:cs="宋体"/>
          <w:color w:val="auto"/>
          <w:spacing w:val="1"/>
          <w:sz w:val="24"/>
        </w:rPr>
        <w:t>条款约定的期限内到职。承包人更换项目经理或项目</w:t>
      </w:r>
      <w:r>
        <w:rPr>
          <w:rFonts w:ascii="宋体" w:hAnsi="宋体" w:cs="宋体"/>
          <w:color w:val="auto"/>
          <w:sz w:val="24"/>
        </w:rPr>
        <w:t>总工应事先征得发包人同意，并应在更换</w:t>
      </w:r>
      <w:r>
        <w:rPr>
          <w:rFonts w:eastAsia="Times New Roman"/>
          <w:color w:val="auto"/>
          <w:sz w:val="24"/>
        </w:rPr>
        <w:t xml:space="preserve">7 </w:t>
      </w:r>
      <w:r>
        <w:rPr>
          <w:rFonts w:ascii="宋体" w:hAnsi="宋体" w:cs="宋体"/>
          <w:color w:val="auto"/>
          <w:sz w:val="24"/>
        </w:rPr>
        <w:t>天前将拟更换人员的姓名和详细资料提交发包人和咨询人。承包人项</w:t>
      </w:r>
      <w:r>
        <w:rPr>
          <w:rFonts w:ascii="宋体" w:hAnsi="宋体" w:cs="宋体"/>
          <w:color w:val="auto"/>
          <w:spacing w:val="-1"/>
          <w:sz w:val="24"/>
        </w:rPr>
        <w:t>目经理和项目总工在养护作业场地的驻场要求在专用合同条款约定。</w:t>
      </w:r>
    </w:p>
    <w:p w14:paraId="5E84B7F5">
      <w:pPr>
        <w:spacing w:before="113" w:line="278" w:lineRule="auto"/>
        <w:ind w:left="3" w:right="101" w:firstLine="472"/>
        <w:rPr>
          <w:rFonts w:ascii="宋体" w:hAnsi="宋体" w:cs="宋体"/>
          <w:color w:val="auto"/>
          <w:sz w:val="24"/>
        </w:rPr>
      </w:pPr>
      <w:r>
        <w:rPr>
          <w:rFonts w:eastAsia="Times New Roman"/>
          <w:color w:val="auto"/>
          <w:spacing w:val="5"/>
          <w:sz w:val="24"/>
        </w:rPr>
        <w:t xml:space="preserve">4.5.2  </w:t>
      </w:r>
      <w:r>
        <w:rPr>
          <w:rFonts w:ascii="宋体" w:hAnsi="宋体" w:cs="宋体"/>
          <w:color w:val="auto"/>
          <w:spacing w:val="5"/>
          <w:sz w:val="24"/>
        </w:rPr>
        <w:t>承包人项目经理应按合同约定</w:t>
      </w:r>
      <w:r>
        <w:rPr>
          <w:rFonts w:ascii="宋体" w:hAnsi="宋体" w:cs="宋体"/>
          <w:color w:val="auto"/>
          <w:spacing w:val="4"/>
          <w:sz w:val="24"/>
        </w:rPr>
        <w:t>以及咨询人按第</w:t>
      </w:r>
      <w:r>
        <w:rPr>
          <w:rFonts w:eastAsia="Times New Roman"/>
          <w:color w:val="auto"/>
          <w:spacing w:val="4"/>
          <w:sz w:val="24"/>
        </w:rPr>
        <w:t>3.4</w:t>
      </w:r>
      <w:r>
        <w:rPr>
          <w:rFonts w:ascii="宋体" w:hAnsi="宋体" w:cs="宋体"/>
          <w:color w:val="auto"/>
          <w:spacing w:val="4"/>
          <w:sz w:val="24"/>
        </w:rPr>
        <w:t>款作出的指示，负责</w:t>
      </w:r>
      <w:r>
        <w:rPr>
          <w:rFonts w:ascii="宋体" w:hAnsi="宋体" w:cs="宋体"/>
          <w:color w:val="auto"/>
          <w:spacing w:val="1"/>
          <w:sz w:val="24"/>
        </w:rPr>
        <w:t>组织合同工程的实施。在情况紧急且无法与咨询人取</w:t>
      </w:r>
      <w:r>
        <w:rPr>
          <w:rFonts w:ascii="宋体" w:hAnsi="宋体" w:cs="宋体"/>
          <w:color w:val="auto"/>
          <w:sz w:val="24"/>
        </w:rPr>
        <w:t>得联系时，可采取保证工程和</w:t>
      </w:r>
      <w:r>
        <w:rPr>
          <w:rFonts w:ascii="宋体" w:hAnsi="宋体" w:cs="宋体"/>
          <w:color w:val="auto"/>
          <w:spacing w:val="-2"/>
          <w:sz w:val="24"/>
        </w:rPr>
        <w:t>人员生命财产安全的紧急措施，并在采取措施后</w:t>
      </w:r>
      <w:r>
        <w:rPr>
          <w:rFonts w:eastAsia="Times New Roman"/>
          <w:color w:val="auto"/>
          <w:spacing w:val="-2"/>
          <w:sz w:val="24"/>
        </w:rPr>
        <w:t>24</w:t>
      </w:r>
      <w:r>
        <w:rPr>
          <w:rFonts w:ascii="宋体" w:hAnsi="宋体" w:cs="宋体"/>
          <w:color w:val="auto"/>
          <w:spacing w:val="-2"/>
          <w:sz w:val="24"/>
        </w:rPr>
        <w:t>小时内向咨询人提交书面报告。</w:t>
      </w:r>
    </w:p>
    <w:p w14:paraId="654A1885">
      <w:pPr>
        <w:spacing w:before="117" w:line="263" w:lineRule="auto"/>
        <w:ind w:right="148" w:firstLine="475"/>
        <w:rPr>
          <w:rFonts w:ascii="宋体" w:hAnsi="宋体" w:cs="宋体"/>
          <w:color w:val="auto"/>
          <w:sz w:val="24"/>
        </w:rPr>
      </w:pPr>
      <w:r>
        <w:rPr>
          <w:rFonts w:eastAsia="Times New Roman"/>
          <w:color w:val="auto"/>
          <w:spacing w:val="6"/>
          <w:sz w:val="24"/>
        </w:rPr>
        <w:t xml:space="preserve">4.5.3 </w:t>
      </w:r>
      <w:r>
        <w:rPr>
          <w:rFonts w:ascii="宋体" w:hAnsi="宋体" w:cs="宋体"/>
          <w:color w:val="auto"/>
          <w:spacing w:val="6"/>
          <w:sz w:val="24"/>
        </w:rPr>
        <w:t>承包人为履行合同发出的一切函件均应</w:t>
      </w:r>
      <w:r>
        <w:rPr>
          <w:rFonts w:ascii="宋体" w:hAnsi="宋体" w:cs="宋体"/>
          <w:color w:val="auto"/>
          <w:spacing w:val="5"/>
          <w:sz w:val="24"/>
        </w:rPr>
        <w:t>盖有承包人单位公章或承包人授</w:t>
      </w:r>
      <w:r>
        <w:rPr>
          <w:rFonts w:ascii="宋体" w:hAnsi="宋体" w:cs="宋体"/>
          <w:color w:val="auto"/>
          <w:spacing w:val="-1"/>
          <w:sz w:val="24"/>
        </w:rPr>
        <w:t>权的项目管理机构章，并由承包人项目经理或其授权代表签字。</w:t>
      </w:r>
    </w:p>
    <w:p w14:paraId="621DABF3">
      <w:pPr>
        <w:spacing w:before="116" w:line="263" w:lineRule="auto"/>
        <w:ind w:left="3" w:right="147" w:firstLine="472"/>
        <w:rPr>
          <w:rFonts w:ascii="宋体" w:hAnsi="宋体" w:cs="宋体"/>
          <w:color w:val="auto"/>
          <w:sz w:val="24"/>
        </w:rPr>
      </w:pPr>
      <w:r>
        <w:rPr>
          <w:rFonts w:eastAsia="Times New Roman"/>
          <w:color w:val="auto"/>
          <w:spacing w:val="4"/>
          <w:sz w:val="24"/>
        </w:rPr>
        <w:t xml:space="preserve">4.5.4  </w:t>
      </w:r>
      <w:r>
        <w:rPr>
          <w:rFonts w:ascii="宋体" w:hAnsi="宋体" w:cs="宋体"/>
          <w:color w:val="auto"/>
          <w:spacing w:val="4"/>
          <w:sz w:val="24"/>
        </w:rPr>
        <w:t>承包人项目经理可以授权其下属人员履行其某项职责，但事先</w:t>
      </w:r>
      <w:r>
        <w:rPr>
          <w:rFonts w:ascii="宋体" w:hAnsi="宋体" w:cs="宋体"/>
          <w:color w:val="auto"/>
          <w:spacing w:val="3"/>
          <w:sz w:val="24"/>
        </w:rPr>
        <w:t>应将这些</w:t>
      </w:r>
      <w:r>
        <w:rPr>
          <w:rFonts w:ascii="宋体" w:hAnsi="宋体" w:cs="宋体"/>
          <w:color w:val="auto"/>
          <w:spacing w:val="-1"/>
          <w:sz w:val="24"/>
        </w:rPr>
        <w:t>人员的姓名和授权范围通知咨询人。</w:t>
      </w:r>
    </w:p>
    <w:p w14:paraId="50DBAA93">
      <w:pPr>
        <w:spacing w:before="107" w:line="219" w:lineRule="auto"/>
        <w:ind w:left="478"/>
        <w:outlineLvl w:val="3"/>
        <w:rPr>
          <w:rFonts w:ascii="宋体" w:hAnsi="宋体" w:cs="宋体"/>
          <w:color w:val="auto"/>
          <w:sz w:val="24"/>
        </w:rPr>
      </w:pPr>
      <w:r>
        <w:rPr>
          <w:rFonts w:eastAsia="Times New Roman"/>
          <w:b/>
          <w:bCs/>
          <w:color w:val="auto"/>
          <w:spacing w:val="-2"/>
          <w:sz w:val="24"/>
        </w:rPr>
        <w:t xml:space="preserve">4.6  </w:t>
      </w:r>
      <w:r>
        <w:rPr>
          <w:rFonts w:ascii="宋体" w:hAnsi="宋体" w:cs="宋体"/>
          <w:b/>
          <w:bCs/>
          <w:color w:val="auto"/>
          <w:spacing w:val="-2"/>
          <w:sz w:val="24"/>
        </w:rPr>
        <w:t>承包人人员的管理</w:t>
      </w:r>
    </w:p>
    <w:p w14:paraId="357C3D3F">
      <w:pPr>
        <w:spacing w:before="126" w:line="285" w:lineRule="auto"/>
        <w:ind w:left="1" w:right="145" w:firstLine="474"/>
        <w:rPr>
          <w:rFonts w:ascii="宋体" w:hAnsi="宋体" w:cs="宋体"/>
          <w:color w:val="auto"/>
          <w:sz w:val="24"/>
        </w:rPr>
      </w:pPr>
      <w:r>
        <w:rPr>
          <w:rFonts w:eastAsia="Times New Roman"/>
          <w:color w:val="auto"/>
          <w:spacing w:val="3"/>
          <w:sz w:val="24"/>
        </w:rPr>
        <w:t xml:space="preserve">4.6.1  </w:t>
      </w:r>
      <w:r>
        <w:rPr>
          <w:rFonts w:ascii="宋体" w:hAnsi="宋体" w:cs="宋体"/>
          <w:color w:val="auto"/>
          <w:spacing w:val="3"/>
          <w:sz w:val="24"/>
        </w:rPr>
        <w:t>承包人应在接到开工通知后</w:t>
      </w:r>
      <w:r>
        <w:rPr>
          <w:rFonts w:eastAsia="Times New Roman"/>
          <w:color w:val="auto"/>
          <w:spacing w:val="3"/>
          <w:sz w:val="24"/>
        </w:rPr>
        <w:t>7</w:t>
      </w:r>
      <w:r>
        <w:rPr>
          <w:rFonts w:ascii="宋体" w:hAnsi="宋体" w:cs="宋体"/>
          <w:color w:val="auto"/>
          <w:spacing w:val="3"/>
          <w:sz w:val="24"/>
        </w:rPr>
        <w:t>天内，向咨询人提交承包人在养护作业场</w:t>
      </w:r>
      <w:r>
        <w:rPr>
          <w:rFonts w:ascii="宋体" w:hAnsi="宋体" w:cs="宋体"/>
          <w:color w:val="auto"/>
          <w:spacing w:val="1"/>
          <w:sz w:val="24"/>
        </w:rPr>
        <w:t>地的管理机构以及人员安排的报告，其内容应包括管理机</w:t>
      </w:r>
      <w:r>
        <w:rPr>
          <w:rFonts w:ascii="宋体" w:hAnsi="宋体" w:cs="宋体"/>
          <w:color w:val="auto"/>
          <w:sz w:val="24"/>
        </w:rPr>
        <w:t>构的设置、各主要岗位的</w:t>
      </w:r>
      <w:r>
        <w:rPr>
          <w:rFonts w:ascii="宋体" w:hAnsi="宋体" w:cs="宋体"/>
          <w:color w:val="auto"/>
          <w:spacing w:val="1"/>
          <w:sz w:val="24"/>
        </w:rPr>
        <w:t>技术和管理人员名单及其资格，以及各工种技术工人的安</w:t>
      </w:r>
      <w:r>
        <w:rPr>
          <w:rFonts w:ascii="宋体" w:hAnsi="宋体" w:cs="宋体"/>
          <w:color w:val="auto"/>
          <w:sz w:val="24"/>
        </w:rPr>
        <w:t>排状况。承包人应向咨询</w:t>
      </w:r>
      <w:r>
        <w:rPr>
          <w:rFonts w:ascii="宋体" w:hAnsi="宋体" w:cs="宋体"/>
          <w:color w:val="auto"/>
          <w:spacing w:val="-1"/>
          <w:sz w:val="24"/>
        </w:rPr>
        <w:t>人提交养护作业场地人员变动情况的报告。</w:t>
      </w:r>
    </w:p>
    <w:p w14:paraId="390D8529">
      <w:pPr>
        <w:spacing w:before="115" w:line="264" w:lineRule="auto"/>
        <w:ind w:left="3" w:right="147" w:firstLine="472"/>
        <w:rPr>
          <w:rFonts w:ascii="宋体" w:hAnsi="宋体" w:cs="宋体"/>
          <w:color w:val="auto"/>
          <w:sz w:val="24"/>
        </w:rPr>
      </w:pPr>
      <w:r>
        <w:rPr>
          <w:rFonts w:eastAsia="Times New Roman"/>
          <w:color w:val="auto"/>
          <w:spacing w:val="4"/>
          <w:sz w:val="24"/>
        </w:rPr>
        <w:t xml:space="preserve">4.6.2  </w:t>
      </w:r>
      <w:r>
        <w:rPr>
          <w:rFonts w:ascii="宋体" w:hAnsi="宋体" w:cs="宋体"/>
          <w:color w:val="auto"/>
          <w:spacing w:val="4"/>
          <w:sz w:val="24"/>
        </w:rPr>
        <w:t>为完成合同约定的各项工作，承包人应向养护作业场地派遣或</w:t>
      </w:r>
      <w:r>
        <w:rPr>
          <w:rFonts w:ascii="宋体" w:hAnsi="宋体" w:cs="宋体"/>
          <w:color w:val="auto"/>
          <w:spacing w:val="3"/>
          <w:sz w:val="24"/>
        </w:rPr>
        <w:t>雇用足够</w:t>
      </w:r>
      <w:r>
        <w:rPr>
          <w:rFonts w:ascii="宋体" w:hAnsi="宋体" w:cs="宋体"/>
          <w:color w:val="auto"/>
          <w:sz w:val="24"/>
        </w:rPr>
        <w:t>数量且具备相应资格能力的技术人员、管理人员、专</w:t>
      </w:r>
      <w:r>
        <w:rPr>
          <w:rFonts w:ascii="宋体" w:hAnsi="宋体" w:cs="宋体"/>
          <w:color w:val="auto"/>
          <w:spacing w:val="-1"/>
          <w:sz w:val="24"/>
        </w:rPr>
        <w:t>职安全生产管理人员和工人。</w:t>
      </w:r>
    </w:p>
    <w:p w14:paraId="1DE2695B">
      <w:pPr>
        <w:spacing w:before="113" w:line="286" w:lineRule="auto"/>
        <w:ind w:left="3" w:right="145" w:firstLine="472"/>
        <w:rPr>
          <w:rFonts w:ascii="宋体" w:hAnsi="宋体" w:cs="宋体"/>
          <w:color w:val="auto"/>
          <w:sz w:val="24"/>
        </w:rPr>
      </w:pPr>
      <w:r>
        <w:rPr>
          <w:rFonts w:eastAsia="Times New Roman"/>
          <w:color w:val="auto"/>
          <w:spacing w:val="4"/>
          <w:sz w:val="24"/>
        </w:rPr>
        <w:t xml:space="preserve">4.6.3  </w:t>
      </w:r>
      <w:r>
        <w:rPr>
          <w:rFonts w:ascii="宋体" w:hAnsi="宋体" w:cs="宋体"/>
          <w:color w:val="auto"/>
          <w:spacing w:val="4"/>
          <w:sz w:val="24"/>
        </w:rPr>
        <w:t>承包人安排在养护作业场地的主要管理人员和技术骨干应与承</w:t>
      </w:r>
      <w:r>
        <w:rPr>
          <w:rFonts w:ascii="宋体" w:hAnsi="宋体" w:cs="宋体"/>
          <w:color w:val="auto"/>
          <w:spacing w:val="3"/>
          <w:sz w:val="24"/>
        </w:rPr>
        <w:t>包人承诺</w:t>
      </w:r>
      <w:r>
        <w:rPr>
          <w:rFonts w:ascii="宋体" w:hAnsi="宋体" w:cs="宋体"/>
          <w:color w:val="auto"/>
          <w:spacing w:val="1"/>
          <w:sz w:val="24"/>
        </w:rPr>
        <w:t>的名单一致，并保持相对稳定，相关人员的现场管理</w:t>
      </w:r>
      <w:r>
        <w:rPr>
          <w:rFonts w:ascii="宋体" w:hAnsi="宋体" w:cs="宋体"/>
          <w:color w:val="auto"/>
          <w:sz w:val="24"/>
        </w:rPr>
        <w:t>要求在专用合同条款约定。未</w:t>
      </w:r>
      <w:r>
        <w:rPr>
          <w:rFonts w:ascii="宋体" w:hAnsi="宋体" w:cs="宋体"/>
          <w:color w:val="auto"/>
          <w:spacing w:val="1"/>
          <w:sz w:val="24"/>
        </w:rPr>
        <w:t>经咨询人批准，上述人员不应无故不到位或被替换；</w:t>
      </w:r>
      <w:r>
        <w:rPr>
          <w:rFonts w:ascii="宋体" w:hAnsi="宋体" w:cs="宋体"/>
          <w:color w:val="auto"/>
          <w:sz w:val="24"/>
        </w:rPr>
        <w:t>若确实无法到位或需替换，需经咨询人审核并报发包人批准后，用同等或</w:t>
      </w:r>
      <w:r>
        <w:rPr>
          <w:rFonts w:ascii="宋体" w:hAnsi="宋体" w:cs="宋体"/>
          <w:color w:val="auto"/>
          <w:spacing w:val="-1"/>
          <w:sz w:val="24"/>
        </w:rPr>
        <w:t>更高资格和资历的人员替换。</w:t>
      </w:r>
    </w:p>
    <w:p w14:paraId="4D4A36E1">
      <w:pPr>
        <w:spacing w:before="113" w:line="264" w:lineRule="auto"/>
        <w:ind w:left="11" w:right="187" w:firstLine="465"/>
        <w:rPr>
          <w:rFonts w:ascii="宋体" w:hAnsi="宋体" w:cs="宋体"/>
          <w:color w:val="auto"/>
          <w:sz w:val="24"/>
        </w:rPr>
      </w:pPr>
      <w:r>
        <w:rPr>
          <w:rFonts w:eastAsia="Times New Roman"/>
          <w:color w:val="auto"/>
          <w:spacing w:val="3"/>
          <w:sz w:val="24"/>
        </w:rPr>
        <w:t xml:space="preserve">4.6.4  </w:t>
      </w:r>
      <w:r>
        <w:rPr>
          <w:rFonts w:ascii="宋体" w:hAnsi="宋体" w:cs="宋体"/>
          <w:color w:val="auto"/>
          <w:spacing w:val="3"/>
          <w:sz w:val="24"/>
        </w:rPr>
        <w:t>特殊岗位的工作人员均应持有相应的资格证明，咨询人有</w:t>
      </w:r>
      <w:r>
        <w:rPr>
          <w:rFonts w:ascii="宋体" w:hAnsi="宋体" w:cs="宋体"/>
          <w:color w:val="auto"/>
          <w:spacing w:val="2"/>
          <w:sz w:val="24"/>
        </w:rPr>
        <w:t>权随时检查。</w:t>
      </w:r>
      <w:r>
        <w:rPr>
          <w:rFonts w:ascii="宋体" w:hAnsi="宋体" w:cs="宋体"/>
          <w:color w:val="auto"/>
          <w:spacing w:val="-2"/>
          <w:sz w:val="24"/>
        </w:rPr>
        <w:t>咨询人认为有必要时，可进行现场考核。</w:t>
      </w:r>
    </w:p>
    <w:p w14:paraId="2B43DA3B">
      <w:pPr>
        <w:spacing w:before="114" w:line="286" w:lineRule="auto"/>
        <w:ind w:left="1" w:firstLine="474"/>
        <w:rPr>
          <w:rFonts w:ascii="宋体" w:hAnsi="宋体" w:cs="宋体"/>
          <w:color w:val="auto"/>
          <w:sz w:val="24"/>
        </w:rPr>
      </w:pPr>
      <w:r>
        <w:rPr>
          <w:rFonts w:eastAsia="Times New Roman"/>
          <w:color w:val="auto"/>
          <w:spacing w:val="5"/>
          <w:sz w:val="24"/>
        </w:rPr>
        <w:t xml:space="preserve">4.6.5  </w:t>
      </w:r>
      <w:r>
        <w:rPr>
          <w:rFonts w:ascii="宋体" w:hAnsi="宋体" w:cs="宋体"/>
          <w:color w:val="auto"/>
          <w:spacing w:val="5"/>
          <w:sz w:val="24"/>
        </w:rPr>
        <w:t>承包人虽已按承诺派遣了上述各类</w:t>
      </w:r>
      <w:r>
        <w:rPr>
          <w:rFonts w:ascii="宋体" w:hAnsi="宋体" w:cs="宋体"/>
          <w:color w:val="auto"/>
          <w:spacing w:val="4"/>
          <w:sz w:val="24"/>
        </w:rPr>
        <w:t>人员，但仍不能满足合同进度计划、</w:t>
      </w:r>
      <w:r>
        <w:rPr>
          <w:rFonts w:ascii="宋体" w:hAnsi="宋体" w:cs="宋体"/>
          <w:color w:val="auto"/>
          <w:spacing w:val="1"/>
          <w:sz w:val="24"/>
        </w:rPr>
        <w:t>质量和安全管理要求时，咨询人有权要求承包人继续增派</w:t>
      </w:r>
      <w:r>
        <w:rPr>
          <w:rFonts w:ascii="宋体" w:hAnsi="宋体" w:cs="宋体"/>
          <w:color w:val="auto"/>
          <w:sz w:val="24"/>
        </w:rPr>
        <w:t>或雇用这类人员，并书面</w:t>
      </w:r>
      <w:r>
        <w:rPr>
          <w:rFonts w:ascii="宋体" w:hAnsi="宋体" w:cs="宋体"/>
          <w:color w:val="auto"/>
          <w:spacing w:val="-2"/>
          <w:sz w:val="24"/>
        </w:rPr>
        <w:t>通知承包人和抄送发包人。承包人在接到上述通知后应立即执行咨询人的上述指示，</w:t>
      </w:r>
      <w:r>
        <w:rPr>
          <w:rFonts w:ascii="宋体" w:hAnsi="宋体" w:cs="宋体"/>
          <w:color w:val="auto"/>
          <w:spacing w:val="-1"/>
          <w:sz w:val="24"/>
        </w:rPr>
        <w:t>不得无故拖延，由此增加的费用和（或）工期延误由承包人承担。</w:t>
      </w:r>
    </w:p>
    <w:p w14:paraId="101789C5">
      <w:pPr>
        <w:spacing w:before="104" w:line="219" w:lineRule="auto"/>
        <w:ind w:left="478"/>
        <w:outlineLvl w:val="3"/>
        <w:rPr>
          <w:rFonts w:ascii="宋体" w:hAnsi="宋体" w:cs="宋体"/>
          <w:color w:val="auto"/>
          <w:sz w:val="24"/>
        </w:rPr>
      </w:pPr>
      <w:r>
        <w:rPr>
          <w:rFonts w:eastAsia="Times New Roman"/>
          <w:b/>
          <w:bCs/>
          <w:color w:val="auto"/>
          <w:spacing w:val="-2"/>
          <w:sz w:val="24"/>
        </w:rPr>
        <w:t xml:space="preserve">4.7  </w:t>
      </w:r>
      <w:r>
        <w:rPr>
          <w:rFonts w:ascii="宋体" w:hAnsi="宋体" w:cs="宋体"/>
          <w:b/>
          <w:bCs/>
          <w:color w:val="auto"/>
          <w:spacing w:val="-2"/>
          <w:sz w:val="24"/>
        </w:rPr>
        <w:t>撤换承包人项目经理和其他人员</w:t>
      </w:r>
    </w:p>
    <w:p w14:paraId="669B6DC7">
      <w:pPr>
        <w:spacing w:before="125" w:line="219" w:lineRule="auto"/>
        <w:ind w:left="481"/>
        <w:rPr>
          <w:rFonts w:ascii="宋体" w:hAnsi="宋体" w:cs="宋体"/>
          <w:color w:val="auto"/>
          <w:sz w:val="24"/>
        </w:rPr>
      </w:pPr>
      <w:r>
        <w:rPr>
          <w:rFonts w:ascii="宋体" w:hAnsi="宋体" w:cs="宋体"/>
          <w:color w:val="auto"/>
          <w:spacing w:val="1"/>
          <w:sz w:val="24"/>
        </w:rPr>
        <w:t>承包人应对其项目经理和其他人员进行有效管理。咨询人</w:t>
      </w:r>
      <w:r>
        <w:rPr>
          <w:rFonts w:ascii="宋体" w:hAnsi="宋体" w:cs="宋体"/>
          <w:color w:val="auto"/>
          <w:sz w:val="24"/>
        </w:rPr>
        <w:t>要求撤换不能胜任本</w:t>
      </w:r>
      <w:r>
        <w:rPr>
          <w:rFonts w:ascii="宋体" w:hAnsi="宋体" w:cs="宋体"/>
          <w:color w:val="auto"/>
          <w:spacing w:val="-1"/>
          <w:sz w:val="24"/>
        </w:rPr>
        <w:t>职工作、行为不端或玩忽职守的承包人项目经理和</w:t>
      </w:r>
      <w:r>
        <w:rPr>
          <w:rFonts w:ascii="宋体" w:hAnsi="宋体" w:cs="宋体"/>
          <w:color w:val="auto"/>
          <w:spacing w:val="-2"/>
          <w:sz w:val="24"/>
        </w:rPr>
        <w:t>其他人员的，承包人应予以撤换。</w:t>
      </w:r>
      <w:r>
        <w:rPr>
          <w:rFonts w:ascii="宋体" w:hAnsi="宋体" w:cs="宋体"/>
          <w:color w:val="auto"/>
          <w:spacing w:val="-1"/>
          <w:sz w:val="24"/>
        </w:rPr>
        <w:t>同时委派经发包人与咨询人同意的新的项目经</w:t>
      </w:r>
      <w:r>
        <w:rPr>
          <w:rFonts w:ascii="宋体" w:hAnsi="宋体" w:cs="宋体"/>
          <w:color w:val="auto"/>
          <w:spacing w:val="-2"/>
          <w:sz w:val="24"/>
        </w:rPr>
        <w:t>理和其他人员。</w:t>
      </w:r>
    </w:p>
    <w:p w14:paraId="5686D243">
      <w:pPr>
        <w:spacing w:line="219" w:lineRule="auto"/>
        <w:ind w:left="477"/>
        <w:outlineLvl w:val="3"/>
        <w:rPr>
          <w:rFonts w:ascii="宋体" w:hAnsi="宋体" w:cs="宋体"/>
          <w:color w:val="auto"/>
          <w:sz w:val="24"/>
        </w:rPr>
      </w:pPr>
      <w:bookmarkStart w:id="126" w:name="bookmark214"/>
      <w:bookmarkEnd w:id="126"/>
      <w:r>
        <w:rPr>
          <w:rFonts w:eastAsia="Times New Roman"/>
          <w:b/>
          <w:bCs/>
          <w:color w:val="auto"/>
          <w:spacing w:val="-2"/>
          <w:sz w:val="24"/>
        </w:rPr>
        <w:t xml:space="preserve">4.8  </w:t>
      </w:r>
      <w:r>
        <w:rPr>
          <w:rFonts w:ascii="宋体" w:hAnsi="宋体" w:cs="宋体"/>
          <w:b/>
          <w:bCs/>
          <w:color w:val="auto"/>
          <w:spacing w:val="-2"/>
          <w:sz w:val="24"/>
        </w:rPr>
        <w:t>承包人劳动用工管理</w:t>
      </w:r>
    </w:p>
    <w:p w14:paraId="3D866938">
      <w:pPr>
        <w:spacing w:before="124" w:line="264" w:lineRule="auto"/>
        <w:ind w:left="1" w:right="166" w:firstLine="473"/>
        <w:rPr>
          <w:rFonts w:ascii="宋体" w:hAnsi="宋体" w:cs="宋体"/>
          <w:color w:val="auto"/>
          <w:sz w:val="24"/>
        </w:rPr>
      </w:pPr>
      <w:r>
        <w:rPr>
          <w:rFonts w:eastAsia="Times New Roman"/>
          <w:color w:val="auto"/>
          <w:spacing w:val="4"/>
          <w:sz w:val="24"/>
        </w:rPr>
        <w:t xml:space="preserve">4.8.1  </w:t>
      </w:r>
      <w:r>
        <w:rPr>
          <w:rFonts w:ascii="宋体" w:hAnsi="宋体" w:cs="宋体"/>
          <w:color w:val="auto"/>
          <w:spacing w:val="4"/>
          <w:sz w:val="24"/>
        </w:rPr>
        <w:t>承包人应按国家法律法规和有关规定，健全劳动用工管理制度</w:t>
      </w:r>
      <w:r>
        <w:rPr>
          <w:rFonts w:ascii="宋体" w:hAnsi="宋体" w:cs="宋体"/>
          <w:color w:val="auto"/>
          <w:spacing w:val="3"/>
          <w:sz w:val="24"/>
        </w:rPr>
        <w:t>，保障劳</w:t>
      </w:r>
      <w:r>
        <w:rPr>
          <w:rFonts w:ascii="宋体" w:hAnsi="宋体" w:cs="宋体"/>
          <w:color w:val="auto"/>
          <w:sz w:val="24"/>
        </w:rPr>
        <w:t>动用工的合法权益，设立农民工工资专用账户，</w:t>
      </w:r>
      <w:r>
        <w:rPr>
          <w:rFonts w:ascii="宋体" w:hAnsi="宋体" w:cs="宋体"/>
          <w:color w:val="auto"/>
          <w:spacing w:val="-1"/>
          <w:sz w:val="24"/>
        </w:rPr>
        <w:t>及时足额支付农民工工资。</w:t>
      </w:r>
    </w:p>
    <w:p w14:paraId="78E74BC6">
      <w:pPr>
        <w:spacing w:before="112" w:line="264" w:lineRule="auto"/>
        <w:ind w:left="2" w:right="166" w:firstLine="472"/>
        <w:rPr>
          <w:rFonts w:ascii="宋体" w:hAnsi="宋体" w:cs="宋体"/>
          <w:color w:val="auto"/>
          <w:sz w:val="24"/>
        </w:rPr>
      </w:pPr>
      <w:r>
        <w:rPr>
          <w:rFonts w:eastAsia="Times New Roman"/>
          <w:color w:val="auto"/>
          <w:spacing w:val="4"/>
          <w:sz w:val="24"/>
        </w:rPr>
        <w:t xml:space="preserve">4.8.2  </w:t>
      </w:r>
      <w:r>
        <w:rPr>
          <w:rFonts w:ascii="宋体" w:hAnsi="宋体" w:cs="宋体"/>
          <w:color w:val="auto"/>
          <w:spacing w:val="4"/>
          <w:sz w:val="24"/>
        </w:rPr>
        <w:t>承包人与其劳动用工发生劳动纠纷的，由承包人自行解决，由</w:t>
      </w:r>
      <w:r>
        <w:rPr>
          <w:rFonts w:ascii="宋体" w:hAnsi="宋体" w:cs="宋体"/>
          <w:color w:val="auto"/>
          <w:spacing w:val="3"/>
          <w:sz w:val="24"/>
        </w:rPr>
        <w:t>此给发包</w:t>
      </w:r>
      <w:r>
        <w:rPr>
          <w:rFonts w:ascii="宋体" w:hAnsi="宋体" w:cs="宋体"/>
          <w:color w:val="auto"/>
          <w:spacing w:val="-1"/>
          <w:sz w:val="24"/>
        </w:rPr>
        <w:t>人造成损失的，承包人应予赔偿。</w:t>
      </w:r>
    </w:p>
    <w:p w14:paraId="377EDFC6">
      <w:pPr>
        <w:spacing w:before="116" w:line="219" w:lineRule="auto"/>
        <w:ind w:left="477"/>
        <w:rPr>
          <w:rFonts w:ascii="宋体" w:hAnsi="宋体" w:cs="宋体"/>
          <w:color w:val="auto"/>
          <w:sz w:val="24"/>
        </w:rPr>
      </w:pPr>
      <w:r>
        <w:rPr>
          <w:rFonts w:eastAsia="Times New Roman"/>
          <w:b/>
          <w:bCs/>
          <w:color w:val="auto"/>
          <w:spacing w:val="-2"/>
          <w:sz w:val="24"/>
        </w:rPr>
        <w:t xml:space="preserve">4.9  </w:t>
      </w:r>
      <w:r>
        <w:rPr>
          <w:rFonts w:ascii="宋体" w:hAnsi="宋体" w:cs="宋体"/>
          <w:b/>
          <w:bCs/>
          <w:color w:val="auto"/>
          <w:spacing w:val="-2"/>
          <w:sz w:val="24"/>
        </w:rPr>
        <w:t>保障承包人人员的合法权益</w:t>
      </w:r>
    </w:p>
    <w:p w14:paraId="350FA291">
      <w:pPr>
        <w:spacing w:before="114" w:line="219" w:lineRule="auto"/>
        <w:ind w:left="475"/>
        <w:rPr>
          <w:rFonts w:ascii="宋体" w:hAnsi="宋体" w:cs="宋体"/>
          <w:color w:val="auto"/>
          <w:sz w:val="24"/>
        </w:rPr>
      </w:pPr>
      <w:r>
        <w:rPr>
          <w:rFonts w:eastAsia="Times New Roman"/>
          <w:color w:val="auto"/>
          <w:sz w:val="24"/>
        </w:rPr>
        <w:t xml:space="preserve">4.9.1  </w:t>
      </w:r>
      <w:r>
        <w:rPr>
          <w:rFonts w:ascii="宋体" w:hAnsi="宋体" w:cs="宋体"/>
          <w:color w:val="auto"/>
          <w:sz w:val="24"/>
        </w:rPr>
        <w:t>承包人应与其雇佣的人员签订劳动合同，并按时</w:t>
      </w:r>
      <w:r>
        <w:rPr>
          <w:rFonts w:ascii="宋体" w:hAnsi="宋体" w:cs="宋体"/>
          <w:color w:val="auto"/>
          <w:spacing w:val="-1"/>
          <w:sz w:val="24"/>
        </w:rPr>
        <w:t>发放工资。</w:t>
      </w:r>
    </w:p>
    <w:p w14:paraId="31B4DF7D">
      <w:pPr>
        <w:spacing w:before="115" w:line="278" w:lineRule="auto"/>
        <w:ind w:right="164" w:firstLine="474"/>
        <w:rPr>
          <w:rFonts w:ascii="宋体" w:hAnsi="宋体" w:cs="宋体"/>
          <w:color w:val="auto"/>
          <w:sz w:val="24"/>
        </w:rPr>
      </w:pPr>
      <w:r>
        <w:rPr>
          <w:rFonts w:eastAsia="Times New Roman"/>
          <w:color w:val="auto"/>
          <w:spacing w:val="4"/>
          <w:sz w:val="24"/>
        </w:rPr>
        <w:t xml:space="preserve">4.9.2  </w:t>
      </w:r>
      <w:r>
        <w:rPr>
          <w:rFonts w:ascii="宋体" w:hAnsi="宋体" w:cs="宋体"/>
          <w:color w:val="auto"/>
          <w:spacing w:val="4"/>
          <w:sz w:val="24"/>
        </w:rPr>
        <w:t>承包人应按劳动法的规定安排工作时间，保证其雇佣人员享有</w:t>
      </w:r>
      <w:r>
        <w:rPr>
          <w:rFonts w:ascii="宋体" w:hAnsi="宋体" w:cs="宋体"/>
          <w:color w:val="auto"/>
          <w:spacing w:val="3"/>
          <w:sz w:val="24"/>
        </w:rPr>
        <w:t>休息和休</w:t>
      </w:r>
      <w:r>
        <w:rPr>
          <w:rFonts w:ascii="宋体" w:hAnsi="宋体" w:cs="宋体"/>
          <w:color w:val="auto"/>
          <w:spacing w:val="1"/>
          <w:sz w:val="24"/>
        </w:rPr>
        <w:t>假的权利。因养护作业的特殊需要占用休假日或延长工作</w:t>
      </w:r>
      <w:r>
        <w:rPr>
          <w:rFonts w:ascii="宋体" w:hAnsi="宋体" w:cs="宋体"/>
          <w:color w:val="auto"/>
          <w:sz w:val="24"/>
        </w:rPr>
        <w:t>时间的，应不超过法律规</w:t>
      </w:r>
      <w:r>
        <w:rPr>
          <w:rFonts w:ascii="宋体" w:hAnsi="宋体" w:cs="宋体"/>
          <w:color w:val="auto"/>
          <w:spacing w:val="-1"/>
          <w:sz w:val="24"/>
        </w:rPr>
        <w:t>定的限度，并按法律规定给予补休或报酬。</w:t>
      </w:r>
    </w:p>
    <w:p w14:paraId="6DB599B4">
      <w:pPr>
        <w:spacing w:before="117" w:line="264" w:lineRule="auto"/>
        <w:ind w:left="1" w:right="166" w:firstLine="473"/>
        <w:rPr>
          <w:rFonts w:ascii="宋体" w:hAnsi="宋体" w:cs="宋体"/>
          <w:color w:val="auto"/>
          <w:sz w:val="24"/>
        </w:rPr>
      </w:pPr>
      <w:r>
        <w:rPr>
          <w:rFonts w:eastAsia="Times New Roman"/>
          <w:color w:val="auto"/>
          <w:spacing w:val="4"/>
          <w:sz w:val="24"/>
        </w:rPr>
        <w:t xml:space="preserve">4.9.3  </w:t>
      </w:r>
      <w:r>
        <w:rPr>
          <w:rFonts w:ascii="宋体" w:hAnsi="宋体" w:cs="宋体"/>
          <w:color w:val="auto"/>
          <w:spacing w:val="4"/>
          <w:sz w:val="24"/>
        </w:rPr>
        <w:t>承包人应为其雇佣人员提供必要的食宿条件，以及符合环境保</w:t>
      </w:r>
      <w:r>
        <w:rPr>
          <w:rFonts w:ascii="宋体" w:hAnsi="宋体" w:cs="宋体"/>
          <w:color w:val="auto"/>
          <w:spacing w:val="3"/>
          <w:sz w:val="24"/>
        </w:rPr>
        <w:t>护和卫生</w:t>
      </w:r>
      <w:r>
        <w:rPr>
          <w:rFonts w:ascii="宋体" w:hAnsi="宋体" w:cs="宋体"/>
          <w:color w:val="auto"/>
          <w:spacing w:val="-1"/>
          <w:sz w:val="24"/>
        </w:rPr>
        <w:t>要求的生活环境和工作环境。</w:t>
      </w:r>
    </w:p>
    <w:p w14:paraId="6DB4B79B">
      <w:pPr>
        <w:spacing w:before="113" w:line="278" w:lineRule="auto"/>
        <w:ind w:right="164" w:firstLine="475"/>
        <w:rPr>
          <w:rFonts w:ascii="宋体" w:hAnsi="宋体" w:cs="宋体"/>
          <w:color w:val="auto"/>
          <w:sz w:val="24"/>
        </w:rPr>
      </w:pPr>
      <w:r>
        <w:rPr>
          <w:rFonts w:eastAsia="Times New Roman"/>
          <w:color w:val="auto"/>
          <w:spacing w:val="4"/>
          <w:sz w:val="24"/>
        </w:rPr>
        <w:t xml:space="preserve">4.9.4  </w:t>
      </w:r>
      <w:r>
        <w:rPr>
          <w:rFonts w:ascii="宋体" w:hAnsi="宋体" w:cs="宋体"/>
          <w:color w:val="auto"/>
          <w:spacing w:val="4"/>
          <w:sz w:val="24"/>
        </w:rPr>
        <w:t>承包人应按国家有关劳动保护的规定，采取有效防止粉尘、降低噪声、</w:t>
      </w:r>
      <w:r>
        <w:rPr>
          <w:rFonts w:ascii="宋体" w:hAnsi="宋体" w:cs="宋体"/>
          <w:color w:val="auto"/>
          <w:spacing w:val="1"/>
          <w:sz w:val="24"/>
        </w:rPr>
        <w:t>控制有害气体和保障高温、高寒、高空作业安全等劳动保护</w:t>
      </w:r>
      <w:r>
        <w:rPr>
          <w:rFonts w:ascii="宋体" w:hAnsi="宋体" w:cs="宋体"/>
          <w:color w:val="auto"/>
          <w:sz w:val="24"/>
        </w:rPr>
        <w:t>措施。其雇佣人员在养护作业过程中受到伤害的，承包人应立即采取有效</w:t>
      </w:r>
      <w:r>
        <w:rPr>
          <w:rFonts w:ascii="宋体" w:hAnsi="宋体" w:cs="宋体"/>
          <w:color w:val="auto"/>
          <w:spacing w:val="-1"/>
          <w:sz w:val="24"/>
        </w:rPr>
        <w:t>措施进行抢救和治疗。</w:t>
      </w:r>
    </w:p>
    <w:p w14:paraId="49CC4C30">
      <w:pPr>
        <w:spacing w:before="115" w:line="219" w:lineRule="auto"/>
        <w:ind w:left="475"/>
        <w:rPr>
          <w:rFonts w:ascii="宋体" w:hAnsi="宋体" w:cs="宋体"/>
          <w:color w:val="auto"/>
          <w:sz w:val="24"/>
        </w:rPr>
      </w:pPr>
      <w:r>
        <w:rPr>
          <w:rFonts w:eastAsia="Times New Roman"/>
          <w:color w:val="auto"/>
          <w:sz w:val="24"/>
        </w:rPr>
        <w:t xml:space="preserve">4.9.5  </w:t>
      </w:r>
      <w:r>
        <w:rPr>
          <w:rFonts w:ascii="宋体" w:hAnsi="宋体" w:cs="宋体"/>
          <w:color w:val="auto"/>
          <w:sz w:val="24"/>
        </w:rPr>
        <w:t>承包人应按有关法律规定和合同约定，为其雇佣人员</w:t>
      </w:r>
      <w:r>
        <w:rPr>
          <w:rFonts w:ascii="宋体" w:hAnsi="宋体" w:cs="宋体"/>
          <w:color w:val="auto"/>
          <w:spacing w:val="-1"/>
          <w:sz w:val="24"/>
        </w:rPr>
        <w:t>办理保险。</w:t>
      </w:r>
    </w:p>
    <w:p w14:paraId="13B61235">
      <w:pPr>
        <w:spacing w:before="116" w:line="219" w:lineRule="auto"/>
        <w:ind w:left="475"/>
        <w:rPr>
          <w:rFonts w:ascii="宋体" w:hAnsi="宋体" w:cs="宋体"/>
          <w:color w:val="auto"/>
          <w:sz w:val="24"/>
        </w:rPr>
      </w:pPr>
      <w:r>
        <w:rPr>
          <w:rFonts w:eastAsia="Times New Roman"/>
          <w:color w:val="auto"/>
          <w:sz w:val="24"/>
        </w:rPr>
        <w:t xml:space="preserve">4.9.6  </w:t>
      </w:r>
      <w:r>
        <w:rPr>
          <w:rFonts w:ascii="宋体" w:hAnsi="宋体" w:cs="宋体"/>
          <w:color w:val="auto"/>
          <w:sz w:val="24"/>
        </w:rPr>
        <w:t>承包人应负责处理其雇佣人员因工伤亡事故的</w:t>
      </w:r>
      <w:r>
        <w:rPr>
          <w:rFonts w:ascii="宋体" w:hAnsi="宋体" w:cs="宋体"/>
          <w:color w:val="auto"/>
          <w:spacing w:val="-1"/>
          <w:sz w:val="24"/>
        </w:rPr>
        <w:t>善后事宜。</w:t>
      </w:r>
    </w:p>
    <w:p w14:paraId="511B655B">
      <w:pPr>
        <w:spacing w:before="106" w:line="219" w:lineRule="auto"/>
        <w:ind w:left="477"/>
        <w:outlineLvl w:val="3"/>
        <w:rPr>
          <w:rFonts w:ascii="宋体" w:hAnsi="宋体" w:cs="宋体"/>
          <w:color w:val="auto"/>
          <w:sz w:val="24"/>
        </w:rPr>
      </w:pPr>
      <w:r>
        <w:rPr>
          <w:rFonts w:eastAsia="Times New Roman"/>
          <w:b/>
          <w:bCs/>
          <w:color w:val="auto"/>
          <w:spacing w:val="-2"/>
          <w:sz w:val="24"/>
        </w:rPr>
        <w:t xml:space="preserve">4.10  </w:t>
      </w:r>
      <w:r>
        <w:rPr>
          <w:rFonts w:ascii="宋体" w:hAnsi="宋体" w:cs="宋体"/>
          <w:b/>
          <w:bCs/>
          <w:color w:val="auto"/>
          <w:spacing w:val="-2"/>
          <w:sz w:val="24"/>
        </w:rPr>
        <w:t>传染病防控</w:t>
      </w:r>
    </w:p>
    <w:p w14:paraId="25A43074">
      <w:pPr>
        <w:spacing w:before="127" w:line="306" w:lineRule="auto"/>
        <w:ind w:right="164" w:firstLine="480"/>
        <w:rPr>
          <w:rFonts w:ascii="宋体" w:hAnsi="宋体" w:cs="宋体"/>
          <w:color w:val="auto"/>
          <w:sz w:val="24"/>
        </w:rPr>
      </w:pPr>
      <w:r>
        <w:rPr>
          <w:rFonts w:ascii="宋体" w:hAnsi="宋体" w:cs="宋体"/>
          <w:color w:val="auto"/>
          <w:spacing w:val="1"/>
          <w:sz w:val="24"/>
        </w:rPr>
        <w:t>承包人在组织人员进驻养护作业场地时，应切实采取预防</w:t>
      </w:r>
      <w:r>
        <w:rPr>
          <w:rFonts w:ascii="宋体" w:hAnsi="宋体" w:cs="宋体"/>
          <w:color w:val="auto"/>
          <w:sz w:val="24"/>
        </w:rPr>
        <w:t>传染病的有效措施，</w:t>
      </w:r>
      <w:r>
        <w:rPr>
          <w:rFonts w:ascii="宋体" w:hAnsi="宋体" w:cs="宋体"/>
          <w:color w:val="auto"/>
          <w:spacing w:val="1"/>
          <w:sz w:val="24"/>
        </w:rPr>
        <w:t>配备必要的医药用品、消毒、测温、通风等设施、设备，</w:t>
      </w:r>
      <w:r>
        <w:rPr>
          <w:rFonts w:ascii="宋体" w:hAnsi="宋体" w:cs="宋体"/>
          <w:color w:val="auto"/>
          <w:sz w:val="24"/>
        </w:rPr>
        <w:t>加强传染病防控工作。除</w:t>
      </w:r>
      <w:r>
        <w:rPr>
          <w:rFonts w:ascii="宋体" w:hAnsi="宋体" w:cs="宋体"/>
          <w:color w:val="auto"/>
          <w:spacing w:val="1"/>
          <w:sz w:val="24"/>
        </w:rPr>
        <w:t>专用合同条款另有约定外，一旦暴发任何传染病，承包人</w:t>
      </w:r>
      <w:r>
        <w:rPr>
          <w:rFonts w:ascii="宋体" w:hAnsi="宋体" w:cs="宋体"/>
          <w:color w:val="auto"/>
          <w:sz w:val="24"/>
        </w:rPr>
        <w:t>应遵守并执行当地政府或</w:t>
      </w:r>
      <w:r>
        <w:rPr>
          <w:rFonts w:ascii="宋体" w:hAnsi="宋体" w:cs="宋体"/>
          <w:color w:val="auto"/>
          <w:spacing w:val="1"/>
          <w:sz w:val="24"/>
        </w:rPr>
        <w:t>卫生防疫部门为防治和消灭上述传染病蔓延而制定的指令</w:t>
      </w:r>
      <w:r>
        <w:rPr>
          <w:rFonts w:ascii="宋体" w:hAnsi="宋体" w:cs="宋体"/>
          <w:color w:val="auto"/>
          <w:sz w:val="24"/>
        </w:rPr>
        <w:t>和要求，由此导致的费用增加和（或）工期延误由发包人承担，但由于承包</w:t>
      </w:r>
      <w:r>
        <w:rPr>
          <w:rFonts w:ascii="宋体" w:hAnsi="宋体" w:cs="宋体"/>
          <w:color w:val="auto"/>
          <w:spacing w:val="-1"/>
          <w:sz w:val="24"/>
        </w:rPr>
        <w:t>人自身原因导致的除外。</w:t>
      </w:r>
    </w:p>
    <w:p w14:paraId="05920443">
      <w:pPr>
        <w:spacing w:before="1" w:line="217" w:lineRule="auto"/>
        <w:ind w:left="477"/>
        <w:outlineLvl w:val="3"/>
        <w:rPr>
          <w:rFonts w:ascii="宋体" w:hAnsi="宋体" w:cs="宋体"/>
          <w:color w:val="auto"/>
          <w:sz w:val="24"/>
        </w:rPr>
      </w:pPr>
      <w:r>
        <w:rPr>
          <w:rFonts w:eastAsia="Times New Roman"/>
          <w:b/>
          <w:bCs/>
          <w:color w:val="auto"/>
          <w:spacing w:val="-2"/>
          <w:sz w:val="24"/>
        </w:rPr>
        <w:t xml:space="preserve">4.11  </w:t>
      </w:r>
      <w:r>
        <w:rPr>
          <w:rFonts w:ascii="宋体" w:hAnsi="宋体" w:cs="宋体"/>
          <w:b/>
          <w:bCs/>
          <w:color w:val="auto"/>
          <w:spacing w:val="-2"/>
          <w:sz w:val="24"/>
        </w:rPr>
        <w:t>合同价款应专款专用</w:t>
      </w:r>
    </w:p>
    <w:p w14:paraId="3C1AEBFE">
      <w:pPr>
        <w:spacing w:before="124" w:line="218" w:lineRule="auto"/>
        <w:ind w:left="484"/>
        <w:rPr>
          <w:rFonts w:ascii="宋体" w:hAnsi="宋体" w:cs="宋体"/>
          <w:color w:val="auto"/>
          <w:sz w:val="24"/>
        </w:rPr>
      </w:pPr>
      <w:r>
        <w:rPr>
          <w:rFonts w:ascii="宋体" w:hAnsi="宋体" w:cs="宋体"/>
          <w:color w:val="auto"/>
          <w:spacing w:val="-1"/>
          <w:sz w:val="24"/>
        </w:rPr>
        <w:t>发包人按合同约定支付给承包人的各项价款应专用于养护项目。</w:t>
      </w:r>
    </w:p>
    <w:p w14:paraId="65306198">
      <w:pPr>
        <w:spacing w:before="109" w:line="219" w:lineRule="auto"/>
        <w:ind w:left="477"/>
        <w:outlineLvl w:val="3"/>
        <w:rPr>
          <w:rFonts w:ascii="宋体" w:hAnsi="宋体" w:cs="宋体"/>
          <w:color w:val="auto"/>
          <w:sz w:val="24"/>
        </w:rPr>
      </w:pPr>
      <w:r>
        <w:rPr>
          <w:rFonts w:eastAsia="Times New Roman"/>
          <w:b/>
          <w:bCs/>
          <w:color w:val="auto"/>
          <w:spacing w:val="-2"/>
          <w:sz w:val="24"/>
        </w:rPr>
        <w:t xml:space="preserve">4.12  </w:t>
      </w:r>
      <w:r>
        <w:rPr>
          <w:rFonts w:ascii="宋体" w:hAnsi="宋体" w:cs="宋体"/>
          <w:b/>
          <w:bCs/>
          <w:color w:val="auto"/>
          <w:spacing w:val="-2"/>
          <w:sz w:val="24"/>
        </w:rPr>
        <w:t>承包人现场查勘</w:t>
      </w:r>
    </w:p>
    <w:p w14:paraId="68BE7919">
      <w:pPr>
        <w:spacing w:before="123" w:line="278" w:lineRule="auto"/>
        <w:ind w:left="3" w:firstLine="471"/>
        <w:rPr>
          <w:rFonts w:ascii="宋体" w:hAnsi="宋体" w:cs="宋体"/>
          <w:color w:val="auto"/>
          <w:sz w:val="24"/>
        </w:rPr>
      </w:pPr>
      <w:r>
        <w:rPr>
          <w:rFonts w:eastAsia="Times New Roman"/>
          <w:color w:val="auto"/>
          <w:spacing w:val="-1"/>
          <w:sz w:val="24"/>
        </w:rPr>
        <w:t xml:space="preserve">4.12.1  </w:t>
      </w:r>
      <w:r>
        <w:rPr>
          <w:rFonts w:ascii="宋体" w:hAnsi="宋体" w:cs="宋体"/>
          <w:color w:val="auto"/>
          <w:spacing w:val="-1"/>
          <w:sz w:val="24"/>
        </w:rPr>
        <w:t>承包人应对养护作业场地和周围环境进行查勘，并收集有关项</w:t>
      </w:r>
      <w:r>
        <w:rPr>
          <w:rFonts w:ascii="宋体" w:hAnsi="宋体" w:cs="宋体"/>
          <w:color w:val="auto"/>
          <w:spacing w:val="-2"/>
          <w:sz w:val="24"/>
        </w:rPr>
        <w:t>目、地质、</w:t>
      </w:r>
      <w:r>
        <w:rPr>
          <w:rFonts w:ascii="宋体" w:hAnsi="宋体" w:cs="宋体"/>
          <w:color w:val="auto"/>
          <w:spacing w:val="1"/>
          <w:sz w:val="24"/>
        </w:rPr>
        <w:t>水文、气象条件、交通条件、风俗习惯以及其他为</w:t>
      </w:r>
      <w:r>
        <w:rPr>
          <w:rFonts w:ascii="宋体" w:hAnsi="宋体" w:cs="宋体"/>
          <w:color w:val="auto"/>
          <w:sz w:val="24"/>
        </w:rPr>
        <w:t>完成合同工作有关的资料。在全</w:t>
      </w:r>
      <w:r>
        <w:rPr>
          <w:rFonts w:ascii="宋体" w:hAnsi="宋体" w:cs="宋体"/>
          <w:color w:val="auto"/>
          <w:spacing w:val="-1"/>
          <w:sz w:val="24"/>
        </w:rPr>
        <w:t>部合同工作中，应视为承包人已充分估计了应承担的责任和风险。</w:t>
      </w:r>
    </w:p>
    <w:p w14:paraId="12C5F79E">
      <w:pPr>
        <w:spacing w:before="117" w:line="263" w:lineRule="auto"/>
        <w:ind w:left="1" w:right="166" w:firstLine="473"/>
        <w:rPr>
          <w:rFonts w:ascii="宋体" w:hAnsi="宋体" w:cs="宋体"/>
          <w:color w:val="auto"/>
          <w:sz w:val="24"/>
        </w:rPr>
      </w:pPr>
      <w:r>
        <w:rPr>
          <w:rFonts w:eastAsia="Times New Roman"/>
          <w:color w:val="auto"/>
          <w:spacing w:val="1"/>
          <w:sz w:val="24"/>
        </w:rPr>
        <w:t xml:space="preserve">4.12.2  </w:t>
      </w:r>
      <w:r>
        <w:rPr>
          <w:rFonts w:ascii="宋体" w:hAnsi="宋体" w:cs="宋体"/>
          <w:color w:val="auto"/>
          <w:spacing w:val="1"/>
          <w:sz w:val="24"/>
        </w:rPr>
        <w:t>发包人可以按照专用合同条款的约定向承包人</w:t>
      </w:r>
      <w:r>
        <w:rPr>
          <w:rFonts w:ascii="宋体" w:hAnsi="宋体" w:cs="宋体"/>
          <w:color w:val="auto"/>
          <w:sz w:val="24"/>
        </w:rPr>
        <w:t>提供养护项目的相关图纸</w:t>
      </w:r>
      <w:r>
        <w:rPr>
          <w:rFonts w:ascii="宋体" w:hAnsi="宋体" w:cs="宋体"/>
          <w:color w:val="auto"/>
          <w:spacing w:val="-1"/>
          <w:sz w:val="24"/>
        </w:rPr>
        <w:t>和资料，便于承包人充分了解养护项目实际情况。</w:t>
      </w:r>
    </w:p>
    <w:p w14:paraId="68965212">
      <w:pPr>
        <w:spacing w:before="271" w:line="219" w:lineRule="auto"/>
        <w:ind w:left="477"/>
        <w:outlineLvl w:val="3"/>
        <w:rPr>
          <w:rFonts w:ascii="宋体" w:hAnsi="宋体" w:cs="宋体"/>
          <w:color w:val="auto"/>
          <w:sz w:val="24"/>
        </w:rPr>
      </w:pPr>
      <w:bookmarkStart w:id="127" w:name="bookmark215"/>
      <w:bookmarkEnd w:id="127"/>
      <w:r>
        <w:rPr>
          <w:rFonts w:eastAsia="Times New Roman"/>
          <w:b/>
          <w:bCs/>
          <w:color w:val="auto"/>
          <w:spacing w:val="-2"/>
          <w:sz w:val="24"/>
        </w:rPr>
        <w:t xml:space="preserve">4.13  </w:t>
      </w:r>
      <w:r>
        <w:rPr>
          <w:rFonts w:ascii="宋体" w:hAnsi="宋体" w:cs="宋体"/>
          <w:b/>
          <w:bCs/>
          <w:color w:val="auto"/>
          <w:spacing w:val="-2"/>
          <w:sz w:val="24"/>
        </w:rPr>
        <w:t>不利物质条件</w:t>
      </w:r>
    </w:p>
    <w:p w14:paraId="6D5AE735">
      <w:pPr>
        <w:spacing w:before="125" w:line="278" w:lineRule="auto"/>
        <w:ind w:right="183" w:firstLine="474"/>
        <w:rPr>
          <w:rFonts w:ascii="宋体" w:hAnsi="宋体" w:cs="宋体"/>
          <w:color w:val="auto"/>
          <w:sz w:val="24"/>
        </w:rPr>
      </w:pPr>
      <w:r>
        <w:rPr>
          <w:rFonts w:eastAsia="Times New Roman"/>
          <w:color w:val="auto"/>
          <w:spacing w:val="2"/>
          <w:sz w:val="24"/>
        </w:rPr>
        <w:t xml:space="preserve">4.13.1 </w:t>
      </w:r>
      <w:r>
        <w:rPr>
          <w:rFonts w:ascii="宋体" w:hAnsi="宋体" w:cs="宋体"/>
          <w:color w:val="auto"/>
          <w:spacing w:val="2"/>
          <w:sz w:val="24"/>
        </w:rPr>
        <w:t>不利物质条件，除专用合同条款另有约定外，是指承包人在养护作业场</w:t>
      </w:r>
      <w:r>
        <w:rPr>
          <w:rFonts w:ascii="宋体" w:hAnsi="宋体" w:cs="宋体"/>
          <w:color w:val="auto"/>
          <w:spacing w:val="1"/>
          <w:sz w:val="24"/>
        </w:rPr>
        <w:t>地遇到的不可预见的自然物质条件、非自然的物质障碍和</w:t>
      </w:r>
      <w:r>
        <w:rPr>
          <w:rFonts w:ascii="宋体" w:hAnsi="宋体" w:cs="宋体"/>
          <w:color w:val="auto"/>
          <w:sz w:val="24"/>
        </w:rPr>
        <w:t>污染物，包括地下和水文</w:t>
      </w:r>
      <w:r>
        <w:rPr>
          <w:rFonts w:ascii="宋体" w:hAnsi="宋体" w:cs="宋体"/>
          <w:color w:val="auto"/>
          <w:spacing w:val="-1"/>
          <w:sz w:val="24"/>
        </w:rPr>
        <w:t>条件，但不包括气候条件。</w:t>
      </w:r>
    </w:p>
    <w:p w14:paraId="7BF8DEF8">
      <w:pPr>
        <w:spacing w:before="113" w:line="286" w:lineRule="auto"/>
        <w:ind w:left="1" w:firstLine="473"/>
        <w:rPr>
          <w:color w:val="auto"/>
        </w:rPr>
      </w:pPr>
      <w:r>
        <w:rPr>
          <w:rFonts w:eastAsia="Times New Roman"/>
          <w:color w:val="auto"/>
          <w:spacing w:val="2"/>
          <w:sz w:val="24"/>
        </w:rPr>
        <w:t xml:space="preserve">4.13.2 </w:t>
      </w:r>
      <w:r>
        <w:rPr>
          <w:rFonts w:ascii="宋体" w:hAnsi="宋体" w:cs="宋体"/>
          <w:color w:val="auto"/>
          <w:spacing w:val="2"/>
          <w:sz w:val="24"/>
        </w:rPr>
        <w:t>承包人遇到不利物质条件时，应采取适应不利物质条件的合理措施继续</w:t>
      </w:r>
      <w:r>
        <w:rPr>
          <w:rFonts w:ascii="宋体" w:hAnsi="宋体" w:cs="宋体"/>
          <w:color w:val="auto"/>
          <w:spacing w:val="5"/>
          <w:sz w:val="24"/>
        </w:rPr>
        <w:t>作业，并及时通知咨询人。咨询人应当及时发出指示，指</w:t>
      </w:r>
      <w:r>
        <w:rPr>
          <w:rFonts w:ascii="宋体" w:hAnsi="宋体" w:cs="宋体"/>
          <w:color w:val="auto"/>
          <w:spacing w:val="4"/>
          <w:sz w:val="24"/>
        </w:rPr>
        <w:t>示构成变更的，按第</w:t>
      </w:r>
      <w:r>
        <w:rPr>
          <w:rFonts w:eastAsia="Times New Roman"/>
          <w:color w:val="auto"/>
          <w:spacing w:val="4"/>
          <w:sz w:val="24"/>
        </w:rPr>
        <w:t>15</w:t>
      </w:r>
      <w:r>
        <w:rPr>
          <w:rFonts w:ascii="宋体" w:hAnsi="宋体" w:cs="宋体"/>
          <w:color w:val="auto"/>
          <w:spacing w:val="-1"/>
          <w:sz w:val="24"/>
        </w:rPr>
        <w:t>条约定办理。咨询人没有发出指示的，承包人因采取合理措施而增加的费用和（或）工期延误，由发包人承担。</w:t>
      </w:r>
    </w:p>
    <w:p w14:paraId="55DCEF86">
      <w:pPr>
        <w:spacing w:before="78" w:line="219" w:lineRule="auto"/>
        <w:ind w:left="479"/>
        <w:outlineLvl w:val="2"/>
        <w:rPr>
          <w:rFonts w:ascii="宋体" w:hAnsi="宋体" w:cs="宋体"/>
          <w:color w:val="auto"/>
          <w:sz w:val="24"/>
        </w:rPr>
      </w:pPr>
      <w:bookmarkStart w:id="128" w:name="bookmark15"/>
      <w:bookmarkEnd w:id="128"/>
      <w:bookmarkStart w:id="129" w:name="bookmark16"/>
      <w:bookmarkEnd w:id="129"/>
      <w:r>
        <w:rPr>
          <w:rFonts w:eastAsia="Times New Roman"/>
          <w:b/>
          <w:bCs/>
          <w:color w:val="auto"/>
          <w:spacing w:val="-2"/>
          <w:sz w:val="24"/>
        </w:rPr>
        <w:t xml:space="preserve">5.  </w:t>
      </w:r>
      <w:r>
        <w:rPr>
          <w:rFonts w:ascii="宋体" w:hAnsi="宋体" w:cs="宋体"/>
          <w:b/>
          <w:bCs/>
          <w:color w:val="auto"/>
          <w:spacing w:val="-2"/>
          <w:sz w:val="24"/>
        </w:rPr>
        <w:t>材料和工程设备</w:t>
      </w:r>
    </w:p>
    <w:p w14:paraId="394495D6">
      <w:pPr>
        <w:spacing w:before="260" w:line="219" w:lineRule="auto"/>
        <w:ind w:left="479"/>
        <w:outlineLvl w:val="3"/>
        <w:rPr>
          <w:rFonts w:ascii="宋体" w:hAnsi="宋体" w:cs="宋体"/>
          <w:color w:val="auto"/>
          <w:sz w:val="24"/>
        </w:rPr>
      </w:pPr>
      <w:r>
        <w:rPr>
          <w:rFonts w:eastAsia="Times New Roman"/>
          <w:b/>
          <w:bCs/>
          <w:color w:val="auto"/>
          <w:spacing w:val="-2"/>
          <w:sz w:val="24"/>
        </w:rPr>
        <w:t xml:space="preserve">5.1  </w:t>
      </w:r>
      <w:r>
        <w:rPr>
          <w:rFonts w:ascii="宋体" w:hAnsi="宋体" w:cs="宋体"/>
          <w:b/>
          <w:bCs/>
          <w:color w:val="auto"/>
          <w:spacing w:val="-2"/>
          <w:sz w:val="24"/>
        </w:rPr>
        <w:t>承包人提供的材料和工程设备</w:t>
      </w:r>
    </w:p>
    <w:p w14:paraId="2F6BDA8F">
      <w:pPr>
        <w:spacing w:before="128" w:line="263" w:lineRule="auto"/>
        <w:ind w:left="10" w:right="185" w:firstLine="472"/>
        <w:rPr>
          <w:rFonts w:ascii="宋体" w:hAnsi="宋体" w:cs="宋体"/>
          <w:color w:val="auto"/>
          <w:sz w:val="24"/>
        </w:rPr>
      </w:pPr>
      <w:r>
        <w:rPr>
          <w:rFonts w:eastAsia="Times New Roman"/>
          <w:color w:val="auto"/>
          <w:spacing w:val="4"/>
          <w:sz w:val="24"/>
        </w:rPr>
        <w:t xml:space="preserve">5.1.1  </w:t>
      </w:r>
      <w:r>
        <w:rPr>
          <w:rFonts w:ascii="宋体" w:hAnsi="宋体" w:cs="宋体"/>
          <w:color w:val="auto"/>
          <w:spacing w:val="4"/>
          <w:sz w:val="24"/>
        </w:rPr>
        <w:t>除专用合同条款另有约定外，承包人提供的</w:t>
      </w:r>
      <w:r>
        <w:rPr>
          <w:rFonts w:ascii="宋体" w:hAnsi="宋体" w:cs="宋体"/>
          <w:color w:val="auto"/>
          <w:spacing w:val="3"/>
          <w:sz w:val="24"/>
        </w:rPr>
        <w:t>材料和工程设备均由承包人</w:t>
      </w:r>
      <w:r>
        <w:rPr>
          <w:rFonts w:ascii="宋体" w:hAnsi="宋体" w:cs="宋体"/>
          <w:color w:val="auto"/>
          <w:spacing w:val="-1"/>
          <w:sz w:val="24"/>
        </w:rPr>
        <w:t>负责采购、运输和保管。承包人应对其采购的材料和工程设备负责。</w:t>
      </w:r>
    </w:p>
    <w:p w14:paraId="45151FD5">
      <w:pPr>
        <w:spacing w:before="115" w:line="278" w:lineRule="auto"/>
        <w:ind w:right="183" w:firstLine="482"/>
        <w:rPr>
          <w:rFonts w:ascii="宋体" w:hAnsi="宋体" w:cs="宋体"/>
          <w:color w:val="auto"/>
          <w:sz w:val="24"/>
        </w:rPr>
      </w:pPr>
      <w:r>
        <w:rPr>
          <w:rFonts w:eastAsia="Times New Roman"/>
          <w:color w:val="auto"/>
          <w:spacing w:val="4"/>
          <w:sz w:val="24"/>
        </w:rPr>
        <w:t xml:space="preserve">5.1.2  </w:t>
      </w:r>
      <w:r>
        <w:rPr>
          <w:rFonts w:ascii="宋体" w:hAnsi="宋体" w:cs="宋体"/>
          <w:color w:val="auto"/>
          <w:spacing w:val="4"/>
          <w:sz w:val="24"/>
        </w:rPr>
        <w:t>承包人应按专用合同条款的约定，将各项材</w:t>
      </w:r>
      <w:r>
        <w:rPr>
          <w:rFonts w:ascii="宋体" w:hAnsi="宋体" w:cs="宋体"/>
          <w:color w:val="auto"/>
          <w:spacing w:val="3"/>
          <w:sz w:val="24"/>
        </w:rPr>
        <w:t>料和工程设备的供货人及品</w:t>
      </w:r>
      <w:r>
        <w:rPr>
          <w:rFonts w:ascii="宋体" w:hAnsi="宋体" w:cs="宋体"/>
          <w:color w:val="auto"/>
          <w:spacing w:val="1"/>
          <w:sz w:val="24"/>
        </w:rPr>
        <w:t>种、规格、数量和供货时间等报送咨询人审批。承包人应</w:t>
      </w:r>
      <w:r>
        <w:rPr>
          <w:rFonts w:ascii="宋体" w:hAnsi="宋体" w:cs="宋体"/>
          <w:color w:val="auto"/>
          <w:sz w:val="24"/>
        </w:rPr>
        <w:t>向咨询人提交其负责提供</w:t>
      </w:r>
      <w:r>
        <w:rPr>
          <w:rFonts w:ascii="宋体" w:hAnsi="宋体" w:cs="宋体"/>
          <w:color w:val="auto"/>
          <w:spacing w:val="-1"/>
          <w:sz w:val="24"/>
        </w:rPr>
        <w:t>的材料和工程设备的质量证明文件，并满足合同约定的质量标准。</w:t>
      </w:r>
    </w:p>
    <w:p w14:paraId="35444BFD">
      <w:pPr>
        <w:spacing w:before="112" w:line="286" w:lineRule="auto"/>
        <w:ind w:right="183" w:firstLine="483"/>
        <w:rPr>
          <w:rFonts w:ascii="宋体" w:hAnsi="宋体" w:cs="宋体"/>
          <w:color w:val="auto"/>
          <w:sz w:val="24"/>
        </w:rPr>
      </w:pPr>
      <w:r>
        <w:rPr>
          <w:rFonts w:eastAsia="Times New Roman"/>
          <w:color w:val="auto"/>
          <w:spacing w:val="5"/>
          <w:sz w:val="24"/>
        </w:rPr>
        <w:t xml:space="preserve">5.1.3 </w:t>
      </w:r>
      <w:r>
        <w:rPr>
          <w:rFonts w:ascii="宋体" w:hAnsi="宋体" w:cs="宋体"/>
          <w:color w:val="auto"/>
          <w:spacing w:val="5"/>
          <w:sz w:val="24"/>
        </w:rPr>
        <w:t>对承包人提供的材料和工程设备，承包人应会同咨询人进行检验和交货</w:t>
      </w:r>
      <w:r>
        <w:rPr>
          <w:rFonts w:ascii="宋体" w:hAnsi="宋体" w:cs="宋体"/>
          <w:color w:val="auto"/>
          <w:spacing w:val="1"/>
          <w:sz w:val="24"/>
        </w:rPr>
        <w:t>验收，查验材料合格证明和产品合格证书，并按合同约定和</w:t>
      </w:r>
      <w:r>
        <w:rPr>
          <w:rFonts w:ascii="宋体" w:hAnsi="宋体" w:cs="宋体"/>
          <w:color w:val="auto"/>
          <w:sz w:val="24"/>
        </w:rPr>
        <w:t>咨询人指示，进行材料</w:t>
      </w:r>
      <w:r>
        <w:rPr>
          <w:rFonts w:ascii="宋体" w:hAnsi="宋体" w:cs="宋体"/>
          <w:color w:val="auto"/>
          <w:spacing w:val="1"/>
          <w:sz w:val="24"/>
        </w:rPr>
        <w:t>的抽样检验和工程设备的检验测试，检验和测试结果应提交</w:t>
      </w:r>
      <w:r>
        <w:rPr>
          <w:rFonts w:ascii="宋体" w:hAnsi="宋体" w:cs="宋体"/>
          <w:color w:val="auto"/>
          <w:sz w:val="24"/>
        </w:rPr>
        <w:t>咨询人，所需费用由承</w:t>
      </w:r>
      <w:r>
        <w:rPr>
          <w:rFonts w:ascii="宋体" w:hAnsi="宋体" w:cs="宋体"/>
          <w:color w:val="auto"/>
          <w:spacing w:val="-2"/>
          <w:sz w:val="24"/>
        </w:rPr>
        <w:t>包人承担。</w:t>
      </w:r>
    </w:p>
    <w:p w14:paraId="0EE2FD09">
      <w:pPr>
        <w:spacing w:before="106" w:line="219" w:lineRule="auto"/>
        <w:ind w:left="479"/>
        <w:outlineLvl w:val="3"/>
        <w:rPr>
          <w:rFonts w:ascii="宋体" w:hAnsi="宋体" w:cs="宋体"/>
          <w:color w:val="auto"/>
          <w:sz w:val="24"/>
        </w:rPr>
      </w:pPr>
      <w:r>
        <w:rPr>
          <w:rFonts w:eastAsia="Times New Roman"/>
          <w:b/>
          <w:bCs/>
          <w:color w:val="auto"/>
          <w:spacing w:val="-2"/>
          <w:sz w:val="24"/>
        </w:rPr>
        <w:t xml:space="preserve">5.2  </w:t>
      </w:r>
      <w:r>
        <w:rPr>
          <w:rFonts w:ascii="宋体" w:hAnsi="宋体" w:cs="宋体"/>
          <w:b/>
          <w:bCs/>
          <w:color w:val="auto"/>
          <w:spacing w:val="-2"/>
          <w:sz w:val="24"/>
        </w:rPr>
        <w:t>发包人提供的材料和工程设备</w:t>
      </w:r>
    </w:p>
    <w:p w14:paraId="721E490C">
      <w:pPr>
        <w:spacing w:before="125" w:line="304" w:lineRule="auto"/>
        <w:ind w:right="185" w:firstLine="484"/>
        <w:rPr>
          <w:rFonts w:ascii="宋体" w:hAnsi="宋体" w:cs="宋体"/>
          <w:color w:val="auto"/>
          <w:sz w:val="24"/>
        </w:rPr>
      </w:pPr>
      <w:r>
        <w:rPr>
          <w:rFonts w:ascii="宋体" w:hAnsi="宋体" w:cs="宋体"/>
          <w:color w:val="auto"/>
          <w:spacing w:val="1"/>
          <w:sz w:val="24"/>
        </w:rPr>
        <w:t>发包人提供材料和工程设备的，应在专用合</w:t>
      </w:r>
      <w:r>
        <w:rPr>
          <w:rFonts w:ascii="宋体" w:hAnsi="宋体" w:cs="宋体"/>
          <w:color w:val="auto"/>
          <w:sz w:val="24"/>
        </w:rPr>
        <w:t>同条款中写明材料和工程设备的名称、规格、数量、价格、交货方式、交货地</w:t>
      </w:r>
      <w:r>
        <w:rPr>
          <w:rFonts w:ascii="宋体" w:hAnsi="宋体" w:cs="宋体"/>
          <w:color w:val="auto"/>
          <w:spacing w:val="-1"/>
          <w:sz w:val="24"/>
        </w:rPr>
        <w:t>点和计划交货日期等。</w:t>
      </w:r>
    </w:p>
    <w:p w14:paraId="5EAB37E8">
      <w:pPr>
        <w:spacing w:before="1" w:line="218" w:lineRule="auto"/>
        <w:ind w:left="479"/>
        <w:outlineLvl w:val="3"/>
        <w:rPr>
          <w:rFonts w:ascii="宋体" w:hAnsi="宋体" w:cs="宋体"/>
          <w:color w:val="auto"/>
          <w:sz w:val="24"/>
        </w:rPr>
      </w:pPr>
      <w:r>
        <w:rPr>
          <w:rFonts w:eastAsia="Times New Roman"/>
          <w:b/>
          <w:bCs/>
          <w:color w:val="auto"/>
          <w:spacing w:val="-2"/>
          <w:sz w:val="24"/>
        </w:rPr>
        <w:t xml:space="preserve">5.3  </w:t>
      </w:r>
      <w:r>
        <w:rPr>
          <w:rFonts w:ascii="宋体" w:hAnsi="宋体" w:cs="宋体"/>
          <w:b/>
          <w:bCs/>
          <w:color w:val="auto"/>
          <w:spacing w:val="-2"/>
          <w:sz w:val="24"/>
        </w:rPr>
        <w:t>材料和工程设备专用于养护项目</w:t>
      </w:r>
    </w:p>
    <w:p w14:paraId="15EF0F30">
      <w:pPr>
        <w:spacing w:before="127" w:line="278" w:lineRule="auto"/>
        <w:ind w:right="183" w:firstLine="482"/>
        <w:rPr>
          <w:rFonts w:ascii="宋体" w:hAnsi="宋体" w:cs="宋体"/>
          <w:color w:val="auto"/>
          <w:sz w:val="24"/>
        </w:rPr>
      </w:pPr>
      <w:r>
        <w:rPr>
          <w:rFonts w:eastAsia="Times New Roman"/>
          <w:color w:val="auto"/>
          <w:spacing w:val="5"/>
          <w:sz w:val="24"/>
        </w:rPr>
        <w:t xml:space="preserve">5.3.1 </w:t>
      </w:r>
      <w:r>
        <w:rPr>
          <w:rFonts w:ascii="宋体" w:hAnsi="宋体" w:cs="宋体"/>
          <w:color w:val="auto"/>
          <w:spacing w:val="5"/>
          <w:sz w:val="24"/>
        </w:rPr>
        <w:t>运入养护作业场地的材料、工程设备，包括备品备件、安装专用工器具</w:t>
      </w:r>
      <w:r>
        <w:rPr>
          <w:rFonts w:ascii="宋体" w:hAnsi="宋体" w:cs="宋体"/>
          <w:color w:val="auto"/>
          <w:spacing w:val="1"/>
          <w:sz w:val="24"/>
        </w:rPr>
        <w:t>与随机资料，必须专用于养护项目，未经咨询人同意，承</w:t>
      </w:r>
      <w:r>
        <w:rPr>
          <w:rFonts w:ascii="宋体" w:hAnsi="宋体" w:cs="宋体"/>
          <w:color w:val="auto"/>
          <w:sz w:val="24"/>
        </w:rPr>
        <w:t>包人不得运出养护作业场</w:t>
      </w:r>
      <w:r>
        <w:rPr>
          <w:rFonts w:ascii="宋体" w:hAnsi="宋体" w:cs="宋体"/>
          <w:color w:val="auto"/>
          <w:spacing w:val="-2"/>
          <w:sz w:val="24"/>
        </w:rPr>
        <w:t>地或挪作他用。</w:t>
      </w:r>
    </w:p>
    <w:p w14:paraId="0E2C6629">
      <w:pPr>
        <w:spacing w:before="115" w:line="278" w:lineRule="auto"/>
        <w:ind w:right="183" w:firstLine="482"/>
        <w:rPr>
          <w:rFonts w:ascii="宋体" w:hAnsi="宋体" w:cs="宋体"/>
          <w:color w:val="auto"/>
          <w:sz w:val="24"/>
        </w:rPr>
      </w:pPr>
      <w:r>
        <w:rPr>
          <w:rFonts w:eastAsia="Times New Roman"/>
          <w:color w:val="auto"/>
          <w:spacing w:val="4"/>
          <w:sz w:val="24"/>
        </w:rPr>
        <w:t xml:space="preserve">5.3.2  </w:t>
      </w:r>
      <w:r>
        <w:rPr>
          <w:rFonts w:ascii="宋体" w:hAnsi="宋体" w:cs="宋体"/>
          <w:color w:val="auto"/>
          <w:spacing w:val="4"/>
          <w:sz w:val="24"/>
        </w:rPr>
        <w:t>随同工程设备运入养护作业场地的备品备件、专用</w:t>
      </w:r>
      <w:r>
        <w:rPr>
          <w:rFonts w:ascii="宋体" w:hAnsi="宋体" w:cs="宋体"/>
          <w:color w:val="auto"/>
          <w:spacing w:val="3"/>
          <w:sz w:val="24"/>
        </w:rPr>
        <w:t>工器具与随机资料，</w:t>
      </w:r>
      <w:r>
        <w:rPr>
          <w:rFonts w:ascii="宋体" w:hAnsi="宋体" w:cs="宋体"/>
          <w:color w:val="auto"/>
          <w:spacing w:val="1"/>
          <w:sz w:val="24"/>
        </w:rPr>
        <w:t>应由承包人会同咨询人按供货人的装箱单清点后共同封存</w:t>
      </w:r>
      <w:r>
        <w:rPr>
          <w:rFonts w:ascii="宋体" w:hAnsi="宋体" w:cs="宋体"/>
          <w:color w:val="auto"/>
          <w:sz w:val="24"/>
        </w:rPr>
        <w:t>，未经咨询人同意不得启用。承包人因合同工作需要使用上述物品时</w:t>
      </w:r>
      <w:r>
        <w:rPr>
          <w:rFonts w:ascii="宋体" w:hAnsi="宋体" w:cs="宋体"/>
          <w:color w:val="auto"/>
          <w:spacing w:val="-1"/>
          <w:sz w:val="24"/>
        </w:rPr>
        <w:t>，应向咨询人提出申请。</w:t>
      </w:r>
    </w:p>
    <w:p w14:paraId="02430CD3">
      <w:pPr>
        <w:spacing w:before="104" w:line="219" w:lineRule="auto"/>
        <w:ind w:left="479"/>
        <w:outlineLvl w:val="3"/>
        <w:rPr>
          <w:rFonts w:ascii="宋体" w:hAnsi="宋体" w:cs="宋体"/>
          <w:color w:val="auto"/>
          <w:sz w:val="24"/>
        </w:rPr>
      </w:pPr>
      <w:r>
        <w:rPr>
          <w:rFonts w:eastAsia="Times New Roman"/>
          <w:b/>
          <w:bCs/>
          <w:color w:val="auto"/>
          <w:spacing w:val="-2"/>
          <w:sz w:val="24"/>
        </w:rPr>
        <w:t xml:space="preserve">5.4  </w:t>
      </w:r>
      <w:r>
        <w:rPr>
          <w:rFonts w:ascii="宋体" w:hAnsi="宋体" w:cs="宋体"/>
          <w:b/>
          <w:bCs/>
          <w:color w:val="auto"/>
          <w:spacing w:val="-2"/>
          <w:sz w:val="24"/>
        </w:rPr>
        <w:t>禁止使用不合格的材料和工程设备</w:t>
      </w:r>
    </w:p>
    <w:p w14:paraId="7BECCC82">
      <w:pPr>
        <w:spacing w:before="125" w:line="310" w:lineRule="auto"/>
        <w:ind w:left="3" w:right="183" w:firstLine="479"/>
        <w:rPr>
          <w:rFonts w:ascii="宋体" w:hAnsi="宋体" w:cs="宋体"/>
          <w:color w:val="auto"/>
          <w:sz w:val="24"/>
        </w:rPr>
      </w:pPr>
      <w:r>
        <w:rPr>
          <w:rFonts w:eastAsia="Times New Roman"/>
          <w:color w:val="auto"/>
          <w:spacing w:val="4"/>
          <w:sz w:val="24"/>
        </w:rPr>
        <w:t xml:space="preserve">5.4.1  </w:t>
      </w:r>
      <w:r>
        <w:rPr>
          <w:rFonts w:ascii="宋体" w:hAnsi="宋体" w:cs="宋体"/>
          <w:color w:val="auto"/>
          <w:spacing w:val="4"/>
          <w:sz w:val="24"/>
        </w:rPr>
        <w:t>咨询人有权拒绝承包人提供的不合格材料或</w:t>
      </w:r>
      <w:r>
        <w:rPr>
          <w:rFonts w:ascii="宋体" w:hAnsi="宋体" w:cs="宋体"/>
          <w:color w:val="auto"/>
          <w:spacing w:val="3"/>
          <w:sz w:val="24"/>
        </w:rPr>
        <w:t>工程设备，并要求承包人立</w:t>
      </w:r>
      <w:r>
        <w:rPr>
          <w:rFonts w:ascii="宋体" w:hAnsi="宋体" w:cs="宋体"/>
          <w:color w:val="auto"/>
          <w:spacing w:val="1"/>
          <w:sz w:val="24"/>
        </w:rPr>
        <w:t>即进行更换。咨询人应在更换后再次进行检查和检</w:t>
      </w:r>
      <w:r>
        <w:rPr>
          <w:rFonts w:ascii="宋体" w:hAnsi="宋体" w:cs="宋体"/>
          <w:color w:val="auto"/>
          <w:sz w:val="24"/>
        </w:rPr>
        <w:t>验，由此增加的费用和（或）工</w:t>
      </w:r>
      <w:r>
        <w:rPr>
          <w:rFonts w:ascii="宋体" w:hAnsi="宋体" w:cs="宋体"/>
          <w:color w:val="auto"/>
          <w:spacing w:val="-2"/>
          <w:sz w:val="24"/>
        </w:rPr>
        <w:t>期延误由承包人承担。</w:t>
      </w:r>
    </w:p>
    <w:p w14:paraId="6C5FF12F">
      <w:pPr>
        <w:spacing w:before="282" w:line="263" w:lineRule="auto"/>
        <w:ind w:left="2" w:right="2" w:firstLine="480"/>
        <w:rPr>
          <w:rFonts w:ascii="宋体" w:hAnsi="宋体" w:cs="宋体"/>
          <w:color w:val="auto"/>
          <w:sz w:val="24"/>
        </w:rPr>
      </w:pPr>
      <w:bookmarkStart w:id="130" w:name="bookmark216"/>
      <w:bookmarkEnd w:id="130"/>
      <w:r>
        <w:rPr>
          <w:rFonts w:eastAsia="Times New Roman"/>
          <w:color w:val="auto"/>
          <w:spacing w:val="4"/>
          <w:sz w:val="24"/>
        </w:rPr>
        <w:t xml:space="preserve">5.4.2  </w:t>
      </w:r>
      <w:r>
        <w:rPr>
          <w:rFonts w:ascii="宋体" w:hAnsi="宋体" w:cs="宋体"/>
          <w:color w:val="auto"/>
          <w:spacing w:val="4"/>
          <w:sz w:val="24"/>
        </w:rPr>
        <w:t>咨询人发现承包人使用了不合格的材料和工</w:t>
      </w:r>
      <w:r>
        <w:rPr>
          <w:rFonts w:ascii="宋体" w:hAnsi="宋体" w:cs="宋体"/>
          <w:color w:val="auto"/>
          <w:spacing w:val="3"/>
          <w:sz w:val="24"/>
        </w:rPr>
        <w:t>程设备，应及时发出指示要</w:t>
      </w:r>
      <w:r>
        <w:rPr>
          <w:rFonts w:ascii="宋体" w:hAnsi="宋体" w:cs="宋体"/>
          <w:color w:val="auto"/>
          <w:sz w:val="24"/>
        </w:rPr>
        <w:t>求承包人立即改正，并禁止在养护项目中继续使</w:t>
      </w:r>
      <w:r>
        <w:rPr>
          <w:rFonts w:ascii="宋体" w:hAnsi="宋体" w:cs="宋体"/>
          <w:color w:val="auto"/>
          <w:spacing w:val="-1"/>
          <w:sz w:val="24"/>
        </w:rPr>
        <w:t>用不合格的材料和工程设备。</w:t>
      </w:r>
    </w:p>
    <w:p w14:paraId="3A6645D2">
      <w:pPr>
        <w:spacing w:before="113" w:line="264" w:lineRule="auto"/>
        <w:ind w:left="2" w:right="2" w:firstLine="480"/>
        <w:rPr>
          <w:color w:val="auto"/>
        </w:rPr>
      </w:pPr>
      <w:r>
        <w:rPr>
          <w:rFonts w:eastAsia="Times New Roman"/>
          <w:color w:val="auto"/>
          <w:spacing w:val="4"/>
          <w:sz w:val="24"/>
        </w:rPr>
        <w:t xml:space="preserve">5.4.3  </w:t>
      </w:r>
      <w:r>
        <w:rPr>
          <w:rFonts w:ascii="宋体" w:hAnsi="宋体" w:cs="宋体"/>
          <w:color w:val="auto"/>
          <w:spacing w:val="4"/>
          <w:sz w:val="24"/>
        </w:rPr>
        <w:t>发包人提供的材料或工程设备不符合合同要</w:t>
      </w:r>
      <w:r>
        <w:rPr>
          <w:rFonts w:ascii="宋体" w:hAnsi="宋体" w:cs="宋体"/>
          <w:color w:val="auto"/>
          <w:spacing w:val="3"/>
          <w:sz w:val="24"/>
        </w:rPr>
        <w:t>求的，承包人有权拒绝，并</w:t>
      </w:r>
      <w:r>
        <w:rPr>
          <w:rFonts w:ascii="宋体" w:hAnsi="宋体" w:cs="宋体"/>
          <w:color w:val="auto"/>
          <w:spacing w:val="-1"/>
          <w:sz w:val="24"/>
        </w:rPr>
        <w:t>可要求发包人更换，由此增加的费用和（或）工期延误由发包人承担。</w:t>
      </w:r>
    </w:p>
    <w:p w14:paraId="214C5E57">
      <w:pPr>
        <w:spacing w:before="78" w:line="219" w:lineRule="auto"/>
        <w:ind w:left="480"/>
        <w:outlineLvl w:val="2"/>
        <w:rPr>
          <w:rFonts w:ascii="宋体" w:hAnsi="宋体" w:cs="宋体"/>
          <w:color w:val="auto"/>
          <w:sz w:val="24"/>
        </w:rPr>
      </w:pPr>
      <w:bookmarkStart w:id="131" w:name="bookmark17"/>
      <w:bookmarkEnd w:id="131"/>
      <w:bookmarkStart w:id="132" w:name="bookmark18"/>
      <w:bookmarkEnd w:id="132"/>
      <w:r>
        <w:rPr>
          <w:rFonts w:eastAsia="Times New Roman"/>
          <w:b/>
          <w:bCs/>
          <w:color w:val="auto"/>
          <w:spacing w:val="-2"/>
          <w:sz w:val="24"/>
        </w:rPr>
        <w:t xml:space="preserve">6.  </w:t>
      </w:r>
      <w:r>
        <w:rPr>
          <w:rFonts w:ascii="宋体" w:hAnsi="宋体" w:cs="宋体"/>
          <w:b/>
          <w:bCs/>
          <w:color w:val="auto"/>
          <w:spacing w:val="-2"/>
          <w:sz w:val="24"/>
        </w:rPr>
        <w:t>养护作业设备和临时设施</w:t>
      </w:r>
    </w:p>
    <w:p w14:paraId="52B403CC">
      <w:pPr>
        <w:spacing w:before="259" w:line="219" w:lineRule="auto"/>
        <w:ind w:left="480"/>
        <w:outlineLvl w:val="3"/>
        <w:rPr>
          <w:rFonts w:ascii="宋体" w:hAnsi="宋体" w:cs="宋体"/>
          <w:color w:val="auto"/>
          <w:sz w:val="24"/>
        </w:rPr>
      </w:pPr>
      <w:r>
        <w:rPr>
          <w:rFonts w:eastAsia="Times New Roman"/>
          <w:b/>
          <w:bCs/>
          <w:color w:val="auto"/>
          <w:spacing w:val="-2"/>
          <w:sz w:val="24"/>
        </w:rPr>
        <w:t xml:space="preserve">6.1  </w:t>
      </w:r>
      <w:r>
        <w:rPr>
          <w:rFonts w:ascii="宋体" w:hAnsi="宋体" w:cs="宋体"/>
          <w:b/>
          <w:bCs/>
          <w:color w:val="auto"/>
          <w:spacing w:val="-2"/>
          <w:sz w:val="24"/>
        </w:rPr>
        <w:t>承包人提供的养护作业设备和临时设施</w:t>
      </w:r>
    </w:p>
    <w:p w14:paraId="481BA814">
      <w:pPr>
        <w:spacing w:before="124" w:line="279" w:lineRule="auto"/>
        <w:ind w:firstLine="481"/>
        <w:rPr>
          <w:rFonts w:ascii="宋体" w:hAnsi="宋体" w:cs="宋体"/>
          <w:color w:val="auto"/>
          <w:sz w:val="24"/>
        </w:rPr>
      </w:pPr>
      <w:r>
        <w:rPr>
          <w:rFonts w:eastAsia="Times New Roman"/>
          <w:color w:val="auto"/>
          <w:spacing w:val="4"/>
          <w:sz w:val="24"/>
        </w:rPr>
        <w:t xml:space="preserve">6.1.1  </w:t>
      </w:r>
      <w:r>
        <w:rPr>
          <w:rFonts w:ascii="宋体" w:hAnsi="宋体" w:cs="宋体"/>
          <w:color w:val="auto"/>
          <w:spacing w:val="4"/>
          <w:sz w:val="24"/>
        </w:rPr>
        <w:t>承包人应按合同进度计划的要求，及时配置养护</w:t>
      </w:r>
      <w:r>
        <w:rPr>
          <w:rFonts w:ascii="宋体" w:hAnsi="宋体" w:cs="宋体"/>
          <w:color w:val="auto"/>
          <w:spacing w:val="3"/>
          <w:sz w:val="24"/>
        </w:rPr>
        <w:t>作业设备和修建临时设</w:t>
      </w:r>
      <w:r>
        <w:rPr>
          <w:rFonts w:ascii="宋体" w:hAnsi="宋体" w:cs="宋体"/>
          <w:color w:val="auto"/>
          <w:spacing w:val="1"/>
          <w:sz w:val="24"/>
        </w:rPr>
        <w:t>施。进入养护作业场地的承包人设备需经咨询人核查后才能</w:t>
      </w:r>
      <w:r>
        <w:rPr>
          <w:rFonts w:ascii="宋体" w:hAnsi="宋体" w:cs="宋体"/>
          <w:color w:val="auto"/>
          <w:sz w:val="24"/>
        </w:rPr>
        <w:t>投入使用。承包人更换</w:t>
      </w:r>
      <w:r>
        <w:rPr>
          <w:rFonts w:ascii="宋体" w:hAnsi="宋体" w:cs="宋体"/>
          <w:color w:val="auto"/>
          <w:spacing w:val="-1"/>
          <w:sz w:val="24"/>
        </w:rPr>
        <w:t>合同约定的承包人设备的，应报咨询人批准。</w:t>
      </w:r>
    </w:p>
    <w:p w14:paraId="2168E5BA">
      <w:pPr>
        <w:spacing w:before="113" w:line="264" w:lineRule="auto"/>
        <w:ind w:left="2" w:right="2" w:firstLine="479"/>
        <w:rPr>
          <w:rFonts w:ascii="宋体" w:hAnsi="宋体" w:cs="宋体"/>
          <w:color w:val="auto"/>
          <w:sz w:val="24"/>
        </w:rPr>
      </w:pPr>
      <w:r>
        <w:rPr>
          <w:rFonts w:eastAsia="Times New Roman"/>
          <w:color w:val="auto"/>
          <w:spacing w:val="4"/>
          <w:sz w:val="24"/>
        </w:rPr>
        <w:t xml:space="preserve">6.1.2  </w:t>
      </w:r>
      <w:r>
        <w:rPr>
          <w:rFonts w:ascii="宋体" w:hAnsi="宋体" w:cs="宋体"/>
          <w:color w:val="auto"/>
          <w:spacing w:val="4"/>
          <w:sz w:val="24"/>
        </w:rPr>
        <w:t>承包人应自行承担修建临时设施的费用，需要临</w:t>
      </w:r>
      <w:r>
        <w:rPr>
          <w:rFonts w:ascii="宋体" w:hAnsi="宋体" w:cs="宋体"/>
          <w:color w:val="auto"/>
          <w:spacing w:val="3"/>
          <w:sz w:val="24"/>
        </w:rPr>
        <w:t>时占地的，应由承包人</w:t>
      </w:r>
      <w:r>
        <w:rPr>
          <w:rFonts w:ascii="宋体" w:hAnsi="宋体" w:cs="宋体"/>
          <w:color w:val="auto"/>
          <w:spacing w:val="-3"/>
          <w:sz w:val="24"/>
        </w:rPr>
        <w:t>按第</w:t>
      </w:r>
      <w:r>
        <w:rPr>
          <w:rFonts w:eastAsia="Times New Roman"/>
          <w:color w:val="auto"/>
          <w:spacing w:val="-3"/>
          <w:sz w:val="24"/>
        </w:rPr>
        <w:t xml:space="preserve">4.1.10 </w:t>
      </w:r>
      <w:r>
        <w:rPr>
          <w:rFonts w:ascii="宋体" w:hAnsi="宋体" w:cs="宋体"/>
          <w:color w:val="auto"/>
          <w:spacing w:val="-3"/>
          <w:sz w:val="24"/>
        </w:rPr>
        <w:t>项约定办理。</w:t>
      </w:r>
    </w:p>
    <w:p w14:paraId="541F4E8F">
      <w:pPr>
        <w:spacing w:before="103" w:line="219" w:lineRule="auto"/>
        <w:ind w:left="480"/>
        <w:outlineLvl w:val="3"/>
        <w:rPr>
          <w:rFonts w:ascii="宋体" w:hAnsi="宋体" w:cs="宋体"/>
          <w:color w:val="auto"/>
          <w:sz w:val="24"/>
        </w:rPr>
      </w:pPr>
      <w:r>
        <w:rPr>
          <w:rFonts w:eastAsia="Times New Roman"/>
          <w:b/>
          <w:bCs/>
          <w:color w:val="auto"/>
          <w:spacing w:val="-2"/>
          <w:sz w:val="24"/>
        </w:rPr>
        <w:t xml:space="preserve">6.2  </w:t>
      </w:r>
      <w:r>
        <w:rPr>
          <w:rFonts w:ascii="宋体" w:hAnsi="宋体" w:cs="宋体"/>
          <w:b/>
          <w:bCs/>
          <w:color w:val="auto"/>
          <w:spacing w:val="-2"/>
          <w:sz w:val="24"/>
        </w:rPr>
        <w:t>发包人提供的养护作业设备和临时设施</w:t>
      </w:r>
    </w:p>
    <w:p w14:paraId="42394723">
      <w:pPr>
        <w:spacing w:before="126" w:line="219" w:lineRule="auto"/>
        <w:ind w:left="484"/>
        <w:rPr>
          <w:rFonts w:ascii="宋体" w:hAnsi="宋体" w:cs="宋体"/>
          <w:color w:val="auto"/>
          <w:sz w:val="24"/>
        </w:rPr>
      </w:pPr>
      <w:r>
        <w:rPr>
          <w:rFonts w:ascii="宋体" w:hAnsi="宋体" w:cs="宋体"/>
          <w:color w:val="auto"/>
          <w:spacing w:val="-1"/>
          <w:sz w:val="24"/>
        </w:rPr>
        <w:t>发包人提供的养护作业设备或临时设施在专用合同条款中约定。</w:t>
      </w:r>
    </w:p>
    <w:p w14:paraId="147E2EA0">
      <w:pPr>
        <w:spacing w:before="107" w:line="219" w:lineRule="auto"/>
        <w:ind w:left="480"/>
        <w:outlineLvl w:val="3"/>
        <w:rPr>
          <w:rFonts w:ascii="宋体" w:hAnsi="宋体" w:cs="宋体"/>
          <w:color w:val="auto"/>
          <w:sz w:val="24"/>
        </w:rPr>
      </w:pPr>
      <w:r>
        <w:rPr>
          <w:rFonts w:eastAsia="Times New Roman"/>
          <w:b/>
          <w:bCs/>
          <w:color w:val="auto"/>
          <w:spacing w:val="-2"/>
          <w:sz w:val="24"/>
        </w:rPr>
        <w:t xml:space="preserve">6.3  </w:t>
      </w:r>
      <w:r>
        <w:rPr>
          <w:rFonts w:ascii="宋体" w:hAnsi="宋体" w:cs="宋体"/>
          <w:b/>
          <w:bCs/>
          <w:color w:val="auto"/>
          <w:spacing w:val="-2"/>
          <w:sz w:val="24"/>
        </w:rPr>
        <w:t>要求承包人增加或更换养护作业设备</w:t>
      </w:r>
    </w:p>
    <w:p w14:paraId="585C3BE6">
      <w:pPr>
        <w:spacing w:before="123" w:line="306" w:lineRule="auto"/>
        <w:ind w:firstLine="480"/>
        <w:rPr>
          <w:rFonts w:ascii="宋体" w:hAnsi="宋体" w:cs="宋体"/>
          <w:color w:val="auto"/>
          <w:sz w:val="24"/>
        </w:rPr>
      </w:pPr>
      <w:r>
        <w:rPr>
          <w:rFonts w:ascii="宋体" w:hAnsi="宋体" w:cs="宋体"/>
          <w:color w:val="auto"/>
          <w:spacing w:val="1"/>
          <w:sz w:val="24"/>
        </w:rPr>
        <w:t>承包人承诺的养护作业设备必须按时到达现场，不得拖延</w:t>
      </w:r>
      <w:r>
        <w:rPr>
          <w:rFonts w:ascii="宋体" w:hAnsi="宋体" w:cs="宋体"/>
          <w:color w:val="auto"/>
          <w:sz w:val="24"/>
        </w:rPr>
        <w:t>、缺短或任意更换。</w:t>
      </w:r>
      <w:r>
        <w:rPr>
          <w:rFonts w:ascii="宋体" w:hAnsi="宋体" w:cs="宋体"/>
          <w:color w:val="auto"/>
          <w:spacing w:val="1"/>
          <w:sz w:val="24"/>
        </w:rPr>
        <w:t>承包人虽已按承诺提供了上述设备，但仍不能满足合同进</w:t>
      </w:r>
      <w:r>
        <w:rPr>
          <w:rFonts w:ascii="宋体" w:hAnsi="宋体" w:cs="宋体"/>
          <w:color w:val="auto"/>
          <w:sz w:val="24"/>
        </w:rPr>
        <w:t>度计划和（或）质量要求</w:t>
      </w:r>
      <w:r>
        <w:rPr>
          <w:rFonts w:ascii="宋体" w:hAnsi="宋体" w:cs="宋体"/>
          <w:color w:val="auto"/>
          <w:spacing w:val="1"/>
          <w:sz w:val="24"/>
        </w:rPr>
        <w:t>时，咨询人有权要求承包人增加或更换养护作业设备，承</w:t>
      </w:r>
      <w:r>
        <w:rPr>
          <w:rFonts w:ascii="宋体" w:hAnsi="宋体" w:cs="宋体"/>
          <w:color w:val="auto"/>
          <w:sz w:val="24"/>
        </w:rPr>
        <w:t>包人应及时增加或更换，</w:t>
      </w:r>
      <w:r>
        <w:rPr>
          <w:rFonts w:ascii="宋体" w:hAnsi="宋体" w:cs="宋体"/>
          <w:color w:val="auto"/>
          <w:spacing w:val="-1"/>
          <w:sz w:val="24"/>
        </w:rPr>
        <w:t>由此增加的费用和（或）工期延误由承包人承担。</w:t>
      </w:r>
    </w:p>
    <w:p w14:paraId="6990D7F2">
      <w:pPr>
        <w:spacing w:line="219" w:lineRule="auto"/>
        <w:ind w:left="480"/>
        <w:outlineLvl w:val="3"/>
        <w:rPr>
          <w:rFonts w:ascii="宋体" w:hAnsi="宋体" w:cs="宋体"/>
          <w:color w:val="auto"/>
          <w:sz w:val="24"/>
        </w:rPr>
      </w:pPr>
      <w:r>
        <w:rPr>
          <w:rFonts w:eastAsia="Times New Roman"/>
          <w:b/>
          <w:bCs/>
          <w:color w:val="auto"/>
          <w:spacing w:val="-2"/>
          <w:sz w:val="24"/>
        </w:rPr>
        <w:t xml:space="preserve">6.4  </w:t>
      </w:r>
      <w:r>
        <w:rPr>
          <w:rFonts w:ascii="宋体" w:hAnsi="宋体" w:cs="宋体"/>
          <w:b/>
          <w:bCs/>
          <w:color w:val="auto"/>
          <w:spacing w:val="-2"/>
          <w:sz w:val="24"/>
        </w:rPr>
        <w:t>养护作业设备和临时设施专用于养护项目</w:t>
      </w:r>
    </w:p>
    <w:p w14:paraId="4C43984E">
      <w:pPr>
        <w:spacing w:before="126" w:line="278" w:lineRule="auto"/>
        <w:ind w:firstLine="481"/>
        <w:rPr>
          <w:rFonts w:ascii="宋体" w:hAnsi="宋体" w:cs="宋体"/>
          <w:color w:val="auto"/>
          <w:sz w:val="24"/>
        </w:rPr>
      </w:pPr>
      <w:r>
        <w:rPr>
          <w:rFonts w:eastAsia="Times New Roman"/>
          <w:color w:val="auto"/>
          <w:spacing w:val="5"/>
          <w:sz w:val="24"/>
        </w:rPr>
        <w:t>6.4.1</w:t>
      </w:r>
      <w:r>
        <w:rPr>
          <w:rFonts w:ascii="宋体" w:hAnsi="宋体" w:cs="宋体"/>
          <w:color w:val="auto"/>
          <w:spacing w:val="5"/>
          <w:sz w:val="24"/>
        </w:rPr>
        <w:t>除合同另有约定外，运入养护作业场地的所有养护作业</w:t>
      </w:r>
      <w:r>
        <w:rPr>
          <w:rFonts w:ascii="宋体" w:hAnsi="宋体" w:cs="宋体"/>
          <w:color w:val="auto"/>
          <w:spacing w:val="4"/>
          <w:sz w:val="24"/>
        </w:rPr>
        <w:t>设备以及在养护</w:t>
      </w:r>
      <w:r>
        <w:rPr>
          <w:rFonts w:ascii="宋体" w:hAnsi="宋体" w:cs="宋体"/>
          <w:color w:val="auto"/>
          <w:spacing w:val="1"/>
          <w:sz w:val="24"/>
        </w:rPr>
        <w:t>作业场地建设的临时设施应专用于养护项目。未经咨询人同</w:t>
      </w:r>
      <w:r>
        <w:rPr>
          <w:rFonts w:ascii="宋体" w:hAnsi="宋体" w:cs="宋体"/>
          <w:color w:val="auto"/>
          <w:sz w:val="24"/>
        </w:rPr>
        <w:t>意，不得将上述养护作</w:t>
      </w:r>
      <w:r>
        <w:rPr>
          <w:rFonts w:ascii="宋体" w:hAnsi="宋体" w:cs="宋体"/>
          <w:color w:val="auto"/>
          <w:spacing w:val="-1"/>
          <w:sz w:val="24"/>
        </w:rPr>
        <w:t>业设备和临时设施中的任何部分运出养护作业场地或挪作他用。</w:t>
      </w:r>
    </w:p>
    <w:p w14:paraId="62D12EA5">
      <w:pPr>
        <w:spacing w:before="116" w:line="219" w:lineRule="auto"/>
        <w:ind w:left="481"/>
        <w:rPr>
          <w:color w:val="auto"/>
        </w:rPr>
      </w:pPr>
      <w:r>
        <w:rPr>
          <w:rFonts w:eastAsia="Times New Roman"/>
          <w:color w:val="auto"/>
          <w:sz w:val="24"/>
        </w:rPr>
        <w:t xml:space="preserve">6.4.2  </w:t>
      </w:r>
      <w:r>
        <w:rPr>
          <w:rFonts w:ascii="宋体" w:hAnsi="宋体" w:cs="宋体"/>
          <w:color w:val="auto"/>
          <w:sz w:val="24"/>
        </w:rPr>
        <w:t>经咨询人同意，承包人可根据合同进度计划</w:t>
      </w:r>
      <w:r>
        <w:rPr>
          <w:rFonts w:ascii="宋体" w:hAnsi="宋体" w:cs="宋体"/>
          <w:color w:val="auto"/>
          <w:spacing w:val="-1"/>
          <w:sz w:val="24"/>
        </w:rPr>
        <w:t>撤走闲置的养护作业设备。</w:t>
      </w:r>
    </w:p>
    <w:p w14:paraId="59D3B6FD">
      <w:pPr>
        <w:spacing w:before="79" w:line="219" w:lineRule="auto"/>
        <w:ind w:left="479"/>
        <w:outlineLvl w:val="2"/>
        <w:rPr>
          <w:rFonts w:ascii="宋体" w:hAnsi="宋体" w:cs="宋体"/>
          <w:color w:val="auto"/>
          <w:sz w:val="24"/>
        </w:rPr>
      </w:pPr>
      <w:bookmarkStart w:id="133" w:name="bookmark19"/>
      <w:bookmarkEnd w:id="133"/>
      <w:bookmarkStart w:id="134" w:name="bookmark20"/>
      <w:bookmarkEnd w:id="134"/>
      <w:r>
        <w:rPr>
          <w:rFonts w:eastAsia="Times New Roman"/>
          <w:b/>
          <w:bCs/>
          <w:color w:val="auto"/>
          <w:spacing w:val="-6"/>
          <w:sz w:val="24"/>
        </w:rPr>
        <w:t>7.</w:t>
      </w:r>
      <w:r>
        <w:rPr>
          <w:rFonts w:ascii="宋体" w:hAnsi="宋体" w:cs="宋体"/>
          <w:b/>
          <w:bCs/>
          <w:color w:val="auto"/>
          <w:spacing w:val="-6"/>
          <w:sz w:val="24"/>
        </w:rPr>
        <w:t>交通运输</w:t>
      </w:r>
    </w:p>
    <w:p w14:paraId="344B04AA">
      <w:pPr>
        <w:spacing w:before="262" w:line="219" w:lineRule="auto"/>
        <w:ind w:left="479"/>
        <w:outlineLvl w:val="3"/>
        <w:rPr>
          <w:rFonts w:ascii="宋体" w:hAnsi="宋体" w:cs="宋体"/>
          <w:color w:val="auto"/>
          <w:sz w:val="24"/>
        </w:rPr>
      </w:pPr>
      <w:r>
        <w:rPr>
          <w:rFonts w:eastAsia="Times New Roman"/>
          <w:b/>
          <w:bCs/>
          <w:color w:val="auto"/>
          <w:spacing w:val="-2"/>
          <w:sz w:val="24"/>
        </w:rPr>
        <w:t xml:space="preserve">7.1  </w:t>
      </w:r>
      <w:r>
        <w:rPr>
          <w:rFonts w:ascii="宋体" w:hAnsi="宋体" w:cs="宋体"/>
          <w:b/>
          <w:bCs/>
          <w:color w:val="auto"/>
          <w:spacing w:val="-2"/>
          <w:sz w:val="24"/>
        </w:rPr>
        <w:t>道路通行权和场外设施</w:t>
      </w:r>
    </w:p>
    <w:p w14:paraId="643D3F2D">
      <w:pPr>
        <w:spacing w:before="124" w:line="305" w:lineRule="auto"/>
        <w:ind w:left="2" w:firstLine="478"/>
        <w:rPr>
          <w:rFonts w:ascii="宋体" w:hAnsi="宋体" w:cs="宋体"/>
          <w:color w:val="auto"/>
          <w:sz w:val="24"/>
        </w:rPr>
      </w:pPr>
      <w:r>
        <w:rPr>
          <w:rFonts w:ascii="宋体" w:hAnsi="宋体" w:cs="宋体"/>
          <w:color w:val="auto"/>
          <w:spacing w:val="1"/>
          <w:sz w:val="24"/>
        </w:rPr>
        <w:t>承包人应根据养护项目的实施需要，负责办理取得出入养</w:t>
      </w:r>
      <w:r>
        <w:rPr>
          <w:rFonts w:ascii="宋体" w:hAnsi="宋体" w:cs="宋体"/>
          <w:color w:val="auto"/>
          <w:sz w:val="24"/>
        </w:rPr>
        <w:t>护作业场地的专用和</w:t>
      </w:r>
      <w:r>
        <w:rPr>
          <w:rFonts w:ascii="宋体" w:hAnsi="宋体" w:cs="宋体"/>
          <w:color w:val="auto"/>
          <w:spacing w:val="1"/>
          <w:sz w:val="24"/>
        </w:rPr>
        <w:t>临时道路的通行权，以及取得为养护作业所需修建场</w:t>
      </w:r>
      <w:r>
        <w:rPr>
          <w:rFonts w:ascii="宋体" w:hAnsi="宋体" w:cs="宋体"/>
          <w:color w:val="auto"/>
          <w:sz w:val="24"/>
        </w:rPr>
        <w:t>外设施的权利，并承担有关费</w:t>
      </w:r>
      <w:r>
        <w:rPr>
          <w:rFonts w:ascii="宋体" w:hAnsi="宋体" w:cs="宋体"/>
          <w:color w:val="auto"/>
          <w:spacing w:val="-1"/>
          <w:sz w:val="24"/>
        </w:rPr>
        <w:t>用。需要发包人协调时，发包人应协助承包人办理相关手续。</w:t>
      </w:r>
    </w:p>
    <w:p w14:paraId="38310821">
      <w:pPr>
        <w:spacing w:line="219" w:lineRule="auto"/>
        <w:ind w:left="479"/>
        <w:outlineLvl w:val="3"/>
        <w:rPr>
          <w:rFonts w:ascii="宋体" w:hAnsi="宋体" w:cs="宋体"/>
          <w:color w:val="auto"/>
          <w:sz w:val="24"/>
        </w:rPr>
      </w:pPr>
      <w:r>
        <w:rPr>
          <w:rFonts w:eastAsia="Times New Roman"/>
          <w:b/>
          <w:bCs/>
          <w:color w:val="auto"/>
          <w:spacing w:val="-2"/>
          <w:sz w:val="24"/>
        </w:rPr>
        <w:t xml:space="preserve">7.2  </w:t>
      </w:r>
      <w:r>
        <w:rPr>
          <w:rFonts w:ascii="宋体" w:hAnsi="宋体" w:cs="宋体"/>
          <w:b/>
          <w:bCs/>
          <w:color w:val="auto"/>
          <w:spacing w:val="-2"/>
          <w:sz w:val="24"/>
        </w:rPr>
        <w:t>养护路段内交通</w:t>
      </w:r>
    </w:p>
    <w:p w14:paraId="14D7BB21">
      <w:pPr>
        <w:spacing w:line="310" w:lineRule="auto"/>
        <w:ind w:firstLine="240" w:firstLineChars="100"/>
        <w:rPr>
          <w:rFonts w:ascii="宋体" w:hAnsi="宋体" w:cs="宋体"/>
          <w:color w:val="auto"/>
          <w:sz w:val="24"/>
          <w:u w:val="single"/>
        </w:rPr>
      </w:pPr>
      <w:r>
        <w:rPr>
          <w:rFonts w:hint="eastAsia" w:ascii="宋体" w:hAnsi="宋体" w:cs="宋体"/>
          <w:color w:val="auto"/>
          <w:sz w:val="24"/>
        </w:rPr>
        <w:t>承包人使用养护路段产生的通行费的特殊约定：</w:t>
      </w:r>
      <w:r>
        <w:rPr>
          <w:rFonts w:hint="eastAsia" w:ascii="宋体" w:hAnsi="宋体" w:cs="宋体"/>
          <w:color w:val="auto"/>
          <w:sz w:val="24"/>
          <w:u w:val="single"/>
        </w:rPr>
        <w:t xml:space="preserve"> 承包人应按交通管理部门要求做好养护作业期间的交通导改，设置规范的警示标志、围挡及临时通行设施，确保车辆、行人通行安全，因承包人交通导改不当产生的交通罚款、赔偿责任，由承包人自行承担。</w:t>
      </w:r>
    </w:p>
    <w:p w14:paraId="184135FB">
      <w:pPr>
        <w:spacing w:before="271" w:line="219" w:lineRule="auto"/>
        <w:ind w:left="478"/>
        <w:outlineLvl w:val="3"/>
        <w:rPr>
          <w:rFonts w:ascii="宋体" w:hAnsi="宋体" w:cs="宋体"/>
          <w:color w:val="auto"/>
          <w:sz w:val="24"/>
        </w:rPr>
      </w:pPr>
      <w:r>
        <w:rPr>
          <w:rFonts w:eastAsia="Times New Roman"/>
          <w:b/>
          <w:bCs/>
          <w:color w:val="auto"/>
          <w:spacing w:val="-2"/>
          <w:sz w:val="24"/>
        </w:rPr>
        <w:t xml:space="preserve">7.3  </w:t>
      </w:r>
      <w:r>
        <w:rPr>
          <w:rFonts w:ascii="宋体" w:hAnsi="宋体" w:cs="宋体"/>
          <w:b/>
          <w:bCs/>
          <w:color w:val="auto"/>
          <w:spacing w:val="-2"/>
          <w:sz w:val="24"/>
        </w:rPr>
        <w:t>养护路段外交通</w:t>
      </w:r>
    </w:p>
    <w:p w14:paraId="20640744">
      <w:pPr>
        <w:spacing w:line="310" w:lineRule="auto"/>
        <w:ind w:firstLine="720" w:firstLineChars="300"/>
        <w:rPr>
          <w:rFonts w:ascii="宋体" w:hAnsi="宋体" w:cs="宋体"/>
          <w:color w:val="auto"/>
          <w:sz w:val="24"/>
          <w:u w:val="single"/>
        </w:rPr>
      </w:pPr>
      <w:r>
        <w:rPr>
          <w:rFonts w:hint="eastAsia" w:ascii="宋体" w:hAnsi="宋体" w:cs="宋体"/>
          <w:color w:val="auto"/>
          <w:sz w:val="24"/>
          <w:u w:val="single"/>
        </w:rPr>
        <w:t>7.3.1承包人养护管理车辆及作业车辆行驶养护路段外道路的通行费由承包人自行承担。</w:t>
      </w:r>
    </w:p>
    <w:p w14:paraId="357E92A3">
      <w:pPr>
        <w:spacing w:line="310" w:lineRule="auto"/>
        <w:ind w:firstLine="720" w:firstLineChars="300"/>
        <w:rPr>
          <w:rFonts w:ascii="宋体" w:hAnsi="宋体" w:cs="宋体"/>
          <w:color w:val="auto"/>
          <w:sz w:val="24"/>
          <w:u w:val="single"/>
        </w:rPr>
      </w:pPr>
      <w:r>
        <w:rPr>
          <w:rFonts w:hint="eastAsia" w:ascii="宋体" w:hAnsi="宋体" w:cs="宋体"/>
          <w:color w:val="auto"/>
          <w:sz w:val="24"/>
          <w:u w:val="single"/>
        </w:rPr>
        <w:t>7.3.2 承包人应遵守有关交通法规，严格按照道路和桥梁的限制荷重安全行驶，并服从交通管理部门的检查和监督。</w:t>
      </w:r>
    </w:p>
    <w:p w14:paraId="293678FA">
      <w:pPr>
        <w:spacing w:line="310" w:lineRule="auto"/>
        <w:ind w:firstLine="240" w:firstLineChars="100"/>
        <w:rPr>
          <w:rFonts w:ascii="宋体" w:hAnsi="宋体" w:cs="宋体"/>
          <w:color w:val="auto"/>
          <w:sz w:val="24"/>
          <w:u w:val="single"/>
        </w:rPr>
      </w:pPr>
      <w:r>
        <w:rPr>
          <w:rFonts w:hint="eastAsia" w:ascii="宋体" w:hAnsi="宋体" w:cs="宋体"/>
          <w:color w:val="auto"/>
          <w:sz w:val="24"/>
          <w:u w:val="single"/>
        </w:rPr>
        <w:t>（增加）</w:t>
      </w:r>
      <w:r>
        <w:rPr>
          <w:rFonts w:ascii="宋体" w:hAnsi="宋体" w:cs="宋体"/>
          <w:color w:val="auto"/>
          <w:sz w:val="24"/>
          <w:u w:val="single"/>
        </w:rPr>
        <w:t>7.3.3</w:t>
      </w:r>
      <w:r>
        <w:rPr>
          <w:rFonts w:hint="eastAsia" w:ascii="宋体" w:hAnsi="宋体" w:cs="宋体"/>
          <w:color w:val="auto"/>
          <w:sz w:val="24"/>
          <w:u w:val="single"/>
        </w:rPr>
        <w:t xml:space="preserve">为保证道路交通安全及运输畅通，承包人应采取以下措施： </w:t>
      </w:r>
    </w:p>
    <w:p w14:paraId="2D1B9C1F">
      <w:pPr>
        <w:spacing w:line="310" w:lineRule="auto"/>
        <w:ind w:firstLine="240" w:firstLineChars="100"/>
        <w:rPr>
          <w:rFonts w:ascii="宋体" w:hAnsi="宋体" w:cs="宋体"/>
          <w:color w:val="auto"/>
          <w:sz w:val="24"/>
          <w:u w:val="single"/>
        </w:rPr>
      </w:pPr>
      <w:r>
        <w:rPr>
          <w:rFonts w:hint="eastAsia" w:ascii="宋体" w:hAnsi="宋体" w:cs="宋体"/>
          <w:color w:val="auto"/>
          <w:sz w:val="24"/>
          <w:u w:val="single"/>
        </w:rPr>
        <w:t>当施工期间，因施工原因造成原有道路暂时堵塞时，承包人必须与交通和公安部门协商，采取足够的措施引导、疏通交通。但不管何种原因，因其交通堵塞时间均不能超过</w:t>
      </w:r>
      <w:r>
        <w:rPr>
          <w:rFonts w:ascii="宋体" w:hAnsi="宋体" w:cs="宋体"/>
          <w:color w:val="auto"/>
          <w:sz w:val="24"/>
          <w:u w:val="single"/>
        </w:rPr>
        <w:t>30</w:t>
      </w:r>
      <w:r>
        <w:rPr>
          <w:rFonts w:hint="eastAsia" w:ascii="宋体" w:hAnsi="宋体" w:cs="宋体"/>
          <w:color w:val="auto"/>
          <w:sz w:val="24"/>
          <w:u w:val="single"/>
        </w:rPr>
        <w:t>分钟。若堵塞交通超过上述规定的时间，将视为承包人违约按</w:t>
      </w:r>
      <w:r>
        <w:rPr>
          <w:rFonts w:ascii="宋体" w:hAnsi="宋体" w:cs="宋体"/>
          <w:color w:val="auto"/>
          <w:sz w:val="24"/>
          <w:u w:val="single"/>
        </w:rPr>
        <w:t>22.1</w:t>
      </w:r>
      <w:r>
        <w:rPr>
          <w:rFonts w:hint="eastAsia" w:ascii="宋体" w:hAnsi="宋体" w:cs="宋体"/>
          <w:color w:val="auto"/>
          <w:sz w:val="24"/>
          <w:u w:val="single"/>
        </w:rPr>
        <w:t xml:space="preserve">款等相关条款处理，同时咨询人（监理人）可指令采取任何措施疏通，一切费用由承包人承担。 </w:t>
      </w:r>
    </w:p>
    <w:p w14:paraId="7DD0EEE8">
      <w:pPr>
        <w:spacing w:line="310" w:lineRule="auto"/>
        <w:ind w:firstLine="240" w:firstLineChars="100"/>
        <w:rPr>
          <w:rFonts w:ascii="宋体" w:hAnsi="宋体" w:cs="宋体"/>
          <w:color w:val="auto"/>
          <w:sz w:val="24"/>
          <w:u w:val="single"/>
        </w:rPr>
      </w:pPr>
      <w:r>
        <w:rPr>
          <w:rFonts w:ascii="宋体" w:hAnsi="宋体" w:cs="宋体"/>
          <w:color w:val="auto"/>
          <w:sz w:val="24"/>
          <w:u w:val="single"/>
        </w:rPr>
        <w:t>7.3.4</w:t>
      </w:r>
      <w:r>
        <w:rPr>
          <w:rFonts w:hint="eastAsia" w:ascii="宋体" w:hAnsi="宋体" w:cs="宋体"/>
          <w:color w:val="auto"/>
          <w:sz w:val="24"/>
          <w:u w:val="single"/>
        </w:rPr>
        <w:t xml:space="preserve">承包人应加强文明施工，保障道路通畅的管理 </w:t>
      </w:r>
    </w:p>
    <w:p w14:paraId="42AAE258">
      <w:pPr>
        <w:spacing w:line="310" w:lineRule="auto"/>
        <w:ind w:firstLine="240" w:firstLineChars="100"/>
        <w:rPr>
          <w:rFonts w:ascii="宋体" w:hAnsi="宋体" w:cs="宋体"/>
          <w:color w:val="auto"/>
          <w:sz w:val="24"/>
          <w:u w:val="single"/>
        </w:rPr>
      </w:pPr>
      <w:r>
        <w:rPr>
          <w:rFonts w:hint="eastAsia" w:ascii="宋体" w:hAnsi="宋体" w:cs="宋体"/>
          <w:color w:val="auto"/>
          <w:sz w:val="24"/>
          <w:u w:val="single"/>
        </w:rPr>
        <w:t>（</w:t>
      </w:r>
      <w:r>
        <w:rPr>
          <w:rFonts w:ascii="宋体" w:hAnsi="宋体" w:cs="宋体"/>
          <w:color w:val="auto"/>
          <w:sz w:val="24"/>
          <w:u w:val="single"/>
        </w:rPr>
        <w:t>1</w:t>
      </w:r>
      <w:r>
        <w:rPr>
          <w:rFonts w:hint="eastAsia" w:ascii="宋体" w:hAnsi="宋体" w:cs="宋体"/>
          <w:color w:val="auto"/>
          <w:sz w:val="24"/>
          <w:u w:val="single"/>
        </w:rPr>
        <w:t xml:space="preserve">）承包人在施工期内应按国家、交通主管部门与公路管理机构有关文明施工，保障畅通的规定组织施工，对出现的交通堵塞无条件地采取措施进行疏通。 </w:t>
      </w:r>
    </w:p>
    <w:p w14:paraId="7E553911">
      <w:pPr>
        <w:spacing w:line="310" w:lineRule="auto"/>
        <w:ind w:firstLine="240" w:firstLineChars="100"/>
        <w:rPr>
          <w:rFonts w:ascii="宋体" w:hAnsi="宋体" w:cs="宋体"/>
          <w:color w:val="auto"/>
          <w:sz w:val="24"/>
          <w:u w:val="single"/>
        </w:rPr>
      </w:pPr>
      <w:r>
        <w:rPr>
          <w:rFonts w:hint="eastAsia" w:ascii="宋体" w:hAnsi="宋体" w:cs="宋体"/>
          <w:color w:val="auto"/>
          <w:sz w:val="24"/>
          <w:u w:val="single"/>
        </w:rPr>
        <w:t>（</w:t>
      </w:r>
      <w:r>
        <w:rPr>
          <w:rFonts w:ascii="宋体" w:hAnsi="宋体" w:cs="宋体"/>
          <w:color w:val="auto"/>
          <w:sz w:val="24"/>
          <w:u w:val="single"/>
        </w:rPr>
        <w:t>2</w:t>
      </w:r>
      <w:r>
        <w:rPr>
          <w:rFonts w:hint="eastAsia" w:ascii="宋体" w:hAnsi="宋体" w:cs="宋体"/>
          <w:color w:val="auto"/>
          <w:sz w:val="24"/>
          <w:u w:val="single"/>
        </w:rPr>
        <w:t>）对于精细化养护工程项目：不得在道路上堆放材料或占道施工影响交通和影响群众生活、生产的现象。</w:t>
      </w:r>
    </w:p>
    <w:p w14:paraId="41FEF25B">
      <w:pPr>
        <w:spacing w:before="104" w:line="219" w:lineRule="auto"/>
        <w:ind w:left="478"/>
        <w:outlineLvl w:val="3"/>
        <w:rPr>
          <w:rFonts w:ascii="宋体" w:hAnsi="宋体" w:cs="宋体"/>
          <w:color w:val="auto"/>
          <w:sz w:val="24"/>
        </w:rPr>
      </w:pPr>
      <w:r>
        <w:rPr>
          <w:rFonts w:eastAsia="Times New Roman"/>
          <w:b/>
          <w:bCs/>
          <w:color w:val="auto"/>
          <w:spacing w:val="-2"/>
          <w:sz w:val="24"/>
        </w:rPr>
        <w:t xml:space="preserve">7.4  </w:t>
      </w:r>
      <w:r>
        <w:rPr>
          <w:rFonts w:ascii="宋体" w:hAnsi="宋体" w:cs="宋体"/>
          <w:b/>
          <w:bCs/>
          <w:color w:val="auto"/>
          <w:spacing w:val="-2"/>
          <w:sz w:val="24"/>
        </w:rPr>
        <w:t>道路和桥梁的损坏责任</w:t>
      </w:r>
    </w:p>
    <w:p w14:paraId="634DEE13">
      <w:pPr>
        <w:spacing w:before="126" w:line="310" w:lineRule="auto"/>
        <w:ind w:right="164" w:firstLine="498"/>
        <w:rPr>
          <w:rFonts w:ascii="宋体" w:hAnsi="宋体" w:cs="宋体"/>
          <w:color w:val="auto"/>
          <w:sz w:val="24"/>
        </w:rPr>
      </w:pPr>
      <w:r>
        <w:rPr>
          <w:rFonts w:ascii="宋体" w:hAnsi="宋体" w:cs="宋体"/>
          <w:color w:val="auto"/>
          <w:sz w:val="24"/>
        </w:rPr>
        <w:t>因承包人运输造成养护路段内外道路和桥梁损坏的，由承包人承担修复损坏的</w:t>
      </w:r>
      <w:r>
        <w:rPr>
          <w:rFonts w:ascii="宋体" w:hAnsi="宋体" w:cs="宋体"/>
          <w:color w:val="auto"/>
          <w:spacing w:val="-1"/>
          <w:sz w:val="24"/>
        </w:rPr>
        <w:t>全部费用和可能引起的赔偿。</w:t>
      </w:r>
    </w:p>
    <w:p w14:paraId="4647D046">
      <w:pPr>
        <w:spacing w:before="304" w:line="220" w:lineRule="auto"/>
        <w:ind w:left="479"/>
        <w:outlineLvl w:val="2"/>
        <w:rPr>
          <w:rFonts w:ascii="宋体" w:hAnsi="宋体" w:cs="宋体"/>
          <w:color w:val="auto"/>
          <w:sz w:val="24"/>
        </w:rPr>
      </w:pPr>
      <w:bookmarkStart w:id="135" w:name="bookmark21"/>
      <w:bookmarkEnd w:id="135"/>
      <w:bookmarkStart w:id="136" w:name="bookmark22"/>
      <w:bookmarkEnd w:id="136"/>
      <w:r>
        <w:rPr>
          <w:rFonts w:eastAsia="Times New Roman"/>
          <w:b/>
          <w:bCs/>
          <w:color w:val="auto"/>
          <w:spacing w:val="-5"/>
          <w:sz w:val="24"/>
        </w:rPr>
        <w:t>8.</w:t>
      </w:r>
      <w:r>
        <w:rPr>
          <w:rFonts w:ascii="宋体" w:hAnsi="宋体" w:cs="宋体"/>
          <w:b/>
          <w:bCs/>
          <w:color w:val="auto"/>
          <w:spacing w:val="-5"/>
          <w:sz w:val="24"/>
        </w:rPr>
        <w:t>测量放线</w:t>
      </w:r>
    </w:p>
    <w:p w14:paraId="4C36CCEA">
      <w:pPr>
        <w:spacing w:before="258" w:line="220" w:lineRule="auto"/>
        <w:ind w:left="479"/>
        <w:outlineLvl w:val="3"/>
        <w:rPr>
          <w:rFonts w:ascii="宋体" w:hAnsi="宋体" w:cs="宋体"/>
          <w:color w:val="auto"/>
          <w:sz w:val="24"/>
        </w:rPr>
      </w:pPr>
      <w:r>
        <w:rPr>
          <w:rFonts w:eastAsia="Times New Roman"/>
          <w:b/>
          <w:bCs/>
          <w:color w:val="auto"/>
          <w:spacing w:val="-2"/>
          <w:sz w:val="24"/>
        </w:rPr>
        <w:t xml:space="preserve">8.1  </w:t>
      </w:r>
      <w:r>
        <w:rPr>
          <w:rFonts w:ascii="宋体" w:hAnsi="宋体" w:cs="宋体"/>
          <w:b/>
          <w:bCs/>
          <w:color w:val="auto"/>
          <w:spacing w:val="-2"/>
          <w:sz w:val="24"/>
        </w:rPr>
        <w:t>施工控制网</w:t>
      </w:r>
    </w:p>
    <w:p w14:paraId="6A7C59BD">
      <w:pPr>
        <w:spacing w:before="126" w:line="290" w:lineRule="auto"/>
        <w:ind w:right="164" w:firstLine="484"/>
        <w:rPr>
          <w:rFonts w:ascii="宋体" w:hAnsi="宋体" w:cs="宋体"/>
          <w:color w:val="auto"/>
          <w:sz w:val="24"/>
        </w:rPr>
      </w:pPr>
      <w:r>
        <w:rPr>
          <w:rFonts w:eastAsia="Times New Roman"/>
          <w:color w:val="auto"/>
          <w:spacing w:val="5"/>
          <w:sz w:val="24"/>
        </w:rPr>
        <w:t>8.1.1</w:t>
      </w:r>
      <w:r>
        <w:rPr>
          <w:rFonts w:ascii="宋体" w:hAnsi="宋体" w:cs="宋体"/>
          <w:color w:val="auto"/>
          <w:spacing w:val="5"/>
          <w:sz w:val="24"/>
        </w:rPr>
        <w:t>除专用合同条款另有约定外，发包人应通过咨</w:t>
      </w:r>
      <w:r>
        <w:rPr>
          <w:rFonts w:ascii="宋体" w:hAnsi="宋体" w:cs="宋体"/>
          <w:color w:val="auto"/>
          <w:spacing w:val="4"/>
          <w:sz w:val="24"/>
        </w:rPr>
        <w:t>询人向承包人提供测量基</w:t>
      </w:r>
      <w:r>
        <w:rPr>
          <w:rFonts w:ascii="宋体" w:hAnsi="宋体" w:cs="宋体"/>
          <w:color w:val="auto"/>
          <w:spacing w:val="1"/>
          <w:sz w:val="24"/>
        </w:rPr>
        <w:t>准点、基准线和水准点及其书面资料。除专用合同条款</w:t>
      </w:r>
      <w:r>
        <w:rPr>
          <w:rFonts w:ascii="宋体" w:hAnsi="宋体" w:cs="宋体"/>
          <w:color w:val="auto"/>
          <w:sz w:val="24"/>
        </w:rPr>
        <w:t>另有约定外，承包人应根据</w:t>
      </w:r>
      <w:r>
        <w:rPr>
          <w:rFonts w:ascii="宋体" w:hAnsi="宋体" w:cs="宋体"/>
          <w:color w:val="auto"/>
          <w:spacing w:val="1"/>
          <w:sz w:val="24"/>
        </w:rPr>
        <w:t>国家测绘基准、测绘系统和工程测量技术规范，按基准</w:t>
      </w:r>
      <w:r>
        <w:rPr>
          <w:rFonts w:ascii="宋体" w:hAnsi="宋体" w:cs="宋体"/>
          <w:color w:val="auto"/>
          <w:sz w:val="24"/>
        </w:rPr>
        <w:t>点（线）以及养护项目精度</w:t>
      </w:r>
      <w:r>
        <w:rPr>
          <w:rFonts w:ascii="宋体" w:hAnsi="宋体" w:cs="宋体"/>
          <w:color w:val="auto"/>
          <w:spacing w:val="1"/>
          <w:sz w:val="24"/>
        </w:rPr>
        <w:t>要求，测设施工控制网，并在专用合同条款约定的期限</w:t>
      </w:r>
      <w:r>
        <w:rPr>
          <w:rFonts w:ascii="宋体" w:hAnsi="宋体" w:cs="宋体"/>
          <w:color w:val="auto"/>
          <w:sz w:val="24"/>
        </w:rPr>
        <w:t>内，将施工控制网资料报送</w:t>
      </w:r>
      <w:r>
        <w:rPr>
          <w:rFonts w:ascii="宋体" w:hAnsi="宋体" w:cs="宋体"/>
          <w:color w:val="auto"/>
          <w:spacing w:val="-2"/>
          <w:sz w:val="24"/>
        </w:rPr>
        <w:t>咨询人审批。</w:t>
      </w:r>
    </w:p>
    <w:p w14:paraId="74306643">
      <w:pPr>
        <w:spacing w:before="112" w:line="279" w:lineRule="auto"/>
        <w:ind w:right="164" w:firstLine="485"/>
        <w:rPr>
          <w:rFonts w:ascii="宋体" w:hAnsi="宋体" w:cs="宋体"/>
          <w:color w:val="auto"/>
          <w:sz w:val="24"/>
        </w:rPr>
      </w:pPr>
      <w:r>
        <w:rPr>
          <w:rFonts w:eastAsia="Times New Roman"/>
          <w:color w:val="auto"/>
          <w:spacing w:val="5"/>
          <w:sz w:val="24"/>
        </w:rPr>
        <w:t xml:space="preserve">8.1.2 </w:t>
      </w:r>
      <w:r>
        <w:rPr>
          <w:rFonts w:ascii="宋体" w:hAnsi="宋体" w:cs="宋体"/>
          <w:color w:val="auto"/>
          <w:spacing w:val="5"/>
          <w:sz w:val="24"/>
        </w:rPr>
        <w:t>承包人应负责管理施工控制网点。施工控制网点丢失或损坏的，承包人</w:t>
      </w:r>
      <w:r>
        <w:rPr>
          <w:rFonts w:ascii="宋体" w:hAnsi="宋体" w:cs="宋体"/>
          <w:color w:val="auto"/>
          <w:spacing w:val="1"/>
          <w:sz w:val="24"/>
        </w:rPr>
        <w:t>应及时修复。承包人应承担施工控制网点的管理与修复费</w:t>
      </w:r>
      <w:r>
        <w:rPr>
          <w:rFonts w:ascii="宋体" w:hAnsi="宋体" w:cs="宋体"/>
          <w:color w:val="auto"/>
          <w:sz w:val="24"/>
        </w:rPr>
        <w:t>用，并在工程验收后将施</w:t>
      </w:r>
      <w:r>
        <w:rPr>
          <w:rFonts w:ascii="宋体" w:hAnsi="宋体" w:cs="宋体"/>
          <w:color w:val="auto"/>
          <w:spacing w:val="-1"/>
          <w:sz w:val="24"/>
        </w:rPr>
        <w:t>工控制网点移交发包人。</w:t>
      </w:r>
    </w:p>
    <w:p w14:paraId="42D09742">
      <w:pPr>
        <w:spacing w:before="112" w:line="264" w:lineRule="auto"/>
        <w:ind w:left="2" w:right="166" w:firstLine="482"/>
        <w:rPr>
          <w:rFonts w:ascii="宋体" w:hAnsi="宋体" w:cs="宋体"/>
          <w:color w:val="auto"/>
          <w:sz w:val="24"/>
        </w:rPr>
      </w:pPr>
      <w:r>
        <w:rPr>
          <w:rFonts w:eastAsia="Times New Roman"/>
          <w:color w:val="auto"/>
          <w:spacing w:val="4"/>
          <w:sz w:val="24"/>
        </w:rPr>
        <w:t xml:space="preserve">8.1.3  </w:t>
      </w:r>
      <w:r>
        <w:rPr>
          <w:rFonts w:ascii="宋体" w:hAnsi="宋体" w:cs="宋体"/>
          <w:color w:val="auto"/>
          <w:spacing w:val="4"/>
          <w:sz w:val="24"/>
        </w:rPr>
        <w:t>咨询人需要使用施工控制网的，承包</w:t>
      </w:r>
      <w:r>
        <w:rPr>
          <w:rFonts w:ascii="宋体" w:hAnsi="宋体" w:cs="宋体"/>
          <w:color w:val="auto"/>
          <w:spacing w:val="3"/>
          <w:sz w:val="24"/>
        </w:rPr>
        <w:t>人应提供必要的协助，发包人不再</w:t>
      </w:r>
      <w:r>
        <w:rPr>
          <w:rFonts w:ascii="宋体" w:hAnsi="宋体" w:cs="宋体"/>
          <w:color w:val="auto"/>
          <w:spacing w:val="-2"/>
          <w:sz w:val="24"/>
        </w:rPr>
        <w:t>为此支付费用。</w:t>
      </w:r>
    </w:p>
    <w:p w14:paraId="2EB00F04">
      <w:pPr>
        <w:spacing w:before="103" w:line="221" w:lineRule="auto"/>
        <w:ind w:left="479"/>
        <w:outlineLvl w:val="3"/>
        <w:rPr>
          <w:rFonts w:ascii="宋体" w:hAnsi="宋体" w:cs="宋体"/>
          <w:color w:val="auto"/>
          <w:sz w:val="24"/>
        </w:rPr>
      </w:pPr>
      <w:r>
        <w:rPr>
          <w:rFonts w:eastAsia="Times New Roman"/>
          <w:b/>
          <w:bCs/>
          <w:color w:val="auto"/>
          <w:spacing w:val="-2"/>
          <w:sz w:val="24"/>
        </w:rPr>
        <w:t xml:space="preserve">8.2  </w:t>
      </w:r>
      <w:r>
        <w:rPr>
          <w:rFonts w:ascii="宋体" w:hAnsi="宋体" w:cs="宋体"/>
          <w:b/>
          <w:bCs/>
          <w:color w:val="auto"/>
          <w:spacing w:val="-2"/>
          <w:sz w:val="24"/>
        </w:rPr>
        <w:t>施工测量</w:t>
      </w:r>
    </w:p>
    <w:p w14:paraId="53B00D10">
      <w:pPr>
        <w:spacing w:before="123" w:line="264" w:lineRule="auto"/>
        <w:ind w:right="180" w:firstLine="484"/>
        <w:rPr>
          <w:rFonts w:ascii="宋体" w:hAnsi="宋体" w:cs="宋体"/>
          <w:color w:val="auto"/>
          <w:sz w:val="24"/>
        </w:rPr>
      </w:pPr>
      <w:r>
        <w:rPr>
          <w:rFonts w:eastAsia="Times New Roman"/>
          <w:color w:val="auto"/>
          <w:spacing w:val="-1"/>
          <w:sz w:val="24"/>
        </w:rPr>
        <w:t xml:space="preserve">8.2.1 </w:t>
      </w:r>
      <w:r>
        <w:rPr>
          <w:rFonts w:ascii="宋体" w:hAnsi="宋体" w:cs="宋体"/>
          <w:color w:val="auto"/>
          <w:spacing w:val="-1"/>
          <w:sz w:val="24"/>
        </w:rPr>
        <w:t>承包人应负责施工过程中的全部</w:t>
      </w:r>
      <w:r>
        <w:rPr>
          <w:rFonts w:ascii="宋体" w:hAnsi="宋体" w:cs="宋体"/>
          <w:color w:val="auto"/>
          <w:spacing w:val="-2"/>
          <w:sz w:val="24"/>
        </w:rPr>
        <w:t>施工测量放线工作，并配置合格的人员、</w:t>
      </w:r>
      <w:r>
        <w:rPr>
          <w:rFonts w:ascii="宋体" w:hAnsi="宋体" w:cs="宋体"/>
          <w:color w:val="auto"/>
          <w:spacing w:val="-1"/>
          <w:sz w:val="24"/>
        </w:rPr>
        <w:t>仪器、设备和其他物品。</w:t>
      </w:r>
    </w:p>
    <w:p w14:paraId="0F41CDED">
      <w:pPr>
        <w:spacing w:before="116" w:line="263" w:lineRule="auto"/>
        <w:ind w:left="23" w:firstLine="461"/>
        <w:rPr>
          <w:rFonts w:ascii="宋体" w:hAnsi="宋体" w:cs="宋体"/>
          <w:color w:val="auto"/>
          <w:sz w:val="24"/>
        </w:rPr>
      </w:pPr>
      <w:r>
        <w:rPr>
          <w:rFonts w:eastAsia="Times New Roman"/>
          <w:color w:val="auto"/>
          <w:spacing w:val="5"/>
          <w:sz w:val="24"/>
        </w:rPr>
        <w:t>8.2.2</w:t>
      </w:r>
      <w:r>
        <w:rPr>
          <w:rFonts w:ascii="宋体" w:hAnsi="宋体" w:cs="宋体"/>
          <w:color w:val="auto"/>
          <w:spacing w:val="5"/>
          <w:sz w:val="24"/>
        </w:rPr>
        <w:t>咨询人可以指示承包人进行抽样复测，当复测中发现错误</w:t>
      </w:r>
      <w:r>
        <w:rPr>
          <w:rFonts w:ascii="宋体" w:hAnsi="宋体" w:cs="宋体"/>
          <w:color w:val="auto"/>
          <w:spacing w:val="4"/>
          <w:sz w:val="24"/>
        </w:rPr>
        <w:t>或出现超过合</w:t>
      </w:r>
      <w:r>
        <w:rPr>
          <w:rFonts w:ascii="宋体" w:hAnsi="宋体" w:cs="宋体"/>
          <w:color w:val="auto"/>
          <w:spacing w:val="-2"/>
          <w:sz w:val="24"/>
        </w:rPr>
        <w:t>同约定的误差时，承包人应按咨询人指示进行修正或补测，并承担相应的复测费用。</w:t>
      </w:r>
    </w:p>
    <w:p w14:paraId="12EDBF11">
      <w:pPr>
        <w:spacing w:before="106" w:line="219" w:lineRule="auto"/>
        <w:ind w:left="479"/>
        <w:outlineLvl w:val="3"/>
        <w:rPr>
          <w:rFonts w:ascii="宋体" w:hAnsi="宋体" w:cs="宋体"/>
          <w:color w:val="auto"/>
          <w:sz w:val="24"/>
        </w:rPr>
      </w:pPr>
      <w:r>
        <w:rPr>
          <w:rFonts w:eastAsia="Times New Roman"/>
          <w:b/>
          <w:bCs/>
          <w:color w:val="auto"/>
          <w:spacing w:val="-2"/>
          <w:sz w:val="24"/>
        </w:rPr>
        <w:t xml:space="preserve">8.3  </w:t>
      </w:r>
      <w:r>
        <w:rPr>
          <w:rFonts w:ascii="宋体" w:hAnsi="宋体" w:cs="宋体"/>
          <w:b/>
          <w:bCs/>
          <w:color w:val="auto"/>
          <w:spacing w:val="-2"/>
          <w:sz w:val="24"/>
        </w:rPr>
        <w:t>基准资料错误的责任</w:t>
      </w:r>
    </w:p>
    <w:p w14:paraId="6B7EE548">
      <w:pPr>
        <w:spacing w:before="122" w:line="309" w:lineRule="auto"/>
        <w:ind w:right="164" w:firstLine="483"/>
        <w:rPr>
          <w:rFonts w:ascii="宋体" w:hAnsi="宋体" w:cs="宋体"/>
          <w:color w:val="auto"/>
          <w:sz w:val="24"/>
        </w:rPr>
      </w:pPr>
      <w:r>
        <w:rPr>
          <w:rFonts w:ascii="宋体" w:hAnsi="宋体" w:cs="宋体"/>
          <w:color w:val="auto"/>
          <w:spacing w:val="1"/>
          <w:sz w:val="24"/>
        </w:rPr>
        <w:t>发包人应对其提供的测量基准点、基准线和水准</w:t>
      </w:r>
      <w:r>
        <w:rPr>
          <w:rFonts w:ascii="宋体" w:hAnsi="宋体" w:cs="宋体"/>
          <w:color w:val="auto"/>
          <w:sz w:val="24"/>
        </w:rPr>
        <w:t>点及其书面资料的真实性、准</w:t>
      </w:r>
      <w:r>
        <w:rPr>
          <w:rFonts w:ascii="宋体" w:hAnsi="宋体" w:cs="宋体"/>
          <w:color w:val="auto"/>
          <w:spacing w:val="1"/>
          <w:sz w:val="24"/>
        </w:rPr>
        <w:t>确性和完整性负责。发包人提供上述基准资料错误导致承</w:t>
      </w:r>
      <w:r>
        <w:rPr>
          <w:rFonts w:ascii="宋体" w:hAnsi="宋体" w:cs="宋体"/>
          <w:color w:val="auto"/>
          <w:sz w:val="24"/>
        </w:rPr>
        <w:t>包人测量放线工作的返工</w:t>
      </w:r>
      <w:r>
        <w:rPr>
          <w:rFonts w:ascii="宋体" w:hAnsi="宋体" w:cs="宋体"/>
          <w:color w:val="auto"/>
          <w:spacing w:val="1"/>
          <w:sz w:val="24"/>
        </w:rPr>
        <w:t>或造成工程损失的，发包人应当承担由此增加的费用和（</w:t>
      </w:r>
      <w:r>
        <w:rPr>
          <w:rFonts w:ascii="宋体" w:hAnsi="宋体" w:cs="宋体"/>
          <w:color w:val="auto"/>
          <w:sz w:val="24"/>
        </w:rPr>
        <w:t>或）工期延误，并向承包</w:t>
      </w:r>
      <w:r>
        <w:rPr>
          <w:rFonts w:ascii="宋体" w:hAnsi="宋体" w:cs="宋体"/>
          <w:color w:val="auto"/>
          <w:spacing w:val="1"/>
          <w:sz w:val="24"/>
        </w:rPr>
        <w:t>人支付合理利润。承包人发现发包人提供的上述基准资料</w:t>
      </w:r>
      <w:r>
        <w:rPr>
          <w:rFonts w:ascii="宋体" w:hAnsi="宋体" w:cs="宋体"/>
          <w:color w:val="auto"/>
          <w:sz w:val="24"/>
        </w:rPr>
        <w:t>存在明显错误或疏忽的，</w:t>
      </w:r>
      <w:r>
        <w:rPr>
          <w:rFonts w:ascii="宋体" w:hAnsi="宋体" w:cs="宋体"/>
          <w:color w:val="auto"/>
          <w:spacing w:val="-2"/>
          <w:sz w:val="24"/>
        </w:rPr>
        <w:t>应及时通知咨询人。</w:t>
      </w:r>
    </w:p>
    <w:p w14:paraId="22E3B78B">
      <w:pPr>
        <w:spacing w:before="192" w:line="219" w:lineRule="auto"/>
        <w:ind w:left="478"/>
        <w:outlineLvl w:val="2"/>
        <w:rPr>
          <w:rFonts w:ascii="宋体" w:hAnsi="宋体" w:cs="宋体"/>
          <w:color w:val="auto"/>
          <w:sz w:val="24"/>
        </w:rPr>
      </w:pPr>
      <w:bookmarkStart w:id="137" w:name="bookmark24"/>
      <w:bookmarkEnd w:id="137"/>
      <w:bookmarkStart w:id="138" w:name="bookmark23"/>
      <w:bookmarkEnd w:id="138"/>
      <w:r>
        <w:rPr>
          <w:rFonts w:eastAsia="Times New Roman"/>
          <w:b/>
          <w:bCs/>
          <w:color w:val="auto"/>
          <w:spacing w:val="-2"/>
          <w:sz w:val="24"/>
        </w:rPr>
        <w:t xml:space="preserve">9.  </w:t>
      </w:r>
      <w:r>
        <w:rPr>
          <w:rFonts w:ascii="宋体" w:hAnsi="宋体" w:cs="宋体"/>
          <w:b/>
          <w:bCs/>
          <w:color w:val="auto"/>
          <w:spacing w:val="-2"/>
          <w:sz w:val="24"/>
        </w:rPr>
        <w:t>养护作业安全、治安保卫和环境保护</w:t>
      </w:r>
    </w:p>
    <w:p w14:paraId="0C4AF37D">
      <w:pPr>
        <w:spacing w:before="260" w:line="219" w:lineRule="auto"/>
        <w:ind w:left="478"/>
        <w:outlineLvl w:val="3"/>
        <w:rPr>
          <w:rFonts w:ascii="宋体" w:hAnsi="宋体" w:cs="宋体"/>
          <w:color w:val="auto"/>
          <w:sz w:val="24"/>
        </w:rPr>
      </w:pPr>
      <w:r>
        <w:rPr>
          <w:rFonts w:eastAsia="Times New Roman"/>
          <w:b/>
          <w:bCs/>
          <w:color w:val="auto"/>
          <w:spacing w:val="-2"/>
          <w:sz w:val="24"/>
        </w:rPr>
        <w:t xml:space="preserve">9.1  </w:t>
      </w:r>
      <w:r>
        <w:rPr>
          <w:rFonts w:ascii="宋体" w:hAnsi="宋体" w:cs="宋体"/>
          <w:b/>
          <w:bCs/>
          <w:color w:val="auto"/>
          <w:spacing w:val="-2"/>
          <w:sz w:val="24"/>
        </w:rPr>
        <w:t>发包人的养护作业安全责任</w:t>
      </w:r>
    </w:p>
    <w:p w14:paraId="2B6331C8">
      <w:pPr>
        <w:spacing w:before="124" w:line="264" w:lineRule="auto"/>
        <w:ind w:left="29" w:right="148" w:firstLine="451"/>
        <w:rPr>
          <w:rFonts w:ascii="宋体" w:hAnsi="宋体" w:cs="宋体"/>
          <w:color w:val="auto"/>
          <w:sz w:val="24"/>
        </w:rPr>
      </w:pPr>
      <w:r>
        <w:rPr>
          <w:rFonts w:eastAsia="Times New Roman"/>
          <w:color w:val="auto"/>
          <w:spacing w:val="5"/>
          <w:sz w:val="24"/>
        </w:rPr>
        <w:t>9.1.1</w:t>
      </w:r>
      <w:r>
        <w:rPr>
          <w:rFonts w:ascii="宋体" w:hAnsi="宋体" w:cs="宋体"/>
          <w:color w:val="auto"/>
          <w:spacing w:val="5"/>
          <w:sz w:val="24"/>
        </w:rPr>
        <w:t>发包人应按合同约定履行安全职责，授权咨询人按合同约定的安全工作</w:t>
      </w:r>
      <w:r>
        <w:rPr>
          <w:rFonts w:ascii="宋体" w:hAnsi="宋体" w:cs="宋体"/>
          <w:color w:val="auto"/>
          <w:spacing w:val="-1"/>
          <w:sz w:val="24"/>
        </w:rPr>
        <w:t>内容监督、检查承包人安全工作的实施，组织承包人和有关单位进行</w:t>
      </w:r>
      <w:r>
        <w:rPr>
          <w:rFonts w:ascii="宋体" w:hAnsi="宋体" w:cs="宋体"/>
          <w:color w:val="auto"/>
          <w:spacing w:val="-2"/>
          <w:sz w:val="24"/>
        </w:rPr>
        <w:t>安全检查。</w:t>
      </w:r>
    </w:p>
    <w:p w14:paraId="2BB6000F">
      <w:pPr>
        <w:spacing w:before="112" w:line="264" w:lineRule="auto"/>
        <w:ind w:left="3" w:right="148" w:firstLine="476"/>
        <w:rPr>
          <w:rFonts w:ascii="宋体" w:hAnsi="宋体" w:cs="宋体"/>
          <w:color w:val="auto"/>
          <w:sz w:val="24"/>
        </w:rPr>
      </w:pPr>
      <w:r>
        <w:rPr>
          <w:rFonts w:eastAsia="Times New Roman"/>
          <w:color w:val="auto"/>
          <w:spacing w:val="5"/>
          <w:sz w:val="24"/>
        </w:rPr>
        <w:t>9.1.2</w:t>
      </w:r>
      <w:r>
        <w:rPr>
          <w:rFonts w:ascii="宋体" w:hAnsi="宋体" w:cs="宋体"/>
          <w:color w:val="auto"/>
          <w:spacing w:val="5"/>
          <w:sz w:val="24"/>
        </w:rPr>
        <w:t>发包人应对其现场管理机构雇佣的全部人员的工伤事故承担责任，但由</w:t>
      </w:r>
      <w:r>
        <w:rPr>
          <w:rFonts w:ascii="宋体" w:hAnsi="宋体" w:cs="宋体"/>
          <w:color w:val="auto"/>
          <w:spacing w:val="-1"/>
          <w:sz w:val="24"/>
        </w:rPr>
        <w:t>于承包人原因造成发包人人员工伤的，应由承包人承担责任。</w:t>
      </w:r>
    </w:p>
    <w:p w14:paraId="2CE6DBA3">
      <w:pPr>
        <w:spacing w:before="115" w:line="263" w:lineRule="auto"/>
        <w:ind w:right="147" w:firstLine="479"/>
        <w:rPr>
          <w:rFonts w:ascii="宋体" w:hAnsi="宋体" w:cs="宋体"/>
          <w:color w:val="auto"/>
          <w:sz w:val="24"/>
        </w:rPr>
      </w:pPr>
      <w:r>
        <w:rPr>
          <w:rFonts w:eastAsia="Times New Roman"/>
          <w:color w:val="auto"/>
          <w:spacing w:val="3"/>
          <w:sz w:val="24"/>
        </w:rPr>
        <w:t>9.1.3</w:t>
      </w:r>
      <w:r>
        <w:rPr>
          <w:rFonts w:ascii="宋体" w:hAnsi="宋体" w:cs="宋体"/>
          <w:color w:val="auto"/>
          <w:spacing w:val="3"/>
          <w:sz w:val="24"/>
        </w:rPr>
        <w:t>由于发包人原因在养护作业场地内及其毗邻地带造</w:t>
      </w:r>
      <w:r>
        <w:rPr>
          <w:rFonts w:ascii="宋体" w:hAnsi="宋体" w:cs="宋体"/>
          <w:color w:val="auto"/>
          <w:spacing w:val="2"/>
          <w:sz w:val="24"/>
        </w:rPr>
        <w:t>成的第三者人身伤亡</w:t>
      </w:r>
      <w:r>
        <w:rPr>
          <w:rFonts w:ascii="宋体" w:hAnsi="宋体" w:cs="宋体"/>
          <w:color w:val="auto"/>
          <w:spacing w:val="-1"/>
          <w:sz w:val="24"/>
        </w:rPr>
        <w:t>和财产损失，应由发包人负责赔偿。</w:t>
      </w:r>
    </w:p>
    <w:p w14:paraId="367D3870">
      <w:pPr>
        <w:spacing w:before="107" w:line="219" w:lineRule="auto"/>
        <w:ind w:left="478"/>
        <w:outlineLvl w:val="3"/>
        <w:rPr>
          <w:rFonts w:ascii="宋体" w:hAnsi="宋体" w:cs="宋体"/>
          <w:color w:val="auto"/>
          <w:sz w:val="24"/>
        </w:rPr>
      </w:pPr>
      <w:r>
        <w:rPr>
          <w:rFonts w:eastAsia="Times New Roman"/>
          <w:b/>
          <w:bCs/>
          <w:color w:val="auto"/>
          <w:spacing w:val="-2"/>
          <w:sz w:val="24"/>
        </w:rPr>
        <w:t xml:space="preserve">9.2  </w:t>
      </w:r>
      <w:r>
        <w:rPr>
          <w:rFonts w:ascii="宋体" w:hAnsi="宋体" w:cs="宋体"/>
          <w:b/>
          <w:bCs/>
          <w:color w:val="auto"/>
          <w:spacing w:val="-2"/>
          <w:sz w:val="24"/>
        </w:rPr>
        <w:t>承包人的养护作业安全责任</w:t>
      </w:r>
    </w:p>
    <w:p w14:paraId="54D0CADB">
      <w:pPr>
        <w:spacing w:before="127" w:line="307" w:lineRule="auto"/>
        <w:ind w:right="145" w:firstLine="480"/>
        <w:rPr>
          <w:rFonts w:ascii="宋体" w:hAnsi="宋体" w:cs="宋体"/>
          <w:color w:val="auto"/>
          <w:sz w:val="24"/>
        </w:rPr>
      </w:pPr>
      <w:r>
        <w:rPr>
          <w:rFonts w:eastAsia="Times New Roman"/>
          <w:color w:val="auto"/>
          <w:spacing w:val="4"/>
          <w:sz w:val="24"/>
        </w:rPr>
        <w:t xml:space="preserve">9.2.1  </w:t>
      </w:r>
      <w:r>
        <w:rPr>
          <w:rFonts w:ascii="宋体" w:hAnsi="宋体" w:cs="宋体"/>
          <w:color w:val="auto"/>
          <w:spacing w:val="4"/>
          <w:sz w:val="24"/>
        </w:rPr>
        <w:t>承包人应按合同约定履行安全职责，严格执行国</w:t>
      </w:r>
      <w:r>
        <w:rPr>
          <w:rFonts w:ascii="宋体" w:hAnsi="宋体" w:cs="宋体"/>
          <w:color w:val="auto"/>
          <w:spacing w:val="3"/>
          <w:sz w:val="24"/>
        </w:rPr>
        <w:t>家、地方政府有关安全</w:t>
      </w:r>
      <w:r>
        <w:rPr>
          <w:rFonts w:ascii="宋体" w:hAnsi="宋体" w:cs="宋体"/>
          <w:color w:val="auto"/>
          <w:spacing w:val="1"/>
          <w:sz w:val="24"/>
        </w:rPr>
        <w:t>管理方面的法律、法规、政策文件及技术标准，同时严格</w:t>
      </w:r>
      <w:r>
        <w:rPr>
          <w:rFonts w:ascii="宋体" w:hAnsi="宋体" w:cs="宋体"/>
          <w:color w:val="auto"/>
          <w:sz w:val="24"/>
        </w:rPr>
        <w:t>执行发包人制定的本项目</w:t>
      </w:r>
      <w:r>
        <w:rPr>
          <w:rFonts w:ascii="宋体" w:hAnsi="宋体" w:cs="宋体"/>
          <w:color w:val="auto"/>
          <w:spacing w:val="1"/>
          <w:sz w:val="24"/>
        </w:rPr>
        <w:t>安全生产管理方面的规章制度、安全检查程序及安全管理</w:t>
      </w:r>
      <w:r>
        <w:rPr>
          <w:rFonts w:ascii="宋体" w:hAnsi="宋体" w:cs="宋体"/>
          <w:color w:val="auto"/>
          <w:sz w:val="24"/>
        </w:rPr>
        <w:t>要求，以及咨询人有关安</w:t>
      </w:r>
      <w:r>
        <w:rPr>
          <w:rFonts w:ascii="宋体" w:hAnsi="宋体" w:cs="宋体"/>
          <w:color w:val="auto"/>
          <w:spacing w:val="-2"/>
          <w:sz w:val="24"/>
        </w:rPr>
        <w:t>全工作的指示。</w:t>
      </w:r>
    </w:p>
    <w:p w14:paraId="596EC5FC">
      <w:pPr>
        <w:spacing w:before="9" w:line="307" w:lineRule="auto"/>
        <w:ind w:firstLine="480"/>
        <w:rPr>
          <w:rFonts w:ascii="宋体" w:hAnsi="宋体" w:cs="宋体"/>
          <w:color w:val="auto"/>
          <w:sz w:val="24"/>
        </w:rPr>
      </w:pPr>
      <w:r>
        <w:rPr>
          <w:rFonts w:ascii="宋体" w:hAnsi="宋体" w:cs="宋体"/>
          <w:color w:val="auto"/>
          <w:spacing w:val="2"/>
          <w:sz w:val="24"/>
        </w:rPr>
        <w:t>承包人应根据养护项目的实际安全施工要求，</w:t>
      </w:r>
      <w:r>
        <w:rPr>
          <w:rFonts w:ascii="宋体" w:hAnsi="宋体" w:cs="宋体"/>
          <w:color w:val="auto"/>
          <w:spacing w:val="1"/>
          <w:sz w:val="24"/>
        </w:rPr>
        <w:t>编制实施性施工安全组织设计，</w:t>
      </w:r>
      <w:r>
        <w:rPr>
          <w:rFonts w:ascii="宋体" w:hAnsi="宋体" w:cs="宋体"/>
          <w:color w:val="auto"/>
          <w:sz w:val="24"/>
        </w:rPr>
        <w:t>并在签订合同协议书后</w:t>
      </w:r>
      <w:r>
        <w:rPr>
          <w:rFonts w:eastAsia="Times New Roman"/>
          <w:color w:val="auto"/>
          <w:sz w:val="24"/>
        </w:rPr>
        <w:t>7</w:t>
      </w:r>
      <w:r>
        <w:rPr>
          <w:rFonts w:ascii="宋体" w:hAnsi="宋体" w:cs="宋体"/>
          <w:color w:val="auto"/>
          <w:sz w:val="24"/>
        </w:rPr>
        <w:t>天内，报咨询人和发包人批准。该实施性施工安全组织设</w:t>
      </w:r>
      <w:r>
        <w:rPr>
          <w:rFonts w:ascii="宋体" w:hAnsi="宋体" w:cs="宋体"/>
          <w:color w:val="auto"/>
          <w:spacing w:val="1"/>
          <w:sz w:val="24"/>
        </w:rPr>
        <w:t>计包括（但不限于）施工安全保障体系，交通安全保障方案，安全生产责任制度，安全生产管理规章制度，安全防护施工方案，养护安全作</w:t>
      </w:r>
      <w:r>
        <w:rPr>
          <w:rFonts w:ascii="宋体" w:hAnsi="宋体" w:cs="宋体"/>
          <w:color w:val="auto"/>
          <w:sz w:val="24"/>
        </w:rPr>
        <w:t>业方案，施工现场临时用</w:t>
      </w:r>
      <w:r>
        <w:rPr>
          <w:rFonts w:ascii="宋体" w:hAnsi="宋体" w:cs="宋体"/>
          <w:color w:val="auto"/>
          <w:spacing w:val="1"/>
          <w:sz w:val="24"/>
        </w:rPr>
        <w:t>电方案，施工安全风险评估，安全预控及保证措施方案，</w:t>
      </w:r>
      <w:r>
        <w:rPr>
          <w:rFonts w:ascii="宋体" w:hAnsi="宋体" w:cs="宋体"/>
          <w:color w:val="auto"/>
          <w:sz w:val="24"/>
        </w:rPr>
        <w:t>应急预案，安全标识、警</w:t>
      </w:r>
      <w:r>
        <w:rPr>
          <w:rFonts w:ascii="宋体" w:hAnsi="宋体" w:cs="宋体"/>
          <w:color w:val="auto"/>
          <w:spacing w:val="-2"/>
          <w:sz w:val="24"/>
        </w:rPr>
        <w:t>示和围护方案等。对影响安全的重要工序和危险性较大的工程应编制专项施工方案，</w:t>
      </w:r>
      <w:r>
        <w:rPr>
          <w:rFonts w:ascii="宋体" w:hAnsi="宋体" w:cs="宋体"/>
          <w:color w:val="auto"/>
          <w:spacing w:val="1"/>
          <w:sz w:val="24"/>
        </w:rPr>
        <w:t>并附安全验算结果，经承包人技术负责人签名并报咨询人</w:t>
      </w:r>
      <w:r>
        <w:rPr>
          <w:rFonts w:ascii="宋体" w:hAnsi="宋体" w:cs="宋体"/>
          <w:color w:val="auto"/>
          <w:sz w:val="24"/>
        </w:rPr>
        <w:t>和发包人批准后实施，由</w:t>
      </w:r>
      <w:r>
        <w:rPr>
          <w:rFonts w:ascii="宋体" w:hAnsi="宋体" w:cs="宋体"/>
          <w:color w:val="auto"/>
          <w:spacing w:val="-1"/>
          <w:sz w:val="24"/>
        </w:rPr>
        <w:t>专职安全生产管理人员进行现场监督。</w:t>
      </w:r>
    </w:p>
    <w:p w14:paraId="081EA622">
      <w:pPr>
        <w:spacing w:before="1" w:line="307" w:lineRule="auto"/>
        <w:ind w:left="1" w:firstLine="487"/>
        <w:rPr>
          <w:rFonts w:ascii="宋体" w:hAnsi="宋体" w:cs="宋体"/>
          <w:color w:val="auto"/>
          <w:sz w:val="24"/>
        </w:rPr>
      </w:pPr>
      <w:r>
        <w:rPr>
          <w:rFonts w:ascii="宋体" w:hAnsi="宋体" w:cs="宋体"/>
          <w:color w:val="auto"/>
          <w:spacing w:val="-2"/>
          <w:sz w:val="24"/>
        </w:rPr>
        <w:t>咨询人和发包人在检查中发现有安全问题或有违反安全管理</w:t>
      </w:r>
      <w:r>
        <w:rPr>
          <w:rFonts w:ascii="宋体" w:hAnsi="宋体" w:cs="宋体"/>
          <w:color w:val="auto"/>
          <w:spacing w:val="-3"/>
          <w:sz w:val="24"/>
        </w:rPr>
        <w:t>规章制度的情况时，</w:t>
      </w:r>
      <w:r>
        <w:rPr>
          <w:rFonts w:ascii="宋体" w:hAnsi="宋体" w:cs="宋体"/>
          <w:color w:val="auto"/>
          <w:spacing w:val="-1"/>
          <w:sz w:val="24"/>
        </w:rPr>
        <w:t>可视为承包人违约，应按第</w:t>
      </w:r>
      <w:r>
        <w:rPr>
          <w:rFonts w:eastAsia="Times New Roman"/>
          <w:color w:val="auto"/>
          <w:spacing w:val="-1"/>
          <w:sz w:val="24"/>
        </w:rPr>
        <w:t xml:space="preserve">22.1 </w:t>
      </w:r>
      <w:r>
        <w:rPr>
          <w:rFonts w:ascii="宋体" w:hAnsi="宋体" w:cs="宋体"/>
          <w:color w:val="auto"/>
          <w:spacing w:val="-1"/>
          <w:sz w:val="24"/>
        </w:rPr>
        <w:t>款的规定办理。</w:t>
      </w:r>
    </w:p>
    <w:p w14:paraId="15BEFEA8">
      <w:pPr>
        <w:spacing w:line="278" w:lineRule="auto"/>
        <w:ind w:right="145" w:firstLine="480"/>
        <w:rPr>
          <w:rFonts w:ascii="宋体" w:hAnsi="宋体" w:cs="宋体"/>
          <w:color w:val="auto"/>
          <w:sz w:val="24"/>
        </w:rPr>
      </w:pPr>
      <w:r>
        <w:rPr>
          <w:rFonts w:eastAsia="Times New Roman"/>
          <w:color w:val="auto"/>
          <w:spacing w:val="4"/>
          <w:sz w:val="24"/>
        </w:rPr>
        <w:t xml:space="preserve">9.2.2  </w:t>
      </w:r>
      <w:r>
        <w:rPr>
          <w:rFonts w:ascii="宋体" w:hAnsi="宋体" w:cs="宋体"/>
          <w:color w:val="auto"/>
          <w:spacing w:val="4"/>
          <w:sz w:val="24"/>
        </w:rPr>
        <w:t>承包人应加强养护作业安全管理，特别应加强对</w:t>
      </w:r>
      <w:r>
        <w:rPr>
          <w:rFonts w:ascii="宋体" w:hAnsi="宋体" w:cs="宋体"/>
          <w:color w:val="auto"/>
          <w:spacing w:val="3"/>
          <w:sz w:val="24"/>
        </w:rPr>
        <w:t>易燃、易爆材料、火工</w:t>
      </w:r>
      <w:r>
        <w:rPr>
          <w:rFonts w:ascii="宋体" w:hAnsi="宋体" w:cs="宋体"/>
          <w:color w:val="auto"/>
          <w:spacing w:val="1"/>
          <w:sz w:val="24"/>
        </w:rPr>
        <w:t>器材、有毒与腐蚀性材料和其他危险品的管理，以及对爆</w:t>
      </w:r>
      <w:r>
        <w:rPr>
          <w:rFonts w:ascii="宋体" w:hAnsi="宋体" w:cs="宋体"/>
          <w:color w:val="auto"/>
          <w:sz w:val="24"/>
        </w:rPr>
        <w:t>破作业和地下工程施工等</w:t>
      </w:r>
      <w:r>
        <w:rPr>
          <w:rFonts w:ascii="宋体" w:hAnsi="宋体" w:cs="宋体"/>
          <w:color w:val="auto"/>
          <w:spacing w:val="-2"/>
          <w:sz w:val="24"/>
        </w:rPr>
        <w:t>危险作业的管理。</w:t>
      </w:r>
    </w:p>
    <w:p w14:paraId="742EF77B">
      <w:pPr>
        <w:spacing w:before="116" w:line="278" w:lineRule="auto"/>
        <w:ind w:right="145" w:firstLine="479"/>
        <w:rPr>
          <w:rFonts w:ascii="宋体" w:hAnsi="宋体" w:cs="宋体"/>
          <w:color w:val="auto"/>
          <w:sz w:val="24"/>
        </w:rPr>
      </w:pPr>
      <w:r>
        <w:rPr>
          <w:rFonts w:eastAsia="Times New Roman"/>
          <w:color w:val="auto"/>
          <w:spacing w:val="4"/>
          <w:sz w:val="24"/>
        </w:rPr>
        <w:t xml:space="preserve">9.2.3  </w:t>
      </w:r>
      <w:r>
        <w:rPr>
          <w:rFonts w:ascii="宋体" w:hAnsi="宋体" w:cs="宋体"/>
          <w:color w:val="auto"/>
          <w:spacing w:val="4"/>
          <w:sz w:val="24"/>
        </w:rPr>
        <w:t>承包人应严格按照国家安全标准制定养护作业安</w:t>
      </w:r>
      <w:r>
        <w:rPr>
          <w:rFonts w:ascii="宋体" w:hAnsi="宋体" w:cs="宋体"/>
          <w:color w:val="auto"/>
          <w:spacing w:val="3"/>
          <w:sz w:val="24"/>
        </w:rPr>
        <w:t>全操作规程，配备必要</w:t>
      </w:r>
      <w:r>
        <w:rPr>
          <w:rFonts w:ascii="宋体" w:hAnsi="宋体" w:cs="宋体"/>
          <w:color w:val="auto"/>
          <w:spacing w:val="1"/>
          <w:sz w:val="24"/>
        </w:rPr>
        <w:t>的安全生产和劳动保护设施，加强对承包人人员的安全</w:t>
      </w:r>
      <w:r>
        <w:rPr>
          <w:rFonts w:ascii="宋体" w:hAnsi="宋体" w:cs="宋体"/>
          <w:color w:val="auto"/>
          <w:sz w:val="24"/>
        </w:rPr>
        <w:t>教育，并发放安全工作手册</w:t>
      </w:r>
      <w:r>
        <w:rPr>
          <w:rFonts w:ascii="宋体" w:hAnsi="宋体" w:cs="宋体"/>
          <w:color w:val="auto"/>
          <w:spacing w:val="-2"/>
          <w:sz w:val="24"/>
        </w:rPr>
        <w:t>和劳动保护用具。</w:t>
      </w:r>
    </w:p>
    <w:p w14:paraId="3288224C">
      <w:pPr>
        <w:spacing w:before="116" w:line="278" w:lineRule="auto"/>
        <w:ind w:right="145" w:firstLine="480"/>
        <w:rPr>
          <w:rFonts w:ascii="宋体" w:hAnsi="宋体" w:cs="宋体"/>
          <w:color w:val="auto"/>
          <w:sz w:val="24"/>
        </w:rPr>
      </w:pPr>
      <w:r>
        <w:rPr>
          <w:rFonts w:eastAsia="Times New Roman"/>
          <w:color w:val="auto"/>
          <w:spacing w:val="4"/>
          <w:sz w:val="24"/>
        </w:rPr>
        <w:t xml:space="preserve">9.2.4  </w:t>
      </w:r>
      <w:r>
        <w:rPr>
          <w:rFonts w:ascii="宋体" w:hAnsi="宋体" w:cs="宋体"/>
          <w:color w:val="auto"/>
          <w:spacing w:val="4"/>
          <w:sz w:val="24"/>
        </w:rPr>
        <w:t>承包人应按咨询人的指示制定应对灾害的应急预案，报</w:t>
      </w:r>
      <w:r>
        <w:rPr>
          <w:rFonts w:ascii="宋体" w:hAnsi="宋体" w:cs="宋体"/>
          <w:color w:val="auto"/>
          <w:spacing w:val="3"/>
          <w:sz w:val="24"/>
        </w:rPr>
        <w:t>送咨询人审批。</w:t>
      </w:r>
      <w:r>
        <w:rPr>
          <w:rFonts w:ascii="宋体" w:hAnsi="宋体" w:cs="宋体"/>
          <w:color w:val="auto"/>
          <w:spacing w:val="1"/>
          <w:sz w:val="24"/>
        </w:rPr>
        <w:t>承包人还应按预案做好安全检查，配置必要的救助物资和</w:t>
      </w:r>
      <w:r>
        <w:rPr>
          <w:rFonts w:ascii="宋体" w:hAnsi="宋体" w:cs="宋体"/>
          <w:color w:val="auto"/>
          <w:sz w:val="24"/>
        </w:rPr>
        <w:t>器材，切实保护好有关人</w:t>
      </w:r>
      <w:r>
        <w:rPr>
          <w:rFonts w:ascii="宋体" w:hAnsi="宋体" w:cs="宋体"/>
          <w:color w:val="auto"/>
          <w:spacing w:val="-1"/>
          <w:sz w:val="24"/>
        </w:rPr>
        <w:t>员的人身和财产安全。</w:t>
      </w:r>
    </w:p>
    <w:p w14:paraId="7721D695">
      <w:pPr>
        <w:spacing w:before="116" w:line="263" w:lineRule="auto"/>
        <w:ind w:left="45" w:right="145" w:firstLine="434"/>
        <w:rPr>
          <w:rFonts w:ascii="宋体" w:hAnsi="宋体" w:cs="宋体"/>
          <w:color w:val="auto"/>
          <w:sz w:val="24"/>
        </w:rPr>
      </w:pPr>
      <w:r>
        <w:rPr>
          <w:rFonts w:eastAsia="Times New Roman"/>
          <w:color w:val="auto"/>
          <w:spacing w:val="3"/>
          <w:sz w:val="24"/>
        </w:rPr>
        <w:t>9.2.5</w:t>
      </w:r>
      <w:r>
        <w:rPr>
          <w:rFonts w:ascii="宋体" w:hAnsi="宋体" w:cs="宋体"/>
          <w:color w:val="auto"/>
          <w:spacing w:val="3"/>
          <w:sz w:val="24"/>
        </w:rPr>
        <w:t>安全生产费用按照专用合同条款约定的金额在工程量清单</w:t>
      </w:r>
      <w:r>
        <w:rPr>
          <w:rFonts w:eastAsia="Times New Roman"/>
          <w:color w:val="auto"/>
          <w:spacing w:val="3"/>
          <w:sz w:val="24"/>
        </w:rPr>
        <w:t>100</w:t>
      </w:r>
      <w:r>
        <w:rPr>
          <w:rFonts w:ascii="宋体" w:hAnsi="宋体" w:cs="宋体"/>
          <w:color w:val="auto"/>
          <w:spacing w:val="3"/>
          <w:sz w:val="24"/>
        </w:rPr>
        <w:t>章相关子</w:t>
      </w:r>
      <w:r>
        <w:rPr>
          <w:rFonts w:ascii="宋体" w:hAnsi="宋体" w:cs="宋体"/>
          <w:color w:val="auto"/>
          <w:spacing w:val="-1"/>
          <w:sz w:val="24"/>
        </w:rPr>
        <w:t>目中计取。安全生产费用应用于施工安全防护用具及设施的采购和更新、安全施工</w:t>
      </w:r>
      <w:bookmarkStart w:id="139" w:name="bookmark217"/>
      <w:bookmarkEnd w:id="139"/>
      <w:r>
        <w:rPr>
          <w:rFonts w:ascii="宋体" w:hAnsi="宋体" w:cs="宋体"/>
          <w:color w:val="auto"/>
          <w:spacing w:val="1"/>
          <w:sz w:val="24"/>
        </w:rPr>
        <w:t>措施的落实、安全生产条件的改善，不得挪作他用。如承</w:t>
      </w:r>
      <w:r>
        <w:rPr>
          <w:rFonts w:ascii="宋体" w:hAnsi="宋体" w:cs="宋体"/>
          <w:color w:val="auto"/>
          <w:sz w:val="24"/>
        </w:rPr>
        <w:t>包人在此基础上增加安全</w:t>
      </w:r>
      <w:r>
        <w:rPr>
          <w:rFonts w:ascii="宋体" w:hAnsi="宋体" w:cs="宋体"/>
          <w:color w:val="auto"/>
          <w:spacing w:val="1"/>
          <w:sz w:val="24"/>
        </w:rPr>
        <w:t>生产费用以满足项目养护作业需要，则承包人应在本项目工</w:t>
      </w:r>
      <w:r>
        <w:rPr>
          <w:rFonts w:ascii="宋体" w:hAnsi="宋体" w:cs="宋体"/>
          <w:color w:val="auto"/>
          <w:sz w:val="24"/>
        </w:rPr>
        <w:t>程量清单其他相关子目</w:t>
      </w:r>
      <w:r>
        <w:rPr>
          <w:rFonts w:ascii="宋体" w:hAnsi="宋体" w:cs="宋体"/>
          <w:color w:val="auto"/>
          <w:spacing w:val="1"/>
          <w:sz w:val="24"/>
        </w:rPr>
        <w:t>的单价或总价中予以考虑，发包人不再另行支付。因采取合</w:t>
      </w:r>
      <w:r>
        <w:rPr>
          <w:rFonts w:ascii="宋体" w:hAnsi="宋体" w:cs="宋体"/>
          <w:color w:val="auto"/>
          <w:sz w:val="24"/>
        </w:rPr>
        <w:t>同未约定的特殊防护措</w:t>
      </w:r>
      <w:r>
        <w:rPr>
          <w:rFonts w:ascii="宋体" w:hAnsi="宋体" w:cs="宋体"/>
          <w:color w:val="auto"/>
          <w:spacing w:val="-1"/>
          <w:sz w:val="24"/>
        </w:rPr>
        <w:t>施增加的费用，由咨询人按第</w:t>
      </w:r>
      <w:r>
        <w:rPr>
          <w:rFonts w:eastAsia="Times New Roman"/>
          <w:color w:val="auto"/>
          <w:spacing w:val="-1"/>
          <w:sz w:val="24"/>
        </w:rPr>
        <w:t xml:space="preserve">3.5 </w:t>
      </w:r>
      <w:r>
        <w:rPr>
          <w:rFonts w:ascii="宋体" w:hAnsi="宋体" w:cs="宋体"/>
          <w:color w:val="auto"/>
          <w:spacing w:val="-1"/>
          <w:sz w:val="24"/>
        </w:rPr>
        <w:t>款商定或确定。</w:t>
      </w:r>
    </w:p>
    <w:p w14:paraId="674DF742">
      <w:pPr>
        <w:spacing w:before="2" w:line="262" w:lineRule="auto"/>
        <w:ind w:right="2" w:firstLine="480"/>
        <w:rPr>
          <w:rFonts w:ascii="宋体" w:hAnsi="宋体" w:cs="宋体"/>
          <w:color w:val="auto"/>
          <w:sz w:val="24"/>
        </w:rPr>
      </w:pPr>
      <w:r>
        <w:rPr>
          <w:rFonts w:eastAsia="Times New Roman"/>
          <w:color w:val="auto"/>
          <w:spacing w:val="4"/>
          <w:sz w:val="24"/>
        </w:rPr>
        <w:t xml:space="preserve">9.2.6  </w:t>
      </w:r>
      <w:r>
        <w:rPr>
          <w:rFonts w:ascii="宋体" w:hAnsi="宋体" w:cs="宋体"/>
          <w:color w:val="auto"/>
          <w:spacing w:val="4"/>
          <w:sz w:val="24"/>
        </w:rPr>
        <w:t>承包人应对其履行合同所雇佣的全部人员，包括</w:t>
      </w:r>
      <w:r>
        <w:rPr>
          <w:rFonts w:ascii="宋体" w:hAnsi="宋体" w:cs="宋体"/>
          <w:color w:val="auto"/>
          <w:spacing w:val="3"/>
          <w:sz w:val="24"/>
        </w:rPr>
        <w:t>分包人人员的工伤事故</w:t>
      </w:r>
      <w:r>
        <w:rPr>
          <w:rFonts w:ascii="宋体" w:hAnsi="宋体" w:cs="宋体"/>
          <w:color w:val="auto"/>
          <w:sz w:val="24"/>
        </w:rPr>
        <w:t>承担责任，但由于发包人原因造成承包人人员工伤事故的</w:t>
      </w:r>
      <w:r>
        <w:rPr>
          <w:rFonts w:ascii="宋体" w:hAnsi="宋体" w:cs="宋体"/>
          <w:color w:val="auto"/>
          <w:spacing w:val="-1"/>
          <w:sz w:val="24"/>
        </w:rPr>
        <w:t>，应由发包人承担责任。</w:t>
      </w:r>
    </w:p>
    <w:p w14:paraId="561D45B7">
      <w:pPr>
        <w:spacing w:before="115" w:line="264" w:lineRule="auto"/>
        <w:ind w:left="1" w:right="2" w:firstLine="479"/>
        <w:rPr>
          <w:rFonts w:ascii="宋体" w:hAnsi="宋体" w:cs="宋体"/>
          <w:color w:val="auto"/>
          <w:sz w:val="24"/>
        </w:rPr>
      </w:pPr>
      <w:r>
        <w:rPr>
          <w:rFonts w:eastAsia="Times New Roman"/>
          <w:color w:val="auto"/>
          <w:spacing w:val="3"/>
          <w:sz w:val="24"/>
        </w:rPr>
        <w:t>9.2.7</w:t>
      </w:r>
      <w:r>
        <w:rPr>
          <w:rFonts w:ascii="宋体" w:hAnsi="宋体" w:cs="宋体"/>
          <w:color w:val="auto"/>
          <w:spacing w:val="3"/>
          <w:sz w:val="24"/>
        </w:rPr>
        <w:t>由于承包人原因在养护作业场地内及其毗邻地带造</w:t>
      </w:r>
      <w:r>
        <w:rPr>
          <w:rFonts w:ascii="宋体" w:hAnsi="宋体" w:cs="宋体"/>
          <w:color w:val="auto"/>
          <w:spacing w:val="2"/>
          <w:sz w:val="24"/>
        </w:rPr>
        <w:t>成的第三者人员伤亡</w:t>
      </w:r>
      <w:r>
        <w:rPr>
          <w:rFonts w:ascii="宋体" w:hAnsi="宋体" w:cs="宋体"/>
          <w:color w:val="auto"/>
          <w:spacing w:val="-1"/>
          <w:sz w:val="24"/>
        </w:rPr>
        <w:t>和财产损失，由承包人负责赔偿。</w:t>
      </w:r>
    </w:p>
    <w:p w14:paraId="499D087E">
      <w:pPr>
        <w:spacing w:before="111" w:line="279" w:lineRule="auto"/>
        <w:ind w:left="1" w:firstLine="479"/>
        <w:rPr>
          <w:rFonts w:ascii="宋体" w:hAnsi="宋体" w:cs="宋体"/>
          <w:color w:val="auto"/>
          <w:sz w:val="24"/>
        </w:rPr>
      </w:pPr>
      <w:r>
        <w:rPr>
          <w:rFonts w:eastAsia="Times New Roman"/>
          <w:color w:val="auto"/>
          <w:spacing w:val="4"/>
          <w:sz w:val="24"/>
        </w:rPr>
        <w:t xml:space="preserve">9.2.8  </w:t>
      </w:r>
      <w:r>
        <w:rPr>
          <w:rFonts w:ascii="宋体" w:hAnsi="宋体" w:cs="宋体"/>
          <w:color w:val="auto"/>
          <w:spacing w:val="4"/>
          <w:sz w:val="24"/>
        </w:rPr>
        <w:t>承包人应充分关注和保障所有在现场工作的人员</w:t>
      </w:r>
      <w:r>
        <w:rPr>
          <w:rFonts w:ascii="宋体" w:hAnsi="宋体" w:cs="宋体"/>
          <w:color w:val="auto"/>
          <w:spacing w:val="3"/>
          <w:sz w:val="24"/>
        </w:rPr>
        <w:t>的安全，按专用合同条</w:t>
      </w:r>
      <w:r>
        <w:rPr>
          <w:rFonts w:ascii="宋体" w:hAnsi="宋体" w:cs="宋体"/>
          <w:color w:val="auto"/>
          <w:spacing w:val="1"/>
          <w:sz w:val="24"/>
        </w:rPr>
        <w:t>款约定的数量和条件在施工现场配置专职安全生产管理</w:t>
      </w:r>
      <w:r>
        <w:rPr>
          <w:rFonts w:ascii="宋体" w:hAnsi="宋体" w:cs="宋体"/>
          <w:color w:val="auto"/>
          <w:sz w:val="24"/>
        </w:rPr>
        <w:t>人员；对所有施工机具设备和高空作业设备均应定期检查，并有专职安全</w:t>
      </w:r>
      <w:r>
        <w:rPr>
          <w:rFonts w:ascii="宋体" w:hAnsi="宋体" w:cs="宋体"/>
          <w:color w:val="auto"/>
          <w:spacing w:val="-1"/>
          <w:sz w:val="24"/>
        </w:rPr>
        <w:t>生产管理人员的签名记录。</w:t>
      </w:r>
    </w:p>
    <w:p w14:paraId="40BB3190">
      <w:pPr>
        <w:spacing w:before="115" w:line="293" w:lineRule="auto"/>
        <w:ind w:left="2" w:firstLine="478"/>
        <w:rPr>
          <w:rFonts w:ascii="宋体" w:hAnsi="宋体" w:cs="宋体"/>
          <w:color w:val="auto"/>
          <w:sz w:val="24"/>
        </w:rPr>
      </w:pPr>
      <w:r>
        <w:rPr>
          <w:rFonts w:eastAsia="Times New Roman"/>
          <w:color w:val="auto"/>
          <w:spacing w:val="4"/>
          <w:sz w:val="24"/>
        </w:rPr>
        <w:t xml:space="preserve">9.2.9  </w:t>
      </w:r>
      <w:r>
        <w:rPr>
          <w:rFonts w:ascii="宋体" w:hAnsi="宋体" w:cs="宋体"/>
          <w:color w:val="auto"/>
          <w:spacing w:val="4"/>
          <w:sz w:val="24"/>
        </w:rPr>
        <w:t>承包人应办理养护路段作业的有关许可手续，并</w:t>
      </w:r>
      <w:r>
        <w:rPr>
          <w:rFonts w:ascii="宋体" w:hAnsi="宋体" w:cs="宋体"/>
          <w:color w:val="auto"/>
          <w:spacing w:val="3"/>
          <w:sz w:val="24"/>
        </w:rPr>
        <w:t>服从和配合路政与交警</w:t>
      </w:r>
      <w:r>
        <w:rPr>
          <w:rFonts w:ascii="宋体" w:hAnsi="宋体" w:cs="宋体"/>
          <w:color w:val="auto"/>
          <w:spacing w:val="1"/>
          <w:sz w:val="24"/>
        </w:rPr>
        <w:t>部门的统一监管。承包人应根据路政和交警部门的要</w:t>
      </w:r>
      <w:r>
        <w:rPr>
          <w:rFonts w:ascii="宋体" w:hAnsi="宋体" w:cs="宋体"/>
          <w:color w:val="auto"/>
          <w:sz w:val="24"/>
        </w:rPr>
        <w:t>求和现场作业需求，编制交通</w:t>
      </w:r>
      <w:r>
        <w:rPr>
          <w:rFonts w:ascii="宋体" w:hAnsi="宋体" w:cs="宋体"/>
          <w:color w:val="auto"/>
          <w:spacing w:val="1"/>
          <w:sz w:val="24"/>
        </w:rPr>
        <w:t>组织方案和养护安全作业方案，并按发包人及有关行</w:t>
      </w:r>
      <w:r>
        <w:rPr>
          <w:rFonts w:ascii="宋体" w:hAnsi="宋体" w:cs="宋体"/>
          <w:color w:val="auto"/>
          <w:sz w:val="24"/>
        </w:rPr>
        <w:t>政主管部门批准的交通组织方</w:t>
      </w:r>
      <w:r>
        <w:rPr>
          <w:rFonts w:ascii="宋体" w:hAnsi="宋体" w:cs="宋体"/>
          <w:color w:val="auto"/>
          <w:spacing w:val="1"/>
          <w:sz w:val="24"/>
        </w:rPr>
        <w:t>案设置交通安全标志、标牌、护栏、隔离等交通安全</w:t>
      </w:r>
      <w:r>
        <w:rPr>
          <w:rFonts w:ascii="宋体" w:hAnsi="宋体" w:cs="宋体"/>
          <w:color w:val="auto"/>
          <w:sz w:val="24"/>
        </w:rPr>
        <w:t>防护设施，在执行过程中，应</w:t>
      </w:r>
      <w:r>
        <w:rPr>
          <w:rFonts w:ascii="宋体" w:hAnsi="宋体" w:cs="宋体"/>
          <w:color w:val="auto"/>
          <w:spacing w:val="1"/>
          <w:sz w:val="24"/>
        </w:rPr>
        <w:t>按照执行效果实时作出调整，安排应急处理设备或设</w:t>
      </w:r>
      <w:r>
        <w:rPr>
          <w:rFonts w:ascii="宋体" w:hAnsi="宋体" w:cs="宋体"/>
          <w:color w:val="auto"/>
          <w:sz w:val="24"/>
        </w:rPr>
        <w:t>施，确保其他影响道路的信息</w:t>
      </w:r>
      <w:r>
        <w:rPr>
          <w:rFonts w:ascii="宋体" w:hAnsi="宋体" w:cs="宋体"/>
          <w:color w:val="auto"/>
          <w:spacing w:val="-2"/>
          <w:sz w:val="24"/>
        </w:rPr>
        <w:t>准确、安全畅通。</w:t>
      </w:r>
    </w:p>
    <w:p w14:paraId="4865BC3F">
      <w:pPr>
        <w:spacing w:before="110" w:line="286" w:lineRule="auto"/>
        <w:ind w:firstLine="480"/>
        <w:rPr>
          <w:rFonts w:ascii="宋体" w:hAnsi="宋体" w:cs="宋体"/>
          <w:color w:val="auto"/>
          <w:sz w:val="24"/>
        </w:rPr>
      </w:pPr>
      <w:r>
        <w:rPr>
          <w:rFonts w:eastAsia="Times New Roman"/>
          <w:color w:val="auto"/>
          <w:spacing w:val="1"/>
          <w:sz w:val="24"/>
        </w:rPr>
        <w:t xml:space="preserve">9.2.10  </w:t>
      </w:r>
      <w:r>
        <w:rPr>
          <w:rFonts w:ascii="宋体" w:hAnsi="宋体" w:cs="宋体"/>
          <w:color w:val="auto"/>
          <w:spacing w:val="1"/>
          <w:sz w:val="24"/>
        </w:rPr>
        <w:t>在整个养护作业过程中对承包人</w:t>
      </w:r>
      <w:r>
        <w:rPr>
          <w:rFonts w:ascii="宋体" w:hAnsi="宋体" w:cs="宋体"/>
          <w:color w:val="auto"/>
          <w:sz w:val="24"/>
        </w:rPr>
        <w:t>采取的安全措施，发包人和咨询人有权</w:t>
      </w:r>
      <w:r>
        <w:rPr>
          <w:rFonts w:ascii="宋体" w:hAnsi="宋体" w:cs="宋体"/>
          <w:color w:val="auto"/>
          <w:spacing w:val="1"/>
          <w:sz w:val="24"/>
        </w:rPr>
        <w:t>监督，并向承包人提出整改要求。如果由于承包人未能对</w:t>
      </w:r>
      <w:r>
        <w:rPr>
          <w:rFonts w:ascii="宋体" w:hAnsi="宋体" w:cs="宋体"/>
          <w:color w:val="auto"/>
          <w:sz w:val="24"/>
        </w:rPr>
        <w:t>其负责的上述事项采取各</w:t>
      </w:r>
      <w:r>
        <w:rPr>
          <w:rFonts w:ascii="宋体" w:hAnsi="宋体" w:cs="宋体"/>
          <w:color w:val="auto"/>
          <w:spacing w:val="1"/>
          <w:sz w:val="24"/>
        </w:rPr>
        <w:t>种必要的措施而导致或发生与此有关的人身伤亡、罚款、</w:t>
      </w:r>
      <w:r>
        <w:rPr>
          <w:rFonts w:ascii="宋体" w:hAnsi="宋体" w:cs="宋体"/>
          <w:color w:val="auto"/>
          <w:sz w:val="24"/>
        </w:rPr>
        <w:t>索赔、损失补偿、诉讼费</w:t>
      </w:r>
      <w:r>
        <w:rPr>
          <w:rFonts w:ascii="宋体" w:hAnsi="宋体" w:cs="宋体"/>
          <w:color w:val="auto"/>
          <w:spacing w:val="-1"/>
          <w:sz w:val="24"/>
        </w:rPr>
        <w:t>用及其他一切责任应由承包人负责。</w:t>
      </w:r>
    </w:p>
    <w:p w14:paraId="7A5230A4">
      <w:pPr>
        <w:spacing w:before="106" w:line="220" w:lineRule="auto"/>
        <w:ind w:left="479"/>
        <w:outlineLvl w:val="3"/>
        <w:rPr>
          <w:rFonts w:ascii="宋体" w:hAnsi="宋体" w:cs="宋体"/>
          <w:color w:val="auto"/>
          <w:sz w:val="24"/>
        </w:rPr>
      </w:pPr>
      <w:r>
        <w:rPr>
          <w:rFonts w:eastAsia="Times New Roman"/>
          <w:b/>
          <w:bCs/>
          <w:color w:val="auto"/>
          <w:spacing w:val="-5"/>
          <w:sz w:val="24"/>
        </w:rPr>
        <w:t>9.3</w:t>
      </w:r>
      <w:r>
        <w:rPr>
          <w:rFonts w:ascii="宋体" w:hAnsi="宋体" w:cs="宋体"/>
          <w:b/>
          <w:bCs/>
          <w:color w:val="auto"/>
          <w:spacing w:val="-5"/>
          <w:sz w:val="24"/>
        </w:rPr>
        <w:t>治安保卫</w:t>
      </w:r>
    </w:p>
    <w:p w14:paraId="615E816C">
      <w:pPr>
        <w:spacing w:before="125" w:line="263" w:lineRule="auto"/>
        <w:ind w:left="3" w:right="2" w:firstLine="477"/>
        <w:rPr>
          <w:rFonts w:ascii="宋体" w:hAnsi="宋体" w:cs="宋体"/>
          <w:color w:val="auto"/>
          <w:sz w:val="24"/>
        </w:rPr>
      </w:pPr>
      <w:r>
        <w:rPr>
          <w:rFonts w:eastAsia="Times New Roman"/>
          <w:color w:val="auto"/>
          <w:spacing w:val="4"/>
          <w:sz w:val="24"/>
        </w:rPr>
        <w:t xml:space="preserve">9.3.1  </w:t>
      </w:r>
      <w:r>
        <w:rPr>
          <w:rFonts w:ascii="宋体" w:hAnsi="宋体" w:cs="宋体"/>
          <w:color w:val="auto"/>
          <w:spacing w:val="4"/>
          <w:sz w:val="24"/>
        </w:rPr>
        <w:t>承包人应负责维护养护作业场地的社会治安，做</w:t>
      </w:r>
      <w:r>
        <w:rPr>
          <w:rFonts w:ascii="宋体" w:hAnsi="宋体" w:cs="宋体"/>
          <w:color w:val="auto"/>
          <w:spacing w:val="3"/>
          <w:sz w:val="24"/>
        </w:rPr>
        <w:t>好其管辖区的治安保卫</w:t>
      </w:r>
      <w:r>
        <w:rPr>
          <w:rFonts w:ascii="宋体" w:hAnsi="宋体" w:cs="宋体"/>
          <w:color w:val="auto"/>
          <w:spacing w:val="-5"/>
          <w:sz w:val="24"/>
        </w:rPr>
        <w:t>工作。</w:t>
      </w:r>
    </w:p>
    <w:p w14:paraId="3A40F7A5">
      <w:pPr>
        <w:spacing w:before="113" w:line="286" w:lineRule="auto"/>
        <w:ind w:firstLine="481"/>
        <w:rPr>
          <w:rFonts w:ascii="宋体" w:hAnsi="宋体" w:cs="宋体"/>
          <w:color w:val="auto"/>
          <w:sz w:val="24"/>
        </w:rPr>
      </w:pPr>
      <w:r>
        <w:rPr>
          <w:rFonts w:eastAsia="Times New Roman"/>
          <w:color w:val="auto"/>
          <w:spacing w:val="4"/>
          <w:sz w:val="24"/>
        </w:rPr>
        <w:t xml:space="preserve">9.3.2  </w:t>
      </w:r>
      <w:r>
        <w:rPr>
          <w:rFonts w:ascii="宋体" w:hAnsi="宋体" w:cs="宋体"/>
          <w:color w:val="auto"/>
          <w:spacing w:val="4"/>
          <w:sz w:val="24"/>
        </w:rPr>
        <w:t>除合同另有约定外，承包人应负责编制应对突发治安事</w:t>
      </w:r>
      <w:r>
        <w:rPr>
          <w:rFonts w:ascii="宋体" w:hAnsi="宋体" w:cs="宋体"/>
          <w:color w:val="auto"/>
          <w:spacing w:val="3"/>
          <w:sz w:val="24"/>
        </w:rPr>
        <w:t>件的应急预案。</w:t>
      </w:r>
      <w:r>
        <w:rPr>
          <w:rFonts w:ascii="宋体" w:hAnsi="宋体" w:cs="宋体"/>
          <w:color w:val="auto"/>
          <w:spacing w:val="1"/>
          <w:sz w:val="24"/>
        </w:rPr>
        <w:t>在养护作业过程中发生治安事件的，承包人应立即向发包人</w:t>
      </w:r>
      <w:r>
        <w:rPr>
          <w:rFonts w:ascii="宋体" w:hAnsi="宋体" w:cs="宋体"/>
          <w:color w:val="auto"/>
          <w:sz w:val="24"/>
        </w:rPr>
        <w:t>和公安部门报告。承包</w:t>
      </w:r>
      <w:r>
        <w:rPr>
          <w:rFonts w:ascii="宋体" w:hAnsi="宋体" w:cs="宋体"/>
          <w:color w:val="auto"/>
          <w:spacing w:val="1"/>
          <w:sz w:val="24"/>
        </w:rPr>
        <w:t>人应积极协助当地有关部门采取措施平息事态，防止事态扩</w:t>
      </w:r>
      <w:r>
        <w:rPr>
          <w:rFonts w:ascii="宋体" w:hAnsi="宋体" w:cs="宋体"/>
          <w:color w:val="auto"/>
          <w:sz w:val="24"/>
        </w:rPr>
        <w:t>大，尽量减少财产损失</w:t>
      </w:r>
      <w:r>
        <w:rPr>
          <w:rFonts w:ascii="宋体" w:hAnsi="宋体" w:cs="宋体"/>
          <w:color w:val="auto"/>
          <w:spacing w:val="-2"/>
          <w:sz w:val="24"/>
        </w:rPr>
        <w:t>和避免人员伤亡。</w:t>
      </w:r>
    </w:p>
    <w:p w14:paraId="024E0E87">
      <w:pPr>
        <w:spacing w:before="106" w:line="220" w:lineRule="auto"/>
        <w:ind w:left="479"/>
        <w:outlineLvl w:val="3"/>
        <w:rPr>
          <w:rFonts w:ascii="宋体" w:hAnsi="宋体" w:cs="宋体"/>
          <w:color w:val="auto"/>
          <w:sz w:val="24"/>
        </w:rPr>
      </w:pPr>
      <w:r>
        <w:rPr>
          <w:rFonts w:eastAsia="Times New Roman"/>
          <w:b/>
          <w:bCs/>
          <w:color w:val="auto"/>
          <w:spacing w:val="-2"/>
          <w:sz w:val="24"/>
        </w:rPr>
        <w:t xml:space="preserve">9.4  </w:t>
      </w:r>
      <w:r>
        <w:rPr>
          <w:rFonts w:ascii="宋体" w:hAnsi="宋体" w:cs="宋体"/>
          <w:b/>
          <w:bCs/>
          <w:color w:val="auto"/>
          <w:spacing w:val="-2"/>
          <w:sz w:val="24"/>
        </w:rPr>
        <w:t>环境保护</w:t>
      </w:r>
    </w:p>
    <w:p w14:paraId="40D68C25">
      <w:pPr>
        <w:spacing w:before="120" w:line="279" w:lineRule="auto"/>
        <w:ind w:firstLine="480"/>
        <w:rPr>
          <w:rFonts w:ascii="宋体" w:hAnsi="宋体" w:cs="宋体"/>
          <w:color w:val="auto"/>
          <w:sz w:val="24"/>
        </w:rPr>
      </w:pPr>
      <w:r>
        <w:rPr>
          <w:rFonts w:eastAsia="Times New Roman"/>
          <w:color w:val="auto"/>
          <w:spacing w:val="4"/>
          <w:sz w:val="24"/>
        </w:rPr>
        <w:t xml:space="preserve">9.4.1  </w:t>
      </w:r>
      <w:r>
        <w:rPr>
          <w:rFonts w:ascii="宋体" w:hAnsi="宋体" w:cs="宋体"/>
          <w:color w:val="auto"/>
          <w:spacing w:val="4"/>
          <w:sz w:val="24"/>
        </w:rPr>
        <w:t>承包人在项目实施过程中，应遵守有关环境保护</w:t>
      </w:r>
      <w:r>
        <w:rPr>
          <w:rFonts w:ascii="宋体" w:hAnsi="宋体" w:cs="宋体"/>
          <w:color w:val="auto"/>
          <w:spacing w:val="3"/>
          <w:sz w:val="24"/>
        </w:rPr>
        <w:t>的法律，履行合同约定</w:t>
      </w:r>
      <w:r>
        <w:rPr>
          <w:rFonts w:ascii="宋体" w:hAnsi="宋体" w:cs="宋体"/>
          <w:color w:val="auto"/>
          <w:spacing w:val="1"/>
          <w:sz w:val="24"/>
        </w:rPr>
        <w:t>的环境保护义务，并对违反法律和合同约定义务所造成的</w:t>
      </w:r>
      <w:r>
        <w:rPr>
          <w:rFonts w:ascii="宋体" w:hAnsi="宋体" w:cs="宋体"/>
          <w:color w:val="auto"/>
          <w:sz w:val="24"/>
        </w:rPr>
        <w:t>环境破坏、人身伤害和财</w:t>
      </w:r>
      <w:r>
        <w:rPr>
          <w:rFonts w:ascii="宋体" w:hAnsi="宋体" w:cs="宋体"/>
          <w:color w:val="auto"/>
          <w:spacing w:val="-2"/>
          <w:sz w:val="24"/>
        </w:rPr>
        <w:t>产损失负责。</w:t>
      </w:r>
    </w:p>
    <w:p w14:paraId="24F5B651">
      <w:pPr>
        <w:spacing w:before="114" w:line="264" w:lineRule="auto"/>
        <w:ind w:right="2" w:firstLine="480"/>
        <w:rPr>
          <w:rFonts w:ascii="宋体" w:hAnsi="宋体" w:cs="宋体"/>
          <w:color w:val="auto"/>
          <w:sz w:val="24"/>
        </w:rPr>
      </w:pPr>
      <w:r>
        <w:rPr>
          <w:rFonts w:eastAsia="Times New Roman"/>
          <w:color w:val="auto"/>
          <w:spacing w:val="4"/>
          <w:sz w:val="24"/>
        </w:rPr>
        <w:t xml:space="preserve">9.4.2  </w:t>
      </w:r>
      <w:r>
        <w:rPr>
          <w:rFonts w:ascii="宋体" w:hAnsi="宋体" w:cs="宋体"/>
          <w:color w:val="auto"/>
          <w:spacing w:val="4"/>
          <w:sz w:val="24"/>
        </w:rPr>
        <w:t>承包人应按合同约定的环保工作内容，编制施工</w:t>
      </w:r>
      <w:r>
        <w:rPr>
          <w:rFonts w:ascii="宋体" w:hAnsi="宋体" w:cs="宋体"/>
          <w:color w:val="auto"/>
          <w:spacing w:val="3"/>
          <w:sz w:val="24"/>
        </w:rPr>
        <w:t>环保措施计划，报送咨</w:t>
      </w:r>
      <w:r>
        <w:rPr>
          <w:rFonts w:ascii="宋体" w:hAnsi="宋体" w:cs="宋体"/>
          <w:color w:val="auto"/>
          <w:spacing w:val="-2"/>
          <w:sz w:val="24"/>
        </w:rPr>
        <w:t>询人审批。</w:t>
      </w:r>
    </w:p>
    <w:p w14:paraId="445D3910">
      <w:pPr>
        <w:spacing w:before="278" w:line="286" w:lineRule="auto"/>
        <w:ind w:firstLine="482"/>
        <w:rPr>
          <w:rFonts w:ascii="宋体" w:hAnsi="宋体" w:cs="宋体"/>
          <w:color w:val="auto"/>
          <w:sz w:val="24"/>
        </w:rPr>
      </w:pPr>
      <w:r>
        <w:rPr>
          <w:rFonts w:eastAsia="Times New Roman"/>
          <w:color w:val="auto"/>
          <w:spacing w:val="4"/>
          <w:sz w:val="24"/>
        </w:rPr>
        <w:t xml:space="preserve">9.4.3  </w:t>
      </w:r>
      <w:r>
        <w:rPr>
          <w:rFonts w:ascii="宋体" w:hAnsi="宋体" w:cs="宋体"/>
          <w:color w:val="auto"/>
          <w:spacing w:val="4"/>
          <w:sz w:val="24"/>
        </w:rPr>
        <w:t>承包人应按照批准的施工环保措施计划有序地堆放和处</w:t>
      </w:r>
      <w:r>
        <w:rPr>
          <w:rFonts w:ascii="宋体" w:hAnsi="宋体" w:cs="宋体"/>
          <w:color w:val="auto"/>
          <w:spacing w:val="3"/>
          <w:sz w:val="24"/>
        </w:rPr>
        <w:t>理施工废弃物，</w:t>
      </w:r>
      <w:r>
        <w:rPr>
          <w:rFonts w:ascii="宋体" w:hAnsi="宋体" w:cs="宋体"/>
          <w:color w:val="auto"/>
          <w:spacing w:val="1"/>
          <w:sz w:val="24"/>
        </w:rPr>
        <w:t>避免对环境造成破坏。因承包人任意堆放或弃置施工废弃物造</w:t>
      </w:r>
      <w:r>
        <w:rPr>
          <w:rFonts w:ascii="宋体" w:hAnsi="宋体" w:cs="宋体"/>
          <w:color w:val="auto"/>
          <w:sz w:val="24"/>
        </w:rPr>
        <w:t>成妨碍公共交通、影</w:t>
      </w:r>
      <w:r>
        <w:rPr>
          <w:rFonts w:ascii="宋体" w:hAnsi="宋体" w:cs="宋体"/>
          <w:color w:val="auto"/>
          <w:spacing w:val="1"/>
          <w:sz w:val="24"/>
        </w:rPr>
        <w:t>响城镇居民生活、降低河流行洪能力、危及居民安全、破坏周</w:t>
      </w:r>
      <w:r>
        <w:rPr>
          <w:rFonts w:ascii="宋体" w:hAnsi="宋体" w:cs="宋体"/>
          <w:color w:val="auto"/>
          <w:sz w:val="24"/>
        </w:rPr>
        <w:t>边环境，或者影响其</w:t>
      </w:r>
      <w:r>
        <w:rPr>
          <w:rFonts w:ascii="宋体" w:hAnsi="宋体" w:cs="宋体"/>
          <w:color w:val="auto"/>
          <w:spacing w:val="-1"/>
          <w:sz w:val="24"/>
        </w:rPr>
        <w:t>他承包人施工等后果的，承包人应承担责任。</w:t>
      </w:r>
    </w:p>
    <w:p w14:paraId="10C29039">
      <w:pPr>
        <w:spacing w:before="115" w:line="263" w:lineRule="auto"/>
        <w:ind w:right="2" w:firstLine="481"/>
        <w:rPr>
          <w:rFonts w:ascii="宋体" w:hAnsi="宋体" w:cs="宋体"/>
          <w:color w:val="auto"/>
          <w:sz w:val="24"/>
        </w:rPr>
      </w:pPr>
      <w:r>
        <w:rPr>
          <w:rFonts w:eastAsia="Times New Roman"/>
          <w:color w:val="auto"/>
          <w:spacing w:val="4"/>
          <w:sz w:val="24"/>
        </w:rPr>
        <w:t xml:space="preserve">9.4.4  </w:t>
      </w:r>
      <w:r>
        <w:rPr>
          <w:rFonts w:ascii="宋体" w:hAnsi="宋体" w:cs="宋体"/>
          <w:color w:val="auto"/>
          <w:spacing w:val="4"/>
          <w:sz w:val="24"/>
        </w:rPr>
        <w:t>承包人应按国家饮用水管理标准定期对饮用水源</w:t>
      </w:r>
      <w:r>
        <w:rPr>
          <w:rFonts w:ascii="宋体" w:hAnsi="宋体" w:cs="宋体"/>
          <w:color w:val="auto"/>
          <w:spacing w:val="3"/>
          <w:sz w:val="24"/>
        </w:rPr>
        <w:t>进行监测，防止养护作</w:t>
      </w:r>
      <w:r>
        <w:rPr>
          <w:rFonts w:ascii="宋体" w:hAnsi="宋体" w:cs="宋体"/>
          <w:color w:val="auto"/>
          <w:spacing w:val="-1"/>
          <w:sz w:val="24"/>
        </w:rPr>
        <w:t>业活动污染饮用水源。</w:t>
      </w:r>
    </w:p>
    <w:p w14:paraId="7C09CFE9">
      <w:pPr>
        <w:spacing w:before="115" w:line="264" w:lineRule="auto"/>
        <w:ind w:left="1" w:right="60" w:firstLine="480"/>
        <w:rPr>
          <w:rFonts w:ascii="宋体" w:hAnsi="宋体" w:cs="宋体"/>
          <w:color w:val="auto"/>
          <w:sz w:val="24"/>
        </w:rPr>
      </w:pPr>
      <w:r>
        <w:rPr>
          <w:rFonts w:eastAsia="Times New Roman"/>
          <w:color w:val="auto"/>
          <w:spacing w:val="2"/>
          <w:sz w:val="24"/>
        </w:rPr>
        <w:t xml:space="preserve">9.4.5  </w:t>
      </w:r>
      <w:r>
        <w:rPr>
          <w:rFonts w:ascii="宋体" w:hAnsi="宋体" w:cs="宋体"/>
          <w:color w:val="auto"/>
          <w:spacing w:val="2"/>
          <w:sz w:val="24"/>
        </w:rPr>
        <w:t>承包人应按合同约定，加强对噪声、粉尘、废气、废水和废油的控制，</w:t>
      </w:r>
      <w:r>
        <w:rPr>
          <w:rFonts w:ascii="宋体" w:hAnsi="宋体" w:cs="宋体"/>
          <w:color w:val="auto"/>
          <w:sz w:val="24"/>
        </w:rPr>
        <w:t>努力降低噪声，控制粉尘和废气浓度，做好废</w:t>
      </w:r>
      <w:r>
        <w:rPr>
          <w:rFonts w:ascii="宋体" w:hAnsi="宋体" w:cs="宋体"/>
          <w:color w:val="auto"/>
          <w:spacing w:val="-1"/>
          <w:sz w:val="24"/>
        </w:rPr>
        <w:t>水和废油的治理和排放。</w:t>
      </w:r>
    </w:p>
    <w:p w14:paraId="71246D51">
      <w:pPr>
        <w:spacing w:before="111" w:line="279" w:lineRule="auto"/>
        <w:ind w:left="1" w:firstLine="480"/>
        <w:rPr>
          <w:rFonts w:ascii="宋体" w:hAnsi="宋体" w:cs="宋体"/>
          <w:color w:val="auto"/>
          <w:sz w:val="24"/>
        </w:rPr>
      </w:pPr>
      <w:r>
        <w:rPr>
          <w:rFonts w:eastAsia="Times New Roman"/>
          <w:color w:val="auto"/>
          <w:spacing w:val="6"/>
          <w:sz w:val="24"/>
        </w:rPr>
        <w:t xml:space="preserve">9.4.6 </w:t>
      </w:r>
      <w:r>
        <w:rPr>
          <w:rFonts w:ascii="宋体" w:hAnsi="宋体" w:cs="宋体"/>
          <w:color w:val="auto"/>
          <w:spacing w:val="6"/>
          <w:sz w:val="24"/>
        </w:rPr>
        <w:t>在养护作业期间，承包人应随时</w:t>
      </w:r>
      <w:r>
        <w:rPr>
          <w:rFonts w:ascii="宋体" w:hAnsi="宋体" w:cs="宋体"/>
          <w:color w:val="auto"/>
          <w:spacing w:val="5"/>
          <w:sz w:val="24"/>
        </w:rPr>
        <w:t>保持现场整洁，养护作业设备和材料、</w:t>
      </w:r>
      <w:r>
        <w:rPr>
          <w:rFonts w:ascii="宋体" w:hAnsi="宋体" w:cs="宋体"/>
          <w:color w:val="auto"/>
          <w:spacing w:val="1"/>
          <w:sz w:val="24"/>
        </w:rPr>
        <w:t>工程设备应整齐妥善存放和储存，废料与垃圾及不再需要</w:t>
      </w:r>
      <w:r>
        <w:rPr>
          <w:rFonts w:ascii="宋体" w:hAnsi="宋体" w:cs="宋体"/>
          <w:color w:val="auto"/>
          <w:sz w:val="24"/>
        </w:rPr>
        <w:t>的临时设施应及时从现场</w:t>
      </w:r>
      <w:r>
        <w:rPr>
          <w:rFonts w:ascii="宋体" w:hAnsi="宋体" w:cs="宋体"/>
          <w:color w:val="auto"/>
          <w:spacing w:val="-2"/>
          <w:sz w:val="24"/>
        </w:rPr>
        <w:t>清除、拆除并运走。</w:t>
      </w:r>
    </w:p>
    <w:p w14:paraId="709B3CB9">
      <w:pPr>
        <w:spacing w:before="113" w:line="279" w:lineRule="auto"/>
        <w:ind w:firstLine="481"/>
        <w:rPr>
          <w:rFonts w:ascii="宋体" w:hAnsi="宋体" w:cs="宋体"/>
          <w:color w:val="auto"/>
          <w:sz w:val="24"/>
        </w:rPr>
      </w:pPr>
      <w:r>
        <w:rPr>
          <w:rFonts w:eastAsia="Times New Roman"/>
          <w:color w:val="auto"/>
          <w:spacing w:val="4"/>
          <w:sz w:val="24"/>
        </w:rPr>
        <w:t xml:space="preserve">9.4.7  </w:t>
      </w:r>
      <w:r>
        <w:rPr>
          <w:rFonts w:ascii="宋体" w:hAnsi="宋体" w:cs="宋体"/>
          <w:color w:val="auto"/>
          <w:spacing w:val="4"/>
          <w:sz w:val="24"/>
        </w:rPr>
        <w:t>承包人应在养护作业场地设置完善的排水措施，</w:t>
      </w:r>
      <w:r>
        <w:rPr>
          <w:rFonts w:ascii="宋体" w:hAnsi="宋体" w:cs="宋体"/>
          <w:color w:val="auto"/>
          <w:spacing w:val="3"/>
          <w:sz w:val="24"/>
        </w:rPr>
        <w:t>养护作业形成的坡面应</w:t>
      </w:r>
      <w:r>
        <w:rPr>
          <w:rFonts w:ascii="宋体" w:hAnsi="宋体" w:cs="宋体"/>
          <w:color w:val="auto"/>
          <w:spacing w:val="1"/>
          <w:sz w:val="24"/>
        </w:rPr>
        <w:t>及时修整并采取防止水土流失的工程措施，在养护作业过程</w:t>
      </w:r>
      <w:r>
        <w:rPr>
          <w:rFonts w:ascii="宋体" w:hAnsi="宋体" w:cs="宋体"/>
          <w:color w:val="auto"/>
          <w:sz w:val="24"/>
        </w:rPr>
        <w:t>中要尽可能减少对生态</w:t>
      </w:r>
      <w:r>
        <w:rPr>
          <w:rFonts w:ascii="宋体" w:hAnsi="宋体" w:cs="宋体"/>
          <w:color w:val="auto"/>
          <w:spacing w:val="-3"/>
          <w:sz w:val="24"/>
        </w:rPr>
        <w:t>的破坏。</w:t>
      </w:r>
    </w:p>
    <w:p w14:paraId="4880E2C7">
      <w:pPr>
        <w:spacing w:before="110" w:line="286" w:lineRule="auto"/>
        <w:ind w:left="1" w:firstLine="480"/>
        <w:rPr>
          <w:rFonts w:ascii="宋体" w:hAnsi="宋体" w:cs="宋体"/>
          <w:color w:val="auto"/>
          <w:sz w:val="24"/>
        </w:rPr>
      </w:pPr>
      <w:r>
        <w:rPr>
          <w:rFonts w:eastAsia="Times New Roman"/>
          <w:color w:val="auto"/>
          <w:spacing w:val="4"/>
          <w:sz w:val="24"/>
        </w:rPr>
        <w:t xml:space="preserve">9.4.8  </w:t>
      </w:r>
      <w:r>
        <w:rPr>
          <w:rFonts w:ascii="宋体" w:hAnsi="宋体" w:cs="宋体"/>
          <w:color w:val="auto"/>
          <w:spacing w:val="4"/>
          <w:sz w:val="24"/>
        </w:rPr>
        <w:t>在整个养护作业过程中对承包人采取的环境保护</w:t>
      </w:r>
      <w:r>
        <w:rPr>
          <w:rFonts w:ascii="宋体" w:hAnsi="宋体" w:cs="宋体"/>
          <w:color w:val="auto"/>
          <w:spacing w:val="3"/>
          <w:sz w:val="24"/>
        </w:rPr>
        <w:t>措施，发包人和咨询人</w:t>
      </w:r>
      <w:r>
        <w:rPr>
          <w:rFonts w:ascii="宋体" w:hAnsi="宋体" w:cs="宋体"/>
          <w:color w:val="auto"/>
          <w:spacing w:val="1"/>
          <w:sz w:val="24"/>
        </w:rPr>
        <w:t>有权监督，并向承包人提出整改要求。如果由于承包人未</w:t>
      </w:r>
      <w:r>
        <w:rPr>
          <w:rFonts w:ascii="宋体" w:hAnsi="宋体" w:cs="宋体"/>
          <w:color w:val="auto"/>
          <w:sz w:val="24"/>
        </w:rPr>
        <w:t>能对其负责的上述事项采</w:t>
      </w:r>
      <w:r>
        <w:rPr>
          <w:rFonts w:ascii="宋体" w:hAnsi="宋体" w:cs="宋体"/>
          <w:color w:val="auto"/>
          <w:spacing w:val="1"/>
          <w:sz w:val="24"/>
        </w:rPr>
        <w:t>取各种必要的措施而导致或发生与此有关的人身伤亡、罚</w:t>
      </w:r>
      <w:r>
        <w:rPr>
          <w:rFonts w:ascii="宋体" w:hAnsi="宋体" w:cs="宋体"/>
          <w:color w:val="auto"/>
          <w:sz w:val="24"/>
        </w:rPr>
        <w:t>款、索赔、损失补偿、诉</w:t>
      </w:r>
      <w:r>
        <w:rPr>
          <w:rFonts w:ascii="宋体" w:hAnsi="宋体" w:cs="宋体"/>
          <w:color w:val="auto"/>
          <w:spacing w:val="-1"/>
          <w:sz w:val="24"/>
        </w:rPr>
        <w:t>讼费用及其他一切责任应由承包人负责。</w:t>
      </w:r>
    </w:p>
    <w:p w14:paraId="1411ECD6">
      <w:pPr>
        <w:spacing w:before="106" w:line="220" w:lineRule="auto"/>
        <w:ind w:left="480"/>
        <w:outlineLvl w:val="3"/>
        <w:rPr>
          <w:rFonts w:ascii="宋体" w:hAnsi="宋体" w:cs="宋体"/>
          <w:color w:val="auto"/>
          <w:sz w:val="24"/>
        </w:rPr>
      </w:pPr>
      <w:r>
        <w:rPr>
          <w:rFonts w:eastAsia="Times New Roman"/>
          <w:b/>
          <w:bCs/>
          <w:color w:val="auto"/>
          <w:spacing w:val="-2"/>
          <w:sz w:val="24"/>
        </w:rPr>
        <w:t xml:space="preserve">9.5  </w:t>
      </w:r>
      <w:r>
        <w:rPr>
          <w:rFonts w:ascii="宋体" w:hAnsi="宋体" w:cs="宋体"/>
          <w:b/>
          <w:bCs/>
          <w:color w:val="auto"/>
          <w:spacing w:val="-2"/>
          <w:sz w:val="24"/>
        </w:rPr>
        <w:t>事故处理</w:t>
      </w:r>
    </w:p>
    <w:p w14:paraId="7BB153F7">
      <w:pPr>
        <w:spacing w:before="124" w:line="308" w:lineRule="auto"/>
        <w:ind w:left="1" w:firstLine="480"/>
        <w:rPr>
          <w:rFonts w:ascii="宋体" w:hAnsi="宋体" w:cs="宋体"/>
          <w:color w:val="auto"/>
          <w:sz w:val="24"/>
        </w:rPr>
      </w:pPr>
      <w:r>
        <w:rPr>
          <w:rFonts w:ascii="宋体" w:hAnsi="宋体" w:cs="宋体"/>
          <w:color w:val="auto"/>
          <w:spacing w:val="1"/>
          <w:sz w:val="24"/>
        </w:rPr>
        <w:t>养护作业过程中发生事故的，承包人应立即通知咨询人</w:t>
      </w:r>
      <w:r>
        <w:rPr>
          <w:rFonts w:ascii="宋体" w:hAnsi="宋体" w:cs="宋体"/>
          <w:color w:val="auto"/>
          <w:sz w:val="24"/>
        </w:rPr>
        <w:t>，咨询人应立即通知发</w:t>
      </w:r>
      <w:r>
        <w:rPr>
          <w:rFonts w:ascii="宋体" w:hAnsi="宋体" w:cs="宋体"/>
          <w:color w:val="auto"/>
          <w:spacing w:val="1"/>
          <w:sz w:val="24"/>
        </w:rPr>
        <w:t>包人。发包人和承包人应立即组织人员和设备进行紧急抢</w:t>
      </w:r>
      <w:r>
        <w:rPr>
          <w:rFonts w:ascii="宋体" w:hAnsi="宋体" w:cs="宋体"/>
          <w:color w:val="auto"/>
          <w:sz w:val="24"/>
        </w:rPr>
        <w:t>救和抢修，减少人员伤亡</w:t>
      </w:r>
      <w:r>
        <w:rPr>
          <w:rFonts w:ascii="宋体" w:hAnsi="宋体" w:cs="宋体"/>
          <w:color w:val="auto"/>
          <w:spacing w:val="1"/>
          <w:sz w:val="24"/>
        </w:rPr>
        <w:t>和财产损失，防止事故扩大，并保护事故现场。需要移动</w:t>
      </w:r>
      <w:r>
        <w:rPr>
          <w:rFonts w:ascii="宋体" w:hAnsi="宋体" w:cs="宋体"/>
          <w:color w:val="auto"/>
          <w:sz w:val="24"/>
        </w:rPr>
        <w:t>现场物品时，应作出标记</w:t>
      </w:r>
      <w:r>
        <w:rPr>
          <w:rFonts w:ascii="宋体" w:hAnsi="宋体" w:cs="宋体"/>
          <w:color w:val="auto"/>
          <w:spacing w:val="1"/>
          <w:sz w:val="24"/>
        </w:rPr>
        <w:t>和书面记录，妥善保管有关证据。发包人和承包人应按国</w:t>
      </w:r>
      <w:r>
        <w:rPr>
          <w:rFonts w:ascii="宋体" w:hAnsi="宋体" w:cs="宋体"/>
          <w:color w:val="auto"/>
          <w:sz w:val="24"/>
        </w:rPr>
        <w:t>家有关规定，及时如实地</w:t>
      </w:r>
      <w:r>
        <w:rPr>
          <w:rFonts w:ascii="宋体" w:hAnsi="宋体" w:cs="宋体"/>
          <w:color w:val="auto"/>
          <w:spacing w:val="-1"/>
          <w:sz w:val="24"/>
        </w:rPr>
        <w:t>向有关部门报告事故发生的情况，以及正在采取的紧急措施等。</w:t>
      </w:r>
    </w:p>
    <w:p w14:paraId="011FD63B">
      <w:pPr>
        <w:spacing w:before="310" w:line="220" w:lineRule="auto"/>
        <w:ind w:left="488"/>
        <w:outlineLvl w:val="2"/>
        <w:rPr>
          <w:rFonts w:ascii="宋体" w:hAnsi="宋体" w:cs="宋体"/>
          <w:color w:val="auto"/>
          <w:sz w:val="24"/>
        </w:rPr>
      </w:pPr>
      <w:bookmarkStart w:id="140" w:name="bookmark25"/>
      <w:bookmarkEnd w:id="140"/>
      <w:bookmarkStart w:id="141" w:name="bookmark26"/>
      <w:bookmarkEnd w:id="141"/>
      <w:r>
        <w:rPr>
          <w:rFonts w:eastAsia="Times New Roman"/>
          <w:b/>
          <w:bCs/>
          <w:color w:val="auto"/>
          <w:spacing w:val="-3"/>
          <w:sz w:val="24"/>
        </w:rPr>
        <w:t xml:space="preserve">10.  </w:t>
      </w:r>
      <w:r>
        <w:rPr>
          <w:rFonts w:ascii="宋体" w:hAnsi="宋体" w:cs="宋体"/>
          <w:b/>
          <w:bCs/>
          <w:color w:val="auto"/>
          <w:spacing w:val="-3"/>
          <w:sz w:val="24"/>
        </w:rPr>
        <w:t>进度计划</w:t>
      </w:r>
    </w:p>
    <w:p w14:paraId="6DB4E948">
      <w:pPr>
        <w:spacing w:before="259" w:line="220" w:lineRule="auto"/>
        <w:ind w:left="488"/>
        <w:outlineLvl w:val="3"/>
        <w:rPr>
          <w:rFonts w:ascii="宋体" w:hAnsi="宋体" w:cs="宋体"/>
          <w:color w:val="auto"/>
          <w:sz w:val="24"/>
        </w:rPr>
      </w:pPr>
      <w:r>
        <w:rPr>
          <w:rFonts w:eastAsia="Times New Roman"/>
          <w:b/>
          <w:bCs/>
          <w:color w:val="auto"/>
          <w:spacing w:val="-3"/>
          <w:sz w:val="24"/>
        </w:rPr>
        <w:t xml:space="preserve">10.1  </w:t>
      </w:r>
      <w:r>
        <w:rPr>
          <w:rFonts w:ascii="宋体" w:hAnsi="宋体" w:cs="宋体"/>
          <w:b/>
          <w:bCs/>
          <w:color w:val="auto"/>
          <w:spacing w:val="-3"/>
          <w:sz w:val="24"/>
        </w:rPr>
        <w:t>合同进度计划</w:t>
      </w:r>
    </w:p>
    <w:p w14:paraId="4315CF81">
      <w:pPr>
        <w:spacing w:before="125" w:line="306" w:lineRule="auto"/>
        <w:ind w:left="1" w:firstLine="480"/>
        <w:rPr>
          <w:rFonts w:ascii="宋体" w:hAnsi="宋体" w:cs="宋体"/>
          <w:color w:val="auto"/>
          <w:sz w:val="24"/>
        </w:rPr>
      </w:pPr>
      <w:r>
        <w:rPr>
          <w:rFonts w:ascii="宋体" w:hAnsi="宋体" w:cs="宋体"/>
          <w:color w:val="auto"/>
          <w:sz w:val="24"/>
        </w:rPr>
        <w:t>承包人应在签订合同协议书后</w:t>
      </w:r>
      <w:r>
        <w:rPr>
          <w:rFonts w:eastAsia="Times New Roman"/>
          <w:color w:val="auto"/>
          <w:sz w:val="24"/>
        </w:rPr>
        <w:t>7</w:t>
      </w:r>
      <w:r>
        <w:rPr>
          <w:rFonts w:ascii="宋体" w:hAnsi="宋体" w:cs="宋体"/>
          <w:color w:val="auto"/>
          <w:sz w:val="24"/>
        </w:rPr>
        <w:t>天内向咨询人报送详细的养护作业计划</w:t>
      </w:r>
      <w:r>
        <w:rPr>
          <w:rFonts w:ascii="宋体" w:hAnsi="宋体" w:cs="宋体"/>
          <w:color w:val="auto"/>
          <w:spacing w:val="-1"/>
          <w:sz w:val="24"/>
        </w:rPr>
        <w:t>和养护</w:t>
      </w:r>
      <w:r>
        <w:rPr>
          <w:rFonts w:ascii="宋体" w:hAnsi="宋体" w:cs="宋体"/>
          <w:color w:val="auto"/>
          <w:sz w:val="24"/>
        </w:rPr>
        <w:t>作业方案说明，养护作业方案说明的内容见专用合同条款。咨询人应在</w:t>
      </w:r>
      <w:r>
        <w:rPr>
          <w:rFonts w:eastAsia="Times New Roman"/>
          <w:color w:val="auto"/>
          <w:sz w:val="24"/>
        </w:rPr>
        <w:t xml:space="preserve">7 </w:t>
      </w:r>
      <w:r>
        <w:rPr>
          <w:rFonts w:ascii="宋体" w:hAnsi="宋体" w:cs="宋体"/>
          <w:color w:val="auto"/>
          <w:sz w:val="24"/>
        </w:rPr>
        <w:t>天内对承</w:t>
      </w:r>
      <w:r>
        <w:rPr>
          <w:rFonts w:ascii="宋体" w:hAnsi="宋体" w:cs="宋体"/>
          <w:color w:val="auto"/>
          <w:spacing w:val="1"/>
          <w:sz w:val="24"/>
        </w:rPr>
        <w:t>包人养护作业计划和养护作业方案说明予以批复或提出修</w:t>
      </w:r>
      <w:r>
        <w:rPr>
          <w:rFonts w:ascii="宋体" w:hAnsi="宋体" w:cs="宋体"/>
          <w:color w:val="auto"/>
          <w:sz w:val="24"/>
        </w:rPr>
        <w:t>改意见，否则该计划视为</w:t>
      </w:r>
      <w:r>
        <w:rPr>
          <w:rFonts w:ascii="宋体" w:hAnsi="宋体" w:cs="宋体"/>
          <w:color w:val="auto"/>
          <w:spacing w:val="1"/>
          <w:sz w:val="24"/>
        </w:rPr>
        <w:t>已得到批准。经咨询人批准的养护作业计划称合同进</w:t>
      </w:r>
      <w:r>
        <w:rPr>
          <w:rFonts w:ascii="宋体" w:hAnsi="宋体" w:cs="宋体"/>
          <w:color w:val="auto"/>
          <w:sz w:val="24"/>
        </w:rPr>
        <w:t>度计划，是控制项目养护进度</w:t>
      </w:r>
      <w:r>
        <w:rPr>
          <w:rFonts w:ascii="宋体" w:hAnsi="宋体" w:cs="宋体"/>
          <w:color w:val="auto"/>
          <w:spacing w:val="-3"/>
          <w:sz w:val="24"/>
        </w:rPr>
        <w:t>的依据。</w:t>
      </w:r>
    </w:p>
    <w:p w14:paraId="42C8714D">
      <w:pPr>
        <w:spacing w:line="219" w:lineRule="auto"/>
        <w:ind w:left="488"/>
        <w:outlineLvl w:val="3"/>
        <w:rPr>
          <w:rFonts w:ascii="宋体" w:hAnsi="宋体" w:cs="宋体"/>
          <w:color w:val="auto"/>
          <w:sz w:val="24"/>
        </w:rPr>
      </w:pPr>
      <w:r>
        <w:rPr>
          <w:rFonts w:eastAsia="Times New Roman"/>
          <w:b/>
          <w:bCs/>
          <w:color w:val="auto"/>
          <w:spacing w:val="-3"/>
          <w:sz w:val="24"/>
        </w:rPr>
        <w:t xml:space="preserve">10.2  </w:t>
      </w:r>
      <w:r>
        <w:rPr>
          <w:rFonts w:ascii="宋体" w:hAnsi="宋体" w:cs="宋体"/>
          <w:b/>
          <w:bCs/>
          <w:color w:val="auto"/>
          <w:spacing w:val="-3"/>
          <w:sz w:val="24"/>
        </w:rPr>
        <w:t>合同进度计划的修订</w:t>
      </w:r>
    </w:p>
    <w:p w14:paraId="495E7B1D">
      <w:pPr>
        <w:spacing w:before="125" w:line="306" w:lineRule="auto"/>
        <w:ind w:left="1" w:firstLine="480"/>
        <w:rPr>
          <w:rFonts w:ascii="宋体" w:hAnsi="宋体" w:cs="宋体"/>
          <w:color w:val="auto"/>
          <w:sz w:val="24"/>
        </w:rPr>
      </w:pPr>
      <w:r>
        <w:rPr>
          <w:rFonts w:ascii="宋体" w:hAnsi="宋体" w:cs="宋体"/>
          <w:color w:val="auto"/>
          <w:sz w:val="24"/>
        </w:rPr>
        <w:t>不论何种原因造成养护作业的实际进度与第 10.1 款的合同进度计划不符时，承包人可以在专用合同条款约定的期限内向咨询人提交修订合同进度计划的申请报告，并附有关措施和相关资料，报咨询人审批；咨询人也可以直接向承包人作出修订合同进度计划的指示，承包人应按该指示修订合同进度计划，报咨询人审批。咨询人应在专用合同条款约定的期限内批复。咨询人在批复前应获得发包人同意。</w:t>
      </w:r>
    </w:p>
    <w:p w14:paraId="7659AA4E">
      <w:pPr>
        <w:spacing w:line="219" w:lineRule="auto"/>
        <w:ind w:left="487"/>
        <w:outlineLvl w:val="3"/>
        <w:rPr>
          <w:rFonts w:ascii="宋体" w:hAnsi="宋体" w:cs="宋体"/>
          <w:color w:val="auto"/>
          <w:sz w:val="24"/>
        </w:rPr>
      </w:pPr>
      <w:r>
        <w:rPr>
          <w:rFonts w:eastAsia="Times New Roman"/>
          <w:b/>
          <w:bCs/>
          <w:color w:val="auto"/>
          <w:spacing w:val="-3"/>
          <w:sz w:val="24"/>
        </w:rPr>
        <w:t xml:space="preserve">10.3  </w:t>
      </w:r>
      <w:r>
        <w:rPr>
          <w:rFonts w:ascii="宋体" w:hAnsi="宋体" w:cs="宋体"/>
          <w:b/>
          <w:bCs/>
          <w:color w:val="auto"/>
          <w:spacing w:val="-3"/>
          <w:sz w:val="24"/>
        </w:rPr>
        <w:t>年度作业计划</w:t>
      </w:r>
    </w:p>
    <w:p w14:paraId="4DC6B335">
      <w:pPr>
        <w:spacing w:before="121" w:line="305" w:lineRule="auto"/>
        <w:ind w:right="164" w:firstLine="480"/>
        <w:rPr>
          <w:rFonts w:ascii="宋体" w:hAnsi="宋体" w:cs="宋体"/>
          <w:color w:val="auto"/>
          <w:sz w:val="24"/>
        </w:rPr>
      </w:pPr>
      <w:r>
        <w:rPr>
          <w:rFonts w:ascii="宋体" w:hAnsi="宋体" w:cs="宋体"/>
          <w:color w:val="auto"/>
          <w:spacing w:val="1"/>
          <w:sz w:val="24"/>
        </w:rPr>
        <w:t>承包人应按专用合同条款约定的期限和内容，向咨询人提</w:t>
      </w:r>
      <w:r>
        <w:rPr>
          <w:rFonts w:ascii="宋体" w:hAnsi="宋体" w:cs="宋体"/>
          <w:color w:val="auto"/>
          <w:sz w:val="24"/>
        </w:rPr>
        <w:t>交下一年度的养护作</w:t>
      </w:r>
      <w:r>
        <w:rPr>
          <w:rFonts w:ascii="宋体" w:hAnsi="宋体" w:cs="宋体"/>
          <w:color w:val="auto"/>
          <w:spacing w:val="-3"/>
          <w:sz w:val="24"/>
        </w:rPr>
        <w:t>业计划。</w:t>
      </w:r>
    </w:p>
    <w:p w14:paraId="4BC09404">
      <w:pPr>
        <w:spacing w:before="1" w:line="220" w:lineRule="auto"/>
        <w:ind w:left="487"/>
        <w:outlineLvl w:val="3"/>
        <w:rPr>
          <w:rFonts w:ascii="宋体" w:hAnsi="宋体" w:cs="宋体"/>
          <w:color w:val="auto"/>
          <w:sz w:val="24"/>
        </w:rPr>
      </w:pPr>
      <w:r>
        <w:rPr>
          <w:rFonts w:eastAsia="Times New Roman"/>
          <w:b/>
          <w:bCs/>
          <w:color w:val="auto"/>
          <w:spacing w:val="-3"/>
          <w:sz w:val="24"/>
        </w:rPr>
        <w:t xml:space="preserve">10.4  </w:t>
      </w:r>
      <w:r>
        <w:rPr>
          <w:rFonts w:ascii="宋体" w:hAnsi="宋体" w:cs="宋体"/>
          <w:b/>
          <w:bCs/>
          <w:color w:val="auto"/>
          <w:spacing w:val="-3"/>
          <w:sz w:val="24"/>
        </w:rPr>
        <w:t>合同用款计划</w:t>
      </w:r>
    </w:p>
    <w:p w14:paraId="61FA31B7">
      <w:pPr>
        <w:spacing w:before="119" w:line="310" w:lineRule="auto"/>
        <w:ind w:right="164" w:firstLine="480"/>
        <w:rPr>
          <w:rFonts w:ascii="宋体" w:hAnsi="宋体" w:cs="宋体"/>
          <w:color w:val="auto"/>
          <w:sz w:val="24"/>
        </w:rPr>
      </w:pPr>
      <w:r>
        <w:rPr>
          <w:rFonts w:ascii="宋体" w:hAnsi="宋体" w:cs="宋体"/>
          <w:color w:val="auto"/>
          <w:sz w:val="24"/>
        </w:rPr>
        <w:t>承包人应在签订本合同协议书后</w:t>
      </w:r>
      <w:r>
        <w:rPr>
          <w:rFonts w:eastAsia="Times New Roman"/>
          <w:color w:val="auto"/>
          <w:sz w:val="24"/>
        </w:rPr>
        <w:t xml:space="preserve">7 </w:t>
      </w:r>
      <w:r>
        <w:rPr>
          <w:rFonts w:ascii="宋体" w:hAnsi="宋体" w:cs="宋体"/>
          <w:color w:val="auto"/>
          <w:sz w:val="24"/>
        </w:rPr>
        <w:t>天内，向咨询人提交按合同约定承包人有权</w:t>
      </w:r>
      <w:r>
        <w:rPr>
          <w:rFonts w:ascii="宋体" w:hAnsi="宋体" w:cs="宋体"/>
          <w:color w:val="auto"/>
          <w:spacing w:val="1"/>
          <w:sz w:val="24"/>
        </w:rPr>
        <w:t>得到支付的详细的合同用款计划，以备咨询人查阅。如果咨</w:t>
      </w:r>
      <w:r>
        <w:rPr>
          <w:rFonts w:ascii="宋体" w:hAnsi="宋体" w:cs="宋体"/>
          <w:color w:val="auto"/>
          <w:sz w:val="24"/>
        </w:rPr>
        <w:t>询人提出要求，承包人</w:t>
      </w:r>
      <w:r>
        <w:rPr>
          <w:rFonts w:ascii="宋体" w:hAnsi="宋体" w:cs="宋体"/>
          <w:color w:val="auto"/>
          <w:spacing w:val="-1"/>
          <w:sz w:val="24"/>
        </w:rPr>
        <w:t>还应提交修订的合同用款计划。</w:t>
      </w:r>
    </w:p>
    <w:p w14:paraId="7CE2B864">
      <w:pPr>
        <w:spacing w:before="304" w:line="221" w:lineRule="auto"/>
        <w:ind w:left="487"/>
        <w:outlineLvl w:val="2"/>
        <w:rPr>
          <w:rFonts w:ascii="宋体" w:hAnsi="宋体" w:cs="宋体"/>
          <w:color w:val="auto"/>
          <w:sz w:val="24"/>
        </w:rPr>
      </w:pPr>
      <w:bookmarkStart w:id="142" w:name="bookmark27"/>
      <w:bookmarkEnd w:id="142"/>
      <w:bookmarkStart w:id="143" w:name="bookmark28"/>
      <w:bookmarkEnd w:id="143"/>
      <w:r>
        <w:rPr>
          <w:rFonts w:eastAsia="Times New Roman"/>
          <w:b/>
          <w:bCs/>
          <w:color w:val="auto"/>
          <w:spacing w:val="-3"/>
          <w:sz w:val="24"/>
        </w:rPr>
        <w:t xml:space="preserve">11.  </w:t>
      </w:r>
      <w:r>
        <w:rPr>
          <w:rFonts w:ascii="宋体" w:hAnsi="宋体" w:cs="宋体"/>
          <w:b/>
          <w:bCs/>
          <w:color w:val="auto"/>
          <w:spacing w:val="-3"/>
          <w:sz w:val="24"/>
        </w:rPr>
        <w:t>开工和交工</w:t>
      </w:r>
    </w:p>
    <w:p w14:paraId="7B1D8FA5">
      <w:pPr>
        <w:spacing w:before="257" w:line="221" w:lineRule="auto"/>
        <w:ind w:left="487"/>
        <w:outlineLvl w:val="3"/>
        <w:rPr>
          <w:rFonts w:ascii="宋体" w:hAnsi="宋体" w:cs="宋体"/>
          <w:color w:val="auto"/>
          <w:sz w:val="24"/>
        </w:rPr>
      </w:pPr>
      <w:r>
        <w:rPr>
          <w:rFonts w:eastAsia="Times New Roman"/>
          <w:b/>
          <w:bCs/>
          <w:color w:val="auto"/>
          <w:spacing w:val="-6"/>
          <w:sz w:val="24"/>
        </w:rPr>
        <w:t>11.1</w:t>
      </w:r>
      <w:r>
        <w:rPr>
          <w:rFonts w:ascii="宋体" w:hAnsi="宋体" w:cs="宋体"/>
          <w:b/>
          <w:bCs/>
          <w:color w:val="auto"/>
          <w:spacing w:val="-6"/>
          <w:sz w:val="24"/>
        </w:rPr>
        <w:t>开工</w:t>
      </w:r>
    </w:p>
    <w:p w14:paraId="5CDBF8CA">
      <w:pPr>
        <w:spacing w:before="124" w:line="278" w:lineRule="auto"/>
        <w:ind w:firstLine="498"/>
        <w:rPr>
          <w:rFonts w:ascii="宋体" w:hAnsi="宋体" w:cs="宋体"/>
          <w:color w:val="auto"/>
          <w:sz w:val="24"/>
        </w:rPr>
      </w:pPr>
      <w:r>
        <w:rPr>
          <w:rFonts w:eastAsia="Times New Roman"/>
          <w:color w:val="auto"/>
          <w:sz w:val="24"/>
        </w:rPr>
        <w:t xml:space="preserve">11.1.1  </w:t>
      </w:r>
      <w:r>
        <w:rPr>
          <w:rFonts w:ascii="宋体" w:hAnsi="宋体" w:cs="宋体"/>
          <w:color w:val="auto"/>
          <w:sz w:val="24"/>
        </w:rPr>
        <w:t>咨询人应在开工日期</w:t>
      </w:r>
      <w:r>
        <w:rPr>
          <w:rFonts w:eastAsia="Times New Roman"/>
          <w:color w:val="auto"/>
          <w:sz w:val="24"/>
        </w:rPr>
        <w:t xml:space="preserve">7 </w:t>
      </w:r>
      <w:r>
        <w:rPr>
          <w:rFonts w:ascii="宋体" w:hAnsi="宋体" w:cs="宋体"/>
          <w:color w:val="auto"/>
          <w:sz w:val="24"/>
        </w:rPr>
        <w:t>天前向承包人发出开工通知。咨询人</w:t>
      </w:r>
      <w:r>
        <w:rPr>
          <w:rFonts w:ascii="宋体" w:hAnsi="宋体" w:cs="宋体"/>
          <w:color w:val="auto"/>
          <w:spacing w:val="-1"/>
          <w:sz w:val="24"/>
        </w:rPr>
        <w:t>在发出开工通知前应获得发包人同意。工期自咨询人发出的开工</w:t>
      </w:r>
      <w:r>
        <w:rPr>
          <w:rFonts w:ascii="宋体" w:hAnsi="宋体" w:cs="宋体"/>
          <w:color w:val="auto"/>
          <w:spacing w:val="-2"/>
          <w:sz w:val="24"/>
        </w:rPr>
        <w:t>通知中载明的开工日期起计算。</w:t>
      </w:r>
      <w:r>
        <w:rPr>
          <w:rFonts w:ascii="宋体" w:hAnsi="宋体" w:cs="宋体"/>
          <w:color w:val="auto"/>
          <w:spacing w:val="-1"/>
          <w:sz w:val="24"/>
        </w:rPr>
        <w:t>承包人应在开工日期后尽快实施养护项目。</w:t>
      </w:r>
    </w:p>
    <w:p w14:paraId="57F10101">
      <w:pPr>
        <w:spacing w:before="114" w:line="286" w:lineRule="auto"/>
        <w:ind w:left="1" w:right="164" w:firstLine="497"/>
        <w:rPr>
          <w:rFonts w:ascii="宋体" w:hAnsi="宋体" w:cs="宋体"/>
          <w:color w:val="auto"/>
          <w:sz w:val="24"/>
        </w:rPr>
      </w:pPr>
      <w:r>
        <w:rPr>
          <w:rFonts w:eastAsia="Times New Roman"/>
          <w:color w:val="auto"/>
          <w:spacing w:val="-2"/>
          <w:sz w:val="24"/>
        </w:rPr>
        <w:t xml:space="preserve">11.1.2  </w:t>
      </w:r>
      <w:r>
        <w:rPr>
          <w:rFonts w:ascii="宋体" w:hAnsi="宋体" w:cs="宋体"/>
          <w:color w:val="auto"/>
          <w:spacing w:val="-2"/>
          <w:sz w:val="24"/>
        </w:rPr>
        <w:t>承包人应按第</w:t>
      </w:r>
      <w:r>
        <w:rPr>
          <w:rFonts w:eastAsia="Times New Roman"/>
          <w:color w:val="auto"/>
          <w:spacing w:val="-2"/>
          <w:sz w:val="24"/>
        </w:rPr>
        <w:t xml:space="preserve">10.1 </w:t>
      </w:r>
      <w:r>
        <w:rPr>
          <w:rFonts w:ascii="宋体" w:hAnsi="宋体" w:cs="宋体"/>
          <w:color w:val="auto"/>
          <w:spacing w:val="-2"/>
          <w:sz w:val="24"/>
        </w:rPr>
        <w:t>款约定的合同进度计划，向咨询人提交开工报审表，</w:t>
      </w:r>
      <w:r>
        <w:rPr>
          <w:rFonts w:ascii="宋体" w:hAnsi="宋体" w:cs="宋体"/>
          <w:color w:val="auto"/>
          <w:spacing w:val="1"/>
          <w:sz w:val="24"/>
        </w:rPr>
        <w:t>经咨询人审批后执行。开工报审表应详细说明按合同进</w:t>
      </w:r>
      <w:r>
        <w:rPr>
          <w:rFonts w:ascii="宋体" w:hAnsi="宋体" w:cs="宋体"/>
          <w:color w:val="auto"/>
          <w:sz w:val="24"/>
        </w:rPr>
        <w:t>度计划正常实施养护作业所</w:t>
      </w:r>
      <w:r>
        <w:rPr>
          <w:rFonts w:ascii="宋体" w:hAnsi="宋体" w:cs="宋体"/>
          <w:color w:val="auto"/>
          <w:spacing w:val="1"/>
          <w:sz w:val="24"/>
        </w:rPr>
        <w:t>需的施工道路、临时设施、材料设备、养护人员等施工</w:t>
      </w:r>
      <w:r>
        <w:rPr>
          <w:rFonts w:ascii="宋体" w:hAnsi="宋体" w:cs="宋体"/>
          <w:color w:val="auto"/>
          <w:sz w:val="24"/>
        </w:rPr>
        <w:t>组织措施的落实情况以及养</w:t>
      </w:r>
      <w:r>
        <w:rPr>
          <w:rFonts w:ascii="宋体" w:hAnsi="宋体" w:cs="宋体"/>
          <w:color w:val="auto"/>
          <w:spacing w:val="-2"/>
          <w:sz w:val="24"/>
        </w:rPr>
        <w:t>护项目的进度安排。</w:t>
      </w:r>
    </w:p>
    <w:p w14:paraId="7B64F9B1">
      <w:pPr>
        <w:spacing w:before="103" w:line="221" w:lineRule="auto"/>
        <w:ind w:left="487"/>
        <w:outlineLvl w:val="3"/>
        <w:rPr>
          <w:rFonts w:ascii="宋体" w:hAnsi="宋体" w:cs="宋体"/>
          <w:color w:val="auto"/>
          <w:sz w:val="24"/>
        </w:rPr>
      </w:pPr>
      <w:r>
        <w:rPr>
          <w:rFonts w:eastAsia="Times New Roman"/>
          <w:b/>
          <w:bCs/>
          <w:color w:val="auto"/>
          <w:spacing w:val="-6"/>
          <w:sz w:val="24"/>
        </w:rPr>
        <w:t>11.2</w:t>
      </w:r>
      <w:r>
        <w:rPr>
          <w:rFonts w:ascii="宋体" w:hAnsi="宋体" w:cs="宋体"/>
          <w:b/>
          <w:bCs/>
          <w:color w:val="auto"/>
          <w:spacing w:val="-6"/>
          <w:sz w:val="24"/>
        </w:rPr>
        <w:t>交工</w:t>
      </w:r>
    </w:p>
    <w:p w14:paraId="0A200D83">
      <w:pPr>
        <w:spacing w:before="122" w:line="304" w:lineRule="auto"/>
        <w:ind w:left="3" w:right="164" w:firstLine="477"/>
        <w:rPr>
          <w:rFonts w:ascii="宋体" w:hAnsi="宋体" w:cs="宋体"/>
          <w:color w:val="auto"/>
          <w:sz w:val="24"/>
        </w:rPr>
      </w:pPr>
      <w:r>
        <w:rPr>
          <w:rFonts w:ascii="宋体" w:hAnsi="宋体" w:cs="宋体"/>
          <w:color w:val="auto"/>
          <w:spacing w:val="3"/>
          <w:sz w:val="24"/>
        </w:rPr>
        <w:t>承包人应在第</w:t>
      </w:r>
      <w:r>
        <w:rPr>
          <w:rFonts w:eastAsia="Times New Roman"/>
          <w:color w:val="auto"/>
          <w:spacing w:val="3"/>
          <w:sz w:val="24"/>
        </w:rPr>
        <w:t xml:space="preserve">1.1.4.3  </w:t>
      </w:r>
      <w:r>
        <w:rPr>
          <w:rFonts w:ascii="宋体" w:hAnsi="宋体" w:cs="宋体"/>
          <w:color w:val="auto"/>
          <w:spacing w:val="3"/>
          <w:sz w:val="24"/>
        </w:rPr>
        <w:t>目约定的期限内完成养护项目工作。实</w:t>
      </w:r>
      <w:r>
        <w:rPr>
          <w:rFonts w:ascii="宋体" w:hAnsi="宋体" w:cs="宋体"/>
          <w:color w:val="auto"/>
          <w:spacing w:val="2"/>
          <w:sz w:val="24"/>
        </w:rPr>
        <w:t>际交工日期在交</w:t>
      </w:r>
      <w:r>
        <w:rPr>
          <w:rFonts w:ascii="宋体" w:hAnsi="宋体" w:cs="宋体"/>
          <w:color w:val="auto"/>
          <w:spacing w:val="-2"/>
          <w:sz w:val="24"/>
        </w:rPr>
        <w:t>工验收证书中写明。</w:t>
      </w:r>
    </w:p>
    <w:p w14:paraId="71383AD5">
      <w:pPr>
        <w:spacing w:line="220" w:lineRule="auto"/>
        <w:ind w:left="487"/>
        <w:outlineLvl w:val="3"/>
        <w:rPr>
          <w:rFonts w:ascii="宋体" w:hAnsi="宋体" w:cs="宋体"/>
          <w:color w:val="auto"/>
          <w:sz w:val="24"/>
        </w:rPr>
      </w:pPr>
      <w:r>
        <w:rPr>
          <w:rFonts w:eastAsia="Times New Roman"/>
          <w:b/>
          <w:bCs/>
          <w:color w:val="auto"/>
          <w:spacing w:val="-2"/>
          <w:sz w:val="24"/>
        </w:rPr>
        <w:t xml:space="preserve">11.3  </w:t>
      </w:r>
      <w:r>
        <w:rPr>
          <w:rFonts w:ascii="宋体" w:hAnsi="宋体" w:cs="宋体"/>
          <w:b/>
          <w:bCs/>
          <w:color w:val="auto"/>
          <w:spacing w:val="-2"/>
          <w:sz w:val="24"/>
        </w:rPr>
        <w:t>发包人引起的工期延误</w:t>
      </w:r>
    </w:p>
    <w:p w14:paraId="5CDF7CAD">
      <w:pPr>
        <w:spacing w:before="123" w:line="308" w:lineRule="auto"/>
        <w:ind w:left="2" w:right="164" w:firstLine="477"/>
        <w:rPr>
          <w:rFonts w:ascii="宋体" w:hAnsi="宋体" w:cs="宋体"/>
          <w:color w:val="auto"/>
          <w:sz w:val="24"/>
        </w:rPr>
      </w:pPr>
      <w:r>
        <w:rPr>
          <w:rFonts w:ascii="宋体" w:hAnsi="宋体" w:cs="宋体"/>
          <w:color w:val="auto"/>
          <w:spacing w:val="1"/>
          <w:sz w:val="24"/>
        </w:rPr>
        <w:t>在履行合同过程中，由于发包人的下列原因造成工期延误的</w:t>
      </w:r>
      <w:r>
        <w:rPr>
          <w:rFonts w:ascii="宋体" w:hAnsi="宋体" w:cs="宋体"/>
          <w:color w:val="auto"/>
          <w:sz w:val="24"/>
        </w:rPr>
        <w:t>，承包人有权要求</w:t>
      </w:r>
      <w:r>
        <w:rPr>
          <w:rFonts w:ascii="宋体" w:hAnsi="宋体" w:cs="宋体"/>
          <w:color w:val="auto"/>
          <w:spacing w:val="1"/>
          <w:sz w:val="24"/>
        </w:rPr>
        <w:t>发包人延长工期和（或）增加费用，并支付合理利润</w:t>
      </w:r>
      <w:r>
        <w:rPr>
          <w:rFonts w:ascii="宋体" w:hAnsi="宋体" w:cs="宋体"/>
          <w:color w:val="auto"/>
          <w:sz w:val="24"/>
        </w:rPr>
        <w:t>。需要修订合同进度计划的，</w:t>
      </w:r>
      <w:r>
        <w:rPr>
          <w:rFonts w:ascii="宋体" w:hAnsi="宋体" w:cs="宋体"/>
          <w:color w:val="auto"/>
          <w:spacing w:val="-3"/>
          <w:sz w:val="24"/>
        </w:rPr>
        <w:t>按照第</w:t>
      </w:r>
      <w:r>
        <w:rPr>
          <w:rFonts w:eastAsia="Times New Roman"/>
          <w:color w:val="auto"/>
          <w:spacing w:val="-3"/>
          <w:sz w:val="24"/>
        </w:rPr>
        <w:t xml:space="preserve">10.2 </w:t>
      </w:r>
      <w:r>
        <w:rPr>
          <w:rFonts w:ascii="宋体" w:hAnsi="宋体" w:cs="宋体"/>
          <w:color w:val="auto"/>
          <w:spacing w:val="-3"/>
          <w:sz w:val="24"/>
        </w:rPr>
        <w:t>款的约定办理。</w:t>
      </w:r>
    </w:p>
    <w:p w14:paraId="7361DA53">
      <w:pPr>
        <w:spacing w:before="1" w:line="219" w:lineRule="auto"/>
        <w:ind w:left="492"/>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1</w:t>
      </w:r>
      <w:r>
        <w:rPr>
          <w:rFonts w:ascii="宋体" w:hAnsi="宋体" w:cs="宋体"/>
          <w:color w:val="auto"/>
          <w:spacing w:val="-2"/>
          <w:sz w:val="24"/>
        </w:rPr>
        <w:t>）增加合同工作内容；</w:t>
      </w:r>
    </w:p>
    <w:p w14:paraId="08EBABA8">
      <w:pPr>
        <w:spacing w:before="116" w:line="219" w:lineRule="auto"/>
        <w:ind w:left="492"/>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2</w:t>
      </w:r>
      <w:r>
        <w:rPr>
          <w:rFonts w:ascii="宋体" w:hAnsi="宋体" w:cs="宋体"/>
          <w:color w:val="auto"/>
          <w:spacing w:val="-1"/>
          <w:sz w:val="24"/>
        </w:rPr>
        <w:t>）改变合同中任何一项工作的质量要求或其他特性；</w:t>
      </w:r>
    </w:p>
    <w:p w14:paraId="4211D716">
      <w:pPr>
        <w:spacing w:before="115" w:line="219" w:lineRule="auto"/>
        <w:ind w:left="492"/>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3</w:t>
      </w:r>
      <w:r>
        <w:rPr>
          <w:rFonts w:ascii="宋体" w:hAnsi="宋体" w:cs="宋体"/>
          <w:color w:val="auto"/>
          <w:spacing w:val="-1"/>
          <w:sz w:val="24"/>
        </w:rPr>
        <w:t>）发包人迟延提供材料、工程设备或变更交货地点的；</w:t>
      </w:r>
    </w:p>
    <w:p w14:paraId="4D52121D">
      <w:pPr>
        <w:spacing w:before="115" w:line="219" w:lineRule="auto"/>
        <w:ind w:left="492"/>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4</w:t>
      </w:r>
      <w:r>
        <w:rPr>
          <w:rFonts w:ascii="宋体" w:hAnsi="宋体" w:cs="宋体"/>
          <w:color w:val="auto"/>
          <w:spacing w:val="-1"/>
          <w:sz w:val="24"/>
        </w:rPr>
        <w:t>）因发包人原因导致的暂停实施养护作业；</w:t>
      </w:r>
    </w:p>
    <w:p w14:paraId="3FBEF87F">
      <w:pPr>
        <w:spacing w:before="115" w:line="219" w:lineRule="auto"/>
        <w:ind w:left="492"/>
        <w:rPr>
          <w:rFonts w:ascii="宋体" w:hAnsi="宋体" w:cs="宋体"/>
          <w:color w:val="auto"/>
          <w:sz w:val="24"/>
        </w:rPr>
      </w:pPr>
      <w:r>
        <w:rPr>
          <w:rFonts w:ascii="宋体" w:hAnsi="宋体" w:cs="宋体"/>
          <w:color w:val="auto"/>
          <w:spacing w:val="-3"/>
          <w:sz w:val="24"/>
        </w:rPr>
        <w:t>（</w:t>
      </w:r>
      <w:r>
        <w:rPr>
          <w:rFonts w:eastAsia="Times New Roman"/>
          <w:color w:val="auto"/>
          <w:spacing w:val="-3"/>
          <w:sz w:val="24"/>
        </w:rPr>
        <w:t>5</w:t>
      </w:r>
      <w:r>
        <w:rPr>
          <w:rFonts w:ascii="宋体" w:hAnsi="宋体" w:cs="宋体"/>
          <w:color w:val="auto"/>
          <w:spacing w:val="-3"/>
          <w:sz w:val="24"/>
        </w:rPr>
        <w:t>）提供图纸延误；</w:t>
      </w:r>
    </w:p>
    <w:p w14:paraId="4FC44313">
      <w:pPr>
        <w:spacing w:before="117" w:line="219" w:lineRule="auto"/>
        <w:ind w:left="492"/>
        <w:rPr>
          <w:rFonts w:ascii="宋体" w:hAnsi="宋体" w:cs="宋体"/>
          <w:color w:val="auto"/>
          <w:spacing w:val="-1"/>
          <w:sz w:val="24"/>
        </w:rPr>
      </w:pPr>
      <w:r>
        <w:rPr>
          <w:rFonts w:ascii="宋体" w:hAnsi="宋体" w:cs="宋体"/>
          <w:color w:val="auto"/>
          <w:spacing w:val="-1"/>
          <w:sz w:val="24"/>
        </w:rPr>
        <w:t>（</w:t>
      </w:r>
      <w:r>
        <w:rPr>
          <w:rFonts w:eastAsia="Times New Roman"/>
          <w:color w:val="auto"/>
          <w:spacing w:val="-1"/>
          <w:sz w:val="24"/>
        </w:rPr>
        <w:t>6</w:t>
      </w:r>
      <w:r>
        <w:rPr>
          <w:rFonts w:ascii="宋体" w:hAnsi="宋体" w:cs="宋体"/>
          <w:color w:val="auto"/>
          <w:spacing w:val="-1"/>
          <w:sz w:val="24"/>
        </w:rPr>
        <w:t>）未按合同约定及时支付预付款、进度款；</w:t>
      </w:r>
      <w:bookmarkStart w:id="144" w:name="bookmark218"/>
      <w:bookmarkEnd w:id="144"/>
    </w:p>
    <w:p w14:paraId="2854A897">
      <w:pPr>
        <w:spacing w:before="117" w:line="219" w:lineRule="auto"/>
        <w:ind w:left="492"/>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7</w:t>
      </w:r>
      <w:r>
        <w:rPr>
          <w:rFonts w:ascii="宋体" w:hAnsi="宋体" w:cs="宋体"/>
          <w:color w:val="auto"/>
          <w:spacing w:val="-2"/>
          <w:sz w:val="24"/>
        </w:rPr>
        <w:t>）发包人造成工期延误的其他原因。</w:t>
      </w:r>
    </w:p>
    <w:p w14:paraId="6FEC9DEF">
      <w:pPr>
        <w:spacing w:before="113" w:line="304" w:lineRule="auto"/>
        <w:ind w:left="1" w:firstLine="496"/>
        <w:rPr>
          <w:rFonts w:ascii="宋体" w:hAnsi="宋体" w:cs="宋体"/>
          <w:color w:val="auto"/>
          <w:sz w:val="24"/>
        </w:rPr>
      </w:pPr>
      <w:r>
        <w:rPr>
          <w:rFonts w:ascii="宋体" w:hAnsi="宋体" w:cs="宋体"/>
          <w:color w:val="auto"/>
          <w:sz w:val="24"/>
        </w:rPr>
        <w:t>即使由于上述原因造成工期延误，如果受影响的工作并非处在养护作业进度网</w:t>
      </w:r>
      <w:r>
        <w:rPr>
          <w:rFonts w:ascii="宋体" w:hAnsi="宋体" w:cs="宋体"/>
          <w:color w:val="auto"/>
          <w:spacing w:val="-1"/>
          <w:sz w:val="24"/>
        </w:rPr>
        <w:t>络计划的关键线路上，则承包人无权要求延长总工期。</w:t>
      </w:r>
    </w:p>
    <w:p w14:paraId="6508B759">
      <w:pPr>
        <w:spacing w:line="219" w:lineRule="auto"/>
        <w:ind w:left="487"/>
        <w:outlineLvl w:val="3"/>
        <w:rPr>
          <w:rFonts w:ascii="宋体" w:hAnsi="宋体" w:cs="宋体"/>
          <w:color w:val="auto"/>
          <w:sz w:val="24"/>
        </w:rPr>
      </w:pPr>
      <w:r>
        <w:rPr>
          <w:rFonts w:eastAsia="Times New Roman"/>
          <w:b/>
          <w:bCs/>
          <w:color w:val="auto"/>
          <w:spacing w:val="-3"/>
          <w:sz w:val="24"/>
        </w:rPr>
        <w:t xml:space="preserve">11.4 </w:t>
      </w:r>
      <w:r>
        <w:rPr>
          <w:rFonts w:ascii="宋体" w:hAnsi="宋体" w:cs="宋体"/>
          <w:b/>
          <w:bCs/>
          <w:color w:val="auto"/>
          <w:spacing w:val="-3"/>
          <w:sz w:val="24"/>
        </w:rPr>
        <w:t>异常恶劣的气候条件</w:t>
      </w:r>
    </w:p>
    <w:p w14:paraId="7C62C3A6">
      <w:pPr>
        <w:spacing w:before="124" w:line="304" w:lineRule="auto"/>
        <w:ind w:firstLine="510"/>
        <w:rPr>
          <w:rFonts w:ascii="宋体" w:hAnsi="宋体" w:cs="宋体"/>
          <w:color w:val="auto"/>
          <w:sz w:val="24"/>
        </w:rPr>
      </w:pPr>
      <w:r>
        <w:rPr>
          <w:rFonts w:ascii="宋体" w:hAnsi="宋体" w:cs="宋体"/>
          <w:color w:val="auto"/>
          <w:sz w:val="24"/>
        </w:rPr>
        <w:t>由于出现专用合同条款约定的异常恶劣的气候条件导致工期延误的，</w:t>
      </w:r>
      <w:r>
        <w:rPr>
          <w:rFonts w:ascii="宋体" w:hAnsi="宋体" w:cs="宋体"/>
          <w:color w:val="auto"/>
          <w:spacing w:val="-1"/>
          <w:sz w:val="24"/>
        </w:rPr>
        <w:t>承包人有权要求发包人延长工期。</w:t>
      </w:r>
    </w:p>
    <w:p w14:paraId="561E6C21">
      <w:pPr>
        <w:spacing w:line="219" w:lineRule="auto"/>
        <w:ind w:left="487"/>
        <w:outlineLvl w:val="3"/>
        <w:rPr>
          <w:rFonts w:ascii="宋体" w:hAnsi="宋体" w:cs="宋体"/>
          <w:color w:val="auto"/>
          <w:sz w:val="24"/>
        </w:rPr>
      </w:pPr>
      <w:r>
        <w:rPr>
          <w:rFonts w:eastAsia="Times New Roman"/>
          <w:b/>
          <w:bCs/>
          <w:color w:val="auto"/>
          <w:spacing w:val="-2"/>
          <w:sz w:val="24"/>
        </w:rPr>
        <w:t xml:space="preserve">11.5  </w:t>
      </w:r>
      <w:r>
        <w:rPr>
          <w:rFonts w:ascii="宋体" w:hAnsi="宋体" w:cs="宋体"/>
          <w:b/>
          <w:bCs/>
          <w:color w:val="auto"/>
          <w:spacing w:val="-2"/>
          <w:sz w:val="24"/>
        </w:rPr>
        <w:t>承包人引起的工期延误</w:t>
      </w:r>
    </w:p>
    <w:p w14:paraId="4F06C409">
      <w:pPr>
        <w:spacing w:before="122" w:line="307" w:lineRule="auto"/>
        <w:ind w:firstLine="510"/>
        <w:rPr>
          <w:rFonts w:ascii="宋体" w:hAnsi="宋体" w:cs="宋体"/>
          <w:color w:val="auto"/>
          <w:sz w:val="24"/>
        </w:rPr>
      </w:pPr>
      <w:r>
        <w:rPr>
          <w:rFonts w:ascii="宋体" w:hAnsi="宋体" w:cs="宋体"/>
          <w:color w:val="auto"/>
          <w:sz w:val="24"/>
        </w:rPr>
        <w:t>由于承包人原因，未能按合同进度计划完成工作，或咨询人认为承包</w:t>
      </w:r>
      <w:r>
        <w:rPr>
          <w:rFonts w:ascii="宋体" w:hAnsi="宋体" w:cs="宋体"/>
          <w:color w:val="auto"/>
          <w:spacing w:val="-1"/>
          <w:sz w:val="24"/>
        </w:rPr>
        <w:t>人养护作</w:t>
      </w:r>
      <w:r>
        <w:rPr>
          <w:rFonts w:ascii="宋体" w:hAnsi="宋体" w:cs="宋体"/>
          <w:color w:val="auto"/>
          <w:spacing w:val="1"/>
          <w:sz w:val="24"/>
        </w:rPr>
        <w:t>业进度不能满足合同工期要求的，承包人应采取措施加快进</w:t>
      </w:r>
      <w:r>
        <w:rPr>
          <w:rFonts w:ascii="宋体" w:hAnsi="宋体" w:cs="宋体"/>
          <w:color w:val="auto"/>
          <w:sz w:val="24"/>
        </w:rPr>
        <w:t>度，并承担加快进度所</w:t>
      </w:r>
      <w:r>
        <w:rPr>
          <w:rFonts w:ascii="宋体" w:hAnsi="宋体" w:cs="宋体"/>
          <w:color w:val="auto"/>
          <w:spacing w:val="1"/>
          <w:sz w:val="24"/>
        </w:rPr>
        <w:t>增加的费用。由于承包人原因造成工期延误，承包人应</w:t>
      </w:r>
      <w:r>
        <w:rPr>
          <w:rFonts w:ascii="宋体" w:hAnsi="宋体" w:cs="宋体"/>
          <w:color w:val="auto"/>
          <w:sz w:val="24"/>
        </w:rPr>
        <w:t>支付逾期交工违约金。逾期</w:t>
      </w:r>
      <w:r>
        <w:rPr>
          <w:rFonts w:ascii="宋体" w:hAnsi="宋体" w:cs="宋体"/>
          <w:color w:val="auto"/>
          <w:spacing w:val="1"/>
          <w:sz w:val="24"/>
        </w:rPr>
        <w:t>交工违约金的计算方法在专用合同条款数据表中约定，时间</w:t>
      </w:r>
      <w:r>
        <w:rPr>
          <w:rFonts w:ascii="宋体" w:hAnsi="宋体" w:cs="宋体"/>
          <w:color w:val="auto"/>
          <w:sz w:val="24"/>
        </w:rPr>
        <w:t>自预定的交工日期起至</w:t>
      </w:r>
      <w:r>
        <w:rPr>
          <w:rFonts w:ascii="宋体" w:hAnsi="宋体" w:cs="宋体"/>
          <w:color w:val="auto"/>
          <w:spacing w:val="3"/>
          <w:sz w:val="24"/>
        </w:rPr>
        <w:t>交工验收证书中写明的实际交工日期止（扣除已批准的延长工期</w:t>
      </w:r>
      <w:r>
        <w:rPr>
          <w:rFonts w:ascii="宋体" w:hAnsi="宋体" w:cs="宋体"/>
          <w:color w:val="auto"/>
          <w:spacing w:val="-39"/>
          <w:sz w:val="24"/>
        </w:rPr>
        <w:t>），</w:t>
      </w:r>
      <w:r>
        <w:rPr>
          <w:rFonts w:ascii="宋体" w:hAnsi="宋体" w:cs="宋体"/>
          <w:color w:val="auto"/>
          <w:spacing w:val="3"/>
          <w:sz w:val="24"/>
        </w:rPr>
        <w:t>按天计算。逾</w:t>
      </w:r>
      <w:r>
        <w:rPr>
          <w:rFonts w:ascii="宋体" w:hAnsi="宋体" w:cs="宋体"/>
          <w:color w:val="auto"/>
          <w:spacing w:val="1"/>
          <w:sz w:val="24"/>
        </w:rPr>
        <w:t>期交工违约金累计金额最高不超过专用合同条款数据表中写</w:t>
      </w:r>
      <w:r>
        <w:rPr>
          <w:rFonts w:ascii="宋体" w:hAnsi="宋体" w:cs="宋体"/>
          <w:color w:val="auto"/>
          <w:sz w:val="24"/>
        </w:rPr>
        <w:t>明的限额。发包人可以</w:t>
      </w:r>
      <w:r>
        <w:rPr>
          <w:rFonts w:ascii="宋体" w:hAnsi="宋体" w:cs="宋体"/>
          <w:color w:val="auto"/>
          <w:spacing w:val="1"/>
          <w:sz w:val="24"/>
        </w:rPr>
        <w:t>从应付或到期应付给承包人的任何款项中或采用其他方</w:t>
      </w:r>
      <w:r>
        <w:rPr>
          <w:rFonts w:ascii="宋体" w:hAnsi="宋体" w:cs="宋体"/>
          <w:color w:val="auto"/>
          <w:sz w:val="24"/>
        </w:rPr>
        <w:t>法扣除此违约金。承包人支付逾期交工违约金，不免除承包人完成养护项</w:t>
      </w:r>
      <w:r>
        <w:rPr>
          <w:rFonts w:ascii="宋体" w:hAnsi="宋体" w:cs="宋体"/>
          <w:color w:val="auto"/>
          <w:spacing w:val="-1"/>
          <w:sz w:val="24"/>
        </w:rPr>
        <w:t>目及修补缺陷的义务。</w:t>
      </w:r>
    </w:p>
    <w:p w14:paraId="6AFF2589">
      <w:pPr>
        <w:spacing w:line="220" w:lineRule="auto"/>
        <w:ind w:left="487"/>
        <w:outlineLvl w:val="3"/>
        <w:rPr>
          <w:rFonts w:ascii="宋体" w:hAnsi="宋体" w:cs="宋体"/>
          <w:color w:val="auto"/>
          <w:sz w:val="24"/>
        </w:rPr>
      </w:pPr>
      <w:r>
        <w:rPr>
          <w:rFonts w:eastAsia="Times New Roman"/>
          <w:b/>
          <w:bCs/>
          <w:color w:val="auto"/>
          <w:spacing w:val="-3"/>
          <w:sz w:val="24"/>
        </w:rPr>
        <w:t xml:space="preserve">11.6  </w:t>
      </w:r>
      <w:r>
        <w:rPr>
          <w:rFonts w:ascii="宋体" w:hAnsi="宋体" w:cs="宋体"/>
          <w:b/>
          <w:bCs/>
          <w:color w:val="auto"/>
          <w:spacing w:val="-3"/>
          <w:sz w:val="24"/>
        </w:rPr>
        <w:t>工作时间的限制</w:t>
      </w:r>
    </w:p>
    <w:p w14:paraId="7AD48331">
      <w:pPr>
        <w:spacing w:before="126" w:line="307" w:lineRule="auto"/>
        <w:ind w:left="1" w:firstLine="479"/>
        <w:rPr>
          <w:rFonts w:ascii="宋体" w:hAnsi="宋体" w:cs="宋体"/>
          <w:color w:val="auto"/>
          <w:sz w:val="24"/>
        </w:rPr>
      </w:pPr>
      <w:r>
        <w:rPr>
          <w:rFonts w:ascii="宋体" w:hAnsi="宋体" w:cs="宋体"/>
          <w:color w:val="auto"/>
          <w:spacing w:val="1"/>
          <w:sz w:val="24"/>
        </w:rPr>
        <w:t>承包人在夜间或国家规定的节假日进行养护作业，应向咨</w:t>
      </w:r>
      <w:r>
        <w:rPr>
          <w:rFonts w:ascii="宋体" w:hAnsi="宋体" w:cs="宋体"/>
          <w:color w:val="auto"/>
          <w:sz w:val="24"/>
        </w:rPr>
        <w:t>询人报告，以便咨询</w:t>
      </w:r>
      <w:r>
        <w:rPr>
          <w:rFonts w:ascii="宋体" w:hAnsi="宋体" w:cs="宋体"/>
          <w:color w:val="auto"/>
          <w:spacing w:val="1"/>
          <w:sz w:val="24"/>
        </w:rPr>
        <w:t>人履行监督管理职责和义务。为抢救生命或保护财产，</w:t>
      </w:r>
      <w:r>
        <w:rPr>
          <w:rFonts w:ascii="宋体" w:hAnsi="宋体" w:cs="宋体"/>
          <w:color w:val="auto"/>
          <w:sz w:val="24"/>
        </w:rPr>
        <w:t>或为养护项目的安全、质量</w:t>
      </w:r>
      <w:r>
        <w:rPr>
          <w:rFonts w:ascii="宋体" w:hAnsi="宋体" w:cs="宋体"/>
          <w:color w:val="auto"/>
          <w:spacing w:val="1"/>
          <w:sz w:val="24"/>
        </w:rPr>
        <w:t>而不可避免地短暂作业，则不必事先向咨询人报告。但</w:t>
      </w:r>
      <w:r>
        <w:rPr>
          <w:rFonts w:ascii="宋体" w:hAnsi="宋体" w:cs="宋体"/>
          <w:color w:val="auto"/>
          <w:sz w:val="24"/>
        </w:rPr>
        <w:t>承包人应在事后立即向咨询</w:t>
      </w:r>
      <w:r>
        <w:rPr>
          <w:rFonts w:ascii="宋体" w:hAnsi="宋体" w:cs="宋体"/>
          <w:color w:val="auto"/>
          <w:spacing w:val="-3"/>
          <w:sz w:val="24"/>
        </w:rPr>
        <w:t>人报告。</w:t>
      </w:r>
    </w:p>
    <w:p w14:paraId="4572CF30">
      <w:pPr>
        <w:spacing w:before="126" w:line="307" w:lineRule="auto"/>
        <w:ind w:left="1" w:firstLine="479"/>
        <w:rPr>
          <w:rFonts w:ascii="宋体" w:hAnsi="宋体" w:cs="宋体"/>
          <w:color w:val="auto"/>
          <w:spacing w:val="1"/>
          <w:sz w:val="24"/>
        </w:rPr>
      </w:pPr>
      <w:r>
        <w:rPr>
          <w:rFonts w:ascii="宋体" w:hAnsi="宋体" w:cs="宋体"/>
          <w:color w:val="auto"/>
          <w:spacing w:val="1"/>
          <w:sz w:val="24"/>
        </w:rPr>
        <w:t>本款约定不适用于习惯上或养护项目本身要求实行连续生产的作业。</w:t>
      </w:r>
    </w:p>
    <w:p w14:paraId="3CC605C8">
      <w:pPr>
        <w:spacing w:before="126" w:line="307" w:lineRule="auto"/>
        <w:rPr>
          <w:rFonts w:ascii="宋体" w:hAnsi="宋体" w:cs="宋体"/>
          <w:b/>
          <w:bCs/>
          <w:color w:val="auto"/>
          <w:spacing w:val="1"/>
          <w:sz w:val="24"/>
        </w:rPr>
      </w:pPr>
      <w:r>
        <w:rPr>
          <w:rFonts w:hint="eastAsia" w:ascii="宋体" w:hAnsi="宋体" w:cs="宋体"/>
          <w:b/>
          <w:bCs/>
          <w:color w:val="auto"/>
          <w:spacing w:val="1"/>
          <w:sz w:val="24"/>
        </w:rPr>
        <w:t xml:space="preserve">（增加）11.7其它进度要求 </w:t>
      </w:r>
    </w:p>
    <w:p w14:paraId="36170B65">
      <w:pPr>
        <w:spacing w:before="126" w:line="307" w:lineRule="auto"/>
        <w:ind w:left="1" w:firstLine="479"/>
        <w:rPr>
          <w:rFonts w:ascii="宋体" w:hAnsi="宋体" w:cs="宋体"/>
          <w:color w:val="auto"/>
          <w:spacing w:val="1"/>
          <w:sz w:val="24"/>
        </w:rPr>
      </w:pPr>
      <w:r>
        <w:rPr>
          <w:rFonts w:ascii="宋体" w:hAnsi="宋体" w:cs="宋体"/>
          <w:color w:val="auto"/>
          <w:spacing w:val="1"/>
          <w:sz w:val="24"/>
        </w:rPr>
        <w:t>（</w:t>
      </w:r>
      <w:r>
        <w:rPr>
          <w:rFonts w:hint="eastAsia" w:ascii="宋体" w:hAnsi="宋体" w:cs="宋体"/>
          <w:color w:val="auto"/>
          <w:spacing w:val="1"/>
          <w:sz w:val="24"/>
        </w:rPr>
        <w:t xml:space="preserve">1）承包人应加强工程进度计划管理，努力实现均衡组织施工的目标。 </w:t>
      </w:r>
    </w:p>
    <w:p w14:paraId="06BEE19B">
      <w:pPr>
        <w:spacing w:before="126" w:line="307" w:lineRule="auto"/>
        <w:ind w:left="1" w:firstLine="479"/>
        <w:rPr>
          <w:rFonts w:ascii="宋体" w:hAnsi="宋体" w:cs="宋体"/>
          <w:color w:val="auto"/>
          <w:spacing w:val="1"/>
          <w:sz w:val="24"/>
        </w:rPr>
      </w:pPr>
      <w:r>
        <w:rPr>
          <w:rFonts w:hint="eastAsia" w:ascii="宋体" w:hAnsi="宋体" w:cs="宋体"/>
          <w:color w:val="auto"/>
          <w:spacing w:val="1"/>
          <w:sz w:val="24"/>
        </w:rPr>
        <w:t>a.施工影响原有道路交通的，应根据施工必须保证交通通畅的特点，科学合理安排施工时间，采取妥当的施工方法，确保不影响道路交通畅通。</w:t>
      </w:r>
    </w:p>
    <w:p w14:paraId="1DE9E5BB">
      <w:pPr>
        <w:spacing w:before="1" w:line="218" w:lineRule="auto"/>
        <w:ind w:left="481"/>
        <w:rPr>
          <w:color w:val="auto"/>
        </w:rPr>
      </w:pPr>
    </w:p>
    <w:p w14:paraId="75F9EE6F">
      <w:pPr>
        <w:spacing w:before="79" w:line="219" w:lineRule="auto"/>
        <w:ind w:left="487"/>
        <w:outlineLvl w:val="2"/>
        <w:rPr>
          <w:rFonts w:ascii="宋体" w:hAnsi="宋体" w:cs="宋体"/>
          <w:color w:val="auto"/>
          <w:sz w:val="24"/>
        </w:rPr>
      </w:pPr>
      <w:bookmarkStart w:id="145" w:name="bookmark30"/>
      <w:bookmarkEnd w:id="145"/>
      <w:bookmarkStart w:id="146" w:name="bookmark29"/>
      <w:bookmarkEnd w:id="146"/>
      <w:r>
        <w:rPr>
          <w:rFonts w:eastAsia="Times New Roman"/>
          <w:b/>
          <w:bCs/>
          <w:color w:val="auto"/>
          <w:spacing w:val="-6"/>
          <w:sz w:val="24"/>
        </w:rPr>
        <w:t>12.</w:t>
      </w:r>
      <w:r>
        <w:rPr>
          <w:rFonts w:ascii="宋体" w:hAnsi="宋体" w:cs="宋体"/>
          <w:b/>
          <w:bCs/>
          <w:color w:val="auto"/>
          <w:spacing w:val="-6"/>
          <w:sz w:val="24"/>
        </w:rPr>
        <w:t>暂停养护作业</w:t>
      </w:r>
    </w:p>
    <w:p w14:paraId="697E0CE6">
      <w:pPr>
        <w:spacing w:before="260" w:line="219" w:lineRule="auto"/>
        <w:ind w:left="487"/>
        <w:outlineLvl w:val="3"/>
        <w:rPr>
          <w:rFonts w:ascii="宋体" w:hAnsi="宋体" w:cs="宋体"/>
          <w:color w:val="auto"/>
          <w:sz w:val="24"/>
        </w:rPr>
      </w:pPr>
      <w:r>
        <w:rPr>
          <w:rFonts w:eastAsia="Times New Roman"/>
          <w:b/>
          <w:bCs/>
          <w:color w:val="auto"/>
          <w:spacing w:val="-3"/>
          <w:sz w:val="24"/>
        </w:rPr>
        <w:t xml:space="preserve">12.1  </w:t>
      </w:r>
      <w:r>
        <w:rPr>
          <w:rFonts w:ascii="宋体" w:hAnsi="宋体" w:cs="宋体"/>
          <w:b/>
          <w:bCs/>
          <w:color w:val="auto"/>
          <w:spacing w:val="-3"/>
          <w:sz w:val="24"/>
        </w:rPr>
        <w:t>承包人暂停养护作业的责任</w:t>
      </w:r>
    </w:p>
    <w:p w14:paraId="130CD72E">
      <w:pPr>
        <w:spacing w:before="126" w:line="219" w:lineRule="auto"/>
        <w:ind w:left="499"/>
        <w:rPr>
          <w:rFonts w:ascii="宋体" w:hAnsi="宋体" w:cs="宋体"/>
          <w:color w:val="auto"/>
          <w:sz w:val="24"/>
        </w:rPr>
      </w:pPr>
      <w:r>
        <w:rPr>
          <w:rFonts w:ascii="宋体" w:hAnsi="宋体" w:cs="宋体"/>
          <w:color w:val="auto"/>
          <w:spacing w:val="-1"/>
          <w:sz w:val="24"/>
        </w:rPr>
        <w:t>因下列暂停养护作业增加的费用和（或）工期延误由承包人承担：</w:t>
      </w:r>
    </w:p>
    <w:p w14:paraId="609FBECF">
      <w:pPr>
        <w:spacing w:before="114" w:line="219" w:lineRule="auto"/>
        <w:ind w:left="492"/>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1</w:t>
      </w:r>
      <w:r>
        <w:rPr>
          <w:rFonts w:ascii="宋体" w:hAnsi="宋体" w:cs="宋体"/>
          <w:color w:val="auto"/>
          <w:spacing w:val="-2"/>
          <w:sz w:val="24"/>
        </w:rPr>
        <w:t>）承包人违约引起的暂停养护作业；</w:t>
      </w:r>
    </w:p>
    <w:p w14:paraId="7AFA4779">
      <w:pPr>
        <w:spacing w:before="116" w:line="219" w:lineRule="auto"/>
        <w:ind w:left="492"/>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2</w:t>
      </w:r>
      <w:r>
        <w:rPr>
          <w:rFonts w:ascii="宋体" w:hAnsi="宋体" w:cs="宋体"/>
          <w:color w:val="auto"/>
          <w:spacing w:val="-1"/>
          <w:sz w:val="24"/>
        </w:rPr>
        <w:t>）由于承包人原因为合理作业和安全保障所必需的暂停养护作业；</w:t>
      </w:r>
    </w:p>
    <w:p w14:paraId="1CBA9EA9">
      <w:pPr>
        <w:spacing w:before="116" w:line="219" w:lineRule="auto"/>
        <w:ind w:left="492"/>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3</w:t>
      </w:r>
      <w:r>
        <w:rPr>
          <w:rFonts w:ascii="宋体" w:hAnsi="宋体" w:cs="宋体"/>
          <w:color w:val="auto"/>
          <w:spacing w:val="-2"/>
          <w:sz w:val="24"/>
        </w:rPr>
        <w:t>）承包人擅自暂停的养护作业；</w:t>
      </w:r>
    </w:p>
    <w:p w14:paraId="2C987107">
      <w:pPr>
        <w:spacing w:before="113" w:line="219" w:lineRule="auto"/>
        <w:ind w:left="492"/>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4</w:t>
      </w:r>
      <w:r>
        <w:rPr>
          <w:rFonts w:ascii="宋体" w:hAnsi="宋体" w:cs="宋体"/>
          <w:color w:val="auto"/>
          <w:spacing w:val="-2"/>
          <w:sz w:val="24"/>
        </w:rPr>
        <w:t>）承包人其他原因引起的暂停养护作业；</w:t>
      </w:r>
    </w:p>
    <w:p w14:paraId="5596D22E">
      <w:pPr>
        <w:spacing w:before="117" w:line="264" w:lineRule="auto"/>
        <w:ind w:left="5" w:firstLine="486"/>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5</w:t>
      </w:r>
      <w:r>
        <w:rPr>
          <w:rFonts w:ascii="宋体" w:hAnsi="宋体" w:cs="宋体"/>
          <w:color w:val="auto"/>
          <w:spacing w:val="1"/>
          <w:sz w:val="24"/>
        </w:rPr>
        <w:t>）现场气候条件导致的必要暂停（第</w:t>
      </w:r>
      <w:r>
        <w:rPr>
          <w:rFonts w:eastAsia="Times New Roman"/>
          <w:color w:val="auto"/>
          <w:spacing w:val="1"/>
          <w:sz w:val="24"/>
        </w:rPr>
        <w:t xml:space="preserve">11.4 </w:t>
      </w:r>
      <w:r>
        <w:rPr>
          <w:rFonts w:ascii="宋体" w:hAnsi="宋体" w:cs="宋体"/>
          <w:color w:val="auto"/>
          <w:spacing w:val="1"/>
          <w:sz w:val="24"/>
        </w:rPr>
        <w:t>款约定的异常恶劣的气候条件除</w:t>
      </w:r>
      <w:r>
        <w:rPr>
          <w:rFonts w:ascii="宋体" w:hAnsi="宋体" w:cs="宋体"/>
          <w:color w:val="auto"/>
          <w:spacing w:val="-15"/>
          <w:sz w:val="24"/>
        </w:rPr>
        <w:t>外</w:t>
      </w:r>
      <w:r>
        <w:rPr>
          <w:rFonts w:ascii="宋体" w:hAnsi="宋体" w:cs="宋体"/>
          <w:color w:val="auto"/>
          <w:spacing w:val="-45"/>
          <w:sz w:val="24"/>
        </w:rPr>
        <w:t>）；</w:t>
      </w:r>
    </w:p>
    <w:p w14:paraId="64BE2C26">
      <w:pPr>
        <w:spacing w:before="112" w:line="219" w:lineRule="auto"/>
        <w:ind w:left="492"/>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6</w:t>
      </w:r>
      <w:r>
        <w:rPr>
          <w:rFonts w:ascii="宋体" w:hAnsi="宋体" w:cs="宋体"/>
          <w:color w:val="auto"/>
          <w:spacing w:val="-1"/>
          <w:sz w:val="24"/>
        </w:rPr>
        <w:t>）专用合同条款约定的由承包人承担的其他暂停养护作业。</w:t>
      </w:r>
    </w:p>
    <w:p w14:paraId="397528F1">
      <w:pPr>
        <w:spacing w:before="107" w:line="219" w:lineRule="auto"/>
        <w:ind w:left="487"/>
        <w:outlineLvl w:val="3"/>
        <w:rPr>
          <w:rFonts w:ascii="宋体" w:hAnsi="宋体" w:cs="宋体"/>
          <w:color w:val="auto"/>
          <w:sz w:val="24"/>
        </w:rPr>
      </w:pPr>
      <w:r>
        <w:rPr>
          <w:rFonts w:eastAsia="Times New Roman"/>
          <w:b/>
          <w:bCs/>
          <w:color w:val="auto"/>
          <w:spacing w:val="-3"/>
          <w:sz w:val="24"/>
        </w:rPr>
        <w:t xml:space="preserve">12.2  </w:t>
      </w:r>
      <w:r>
        <w:rPr>
          <w:rFonts w:ascii="宋体" w:hAnsi="宋体" w:cs="宋体"/>
          <w:b/>
          <w:bCs/>
          <w:color w:val="auto"/>
          <w:spacing w:val="-3"/>
          <w:sz w:val="24"/>
        </w:rPr>
        <w:t>发包人暂停养护作业的责任</w:t>
      </w:r>
    </w:p>
    <w:p w14:paraId="2C9F7750">
      <w:pPr>
        <w:spacing w:before="126" w:line="219" w:lineRule="auto"/>
        <w:jc w:val="right"/>
        <w:rPr>
          <w:rFonts w:ascii="宋体" w:hAnsi="宋体" w:cs="宋体"/>
          <w:color w:val="auto"/>
          <w:sz w:val="24"/>
        </w:rPr>
      </w:pPr>
      <w:r>
        <w:rPr>
          <w:rFonts w:ascii="宋体" w:hAnsi="宋体" w:cs="宋体"/>
          <w:color w:val="auto"/>
          <w:sz w:val="24"/>
        </w:rPr>
        <w:t>由于发包人原因引起的暂停养护作业造成工期延误的，承包人有权要</w:t>
      </w:r>
      <w:r>
        <w:rPr>
          <w:rFonts w:ascii="宋体" w:hAnsi="宋体" w:cs="宋体"/>
          <w:color w:val="auto"/>
          <w:spacing w:val="-1"/>
          <w:sz w:val="24"/>
        </w:rPr>
        <w:t>求发包人</w:t>
      </w:r>
    </w:p>
    <w:p w14:paraId="6F54F50F">
      <w:pPr>
        <w:spacing w:before="281" w:line="219" w:lineRule="auto"/>
        <w:ind w:left="1"/>
        <w:rPr>
          <w:rFonts w:ascii="宋体" w:hAnsi="宋体" w:cs="宋体"/>
          <w:color w:val="auto"/>
          <w:sz w:val="24"/>
        </w:rPr>
      </w:pPr>
      <w:r>
        <w:rPr>
          <w:rFonts w:ascii="宋体" w:hAnsi="宋体" w:cs="宋体"/>
          <w:color w:val="auto"/>
          <w:spacing w:val="-1"/>
          <w:sz w:val="24"/>
        </w:rPr>
        <w:t>延长工期和（或）增加费用，并支付合理利润。</w:t>
      </w:r>
    </w:p>
    <w:p w14:paraId="4653E43E">
      <w:pPr>
        <w:spacing w:before="106" w:line="219" w:lineRule="auto"/>
        <w:ind w:left="487"/>
        <w:outlineLvl w:val="3"/>
        <w:rPr>
          <w:rFonts w:ascii="宋体" w:hAnsi="宋体" w:cs="宋体"/>
          <w:color w:val="auto"/>
          <w:sz w:val="24"/>
        </w:rPr>
      </w:pPr>
      <w:bookmarkStart w:id="147" w:name="bookmark219"/>
      <w:bookmarkEnd w:id="147"/>
      <w:r>
        <w:rPr>
          <w:rFonts w:eastAsia="Times New Roman"/>
          <w:b/>
          <w:bCs/>
          <w:color w:val="auto"/>
          <w:spacing w:val="-2"/>
          <w:sz w:val="24"/>
        </w:rPr>
        <w:t xml:space="preserve">12.3  </w:t>
      </w:r>
      <w:r>
        <w:rPr>
          <w:rFonts w:ascii="宋体" w:hAnsi="宋体" w:cs="宋体"/>
          <w:b/>
          <w:bCs/>
          <w:color w:val="auto"/>
          <w:spacing w:val="-2"/>
          <w:sz w:val="24"/>
        </w:rPr>
        <w:t>咨询人暂停养护作业指示</w:t>
      </w:r>
    </w:p>
    <w:p w14:paraId="7AF0395A">
      <w:pPr>
        <w:spacing w:before="124" w:line="278" w:lineRule="auto"/>
        <w:ind w:right="25" w:firstLine="499"/>
        <w:rPr>
          <w:rFonts w:ascii="宋体" w:hAnsi="宋体" w:cs="宋体"/>
          <w:color w:val="auto"/>
          <w:sz w:val="24"/>
        </w:rPr>
      </w:pPr>
      <w:r>
        <w:rPr>
          <w:rFonts w:eastAsia="Times New Roman"/>
          <w:color w:val="auto"/>
          <w:sz w:val="24"/>
        </w:rPr>
        <w:t xml:space="preserve">12.3.1  </w:t>
      </w:r>
      <w:r>
        <w:rPr>
          <w:rFonts w:ascii="宋体" w:hAnsi="宋体" w:cs="宋体"/>
          <w:color w:val="auto"/>
          <w:sz w:val="24"/>
        </w:rPr>
        <w:t>咨询人认为有必要时，可向承包人作出暂停养护作业的指示，承包人应</w:t>
      </w:r>
      <w:r>
        <w:rPr>
          <w:rFonts w:ascii="宋体" w:hAnsi="宋体" w:cs="宋体"/>
          <w:color w:val="auto"/>
          <w:spacing w:val="1"/>
          <w:sz w:val="24"/>
        </w:rPr>
        <w:t>按咨询人指示暂停养护作业。不论由于何种原因引起的暂停</w:t>
      </w:r>
      <w:r>
        <w:rPr>
          <w:rFonts w:ascii="宋体" w:hAnsi="宋体" w:cs="宋体"/>
          <w:color w:val="auto"/>
          <w:sz w:val="24"/>
        </w:rPr>
        <w:t>养护作业，暂停养护作</w:t>
      </w:r>
      <w:r>
        <w:rPr>
          <w:rFonts w:ascii="宋体" w:hAnsi="宋体" w:cs="宋体"/>
          <w:color w:val="auto"/>
          <w:spacing w:val="-1"/>
          <w:sz w:val="24"/>
        </w:rPr>
        <w:t>业期间承包人应负责妥善保护养护项目并提供安全保障。</w:t>
      </w:r>
    </w:p>
    <w:p w14:paraId="22DB0735">
      <w:pPr>
        <w:spacing w:before="112" w:line="286" w:lineRule="auto"/>
        <w:ind w:firstLine="499"/>
        <w:rPr>
          <w:rFonts w:ascii="宋体" w:hAnsi="宋体" w:cs="宋体"/>
          <w:color w:val="auto"/>
          <w:sz w:val="24"/>
        </w:rPr>
      </w:pPr>
      <w:r>
        <w:rPr>
          <w:rFonts w:eastAsia="Times New Roman"/>
          <w:color w:val="auto"/>
          <w:spacing w:val="-1"/>
          <w:sz w:val="24"/>
        </w:rPr>
        <w:t>12.3.2</w:t>
      </w:r>
      <w:r>
        <w:rPr>
          <w:rFonts w:ascii="宋体" w:hAnsi="宋体" w:cs="宋体"/>
          <w:color w:val="auto"/>
          <w:spacing w:val="-1"/>
          <w:sz w:val="24"/>
        </w:rPr>
        <w:t>由于发包人的原因发生暂停养护作业的紧急情况，且咨询人未及时下达</w:t>
      </w:r>
      <w:r>
        <w:rPr>
          <w:rFonts w:ascii="宋体" w:hAnsi="宋体" w:cs="宋体"/>
          <w:color w:val="auto"/>
          <w:spacing w:val="1"/>
          <w:sz w:val="24"/>
        </w:rPr>
        <w:t>暂停养护作业指示的，承包人可先暂停养护作业，并及时向</w:t>
      </w:r>
      <w:r>
        <w:rPr>
          <w:rFonts w:ascii="宋体" w:hAnsi="宋体" w:cs="宋体"/>
          <w:color w:val="auto"/>
          <w:sz w:val="24"/>
        </w:rPr>
        <w:t>咨询人提出暂停养护作</w:t>
      </w:r>
      <w:r>
        <w:rPr>
          <w:rFonts w:ascii="宋体" w:hAnsi="宋体" w:cs="宋体"/>
          <w:color w:val="auto"/>
          <w:spacing w:val="-2"/>
          <w:sz w:val="24"/>
        </w:rPr>
        <w:t>业的书面请求。咨询人应在接到书面请求后的</w:t>
      </w:r>
      <w:r>
        <w:rPr>
          <w:rFonts w:eastAsia="Times New Roman"/>
          <w:color w:val="auto"/>
          <w:spacing w:val="-2"/>
          <w:sz w:val="24"/>
        </w:rPr>
        <w:t>24</w:t>
      </w:r>
      <w:r>
        <w:rPr>
          <w:rFonts w:ascii="宋体" w:hAnsi="宋体" w:cs="宋体"/>
          <w:color w:val="auto"/>
          <w:spacing w:val="-3"/>
          <w:sz w:val="24"/>
        </w:rPr>
        <w:t>小时内予以答复，逾期未答复的，</w:t>
      </w:r>
      <w:r>
        <w:rPr>
          <w:rFonts w:ascii="宋体" w:hAnsi="宋体" w:cs="宋体"/>
          <w:color w:val="auto"/>
          <w:spacing w:val="-1"/>
          <w:sz w:val="24"/>
        </w:rPr>
        <w:t>视为同意承包人的暂停养护作业请求。</w:t>
      </w:r>
    </w:p>
    <w:p w14:paraId="55E670AB">
      <w:pPr>
        <w:spacing w:before="106" w:line="219" w:lineRule="auto"/>
        <w:ind w:left="487"/>
        <w:outlineLvl w:val="3"/>
        <w:rPr>
          <w:rFonts w:ascii="宋体" w:hAnsi="宋体" w:cs="宋体"/>
          <w:color w:val="auto"/>
          <w:sz w:val="24"/>
        </w:rPr>
      </w:pPr>
      <w:r>
        <w:rPr>
          <w:rFonts w:eastAsia="Times New Roman"/>
          <w:b/>
          <w:bCs/>
          <w:color w:val="auto"/>
          <w:spacing w:val="-2"/>
          <w:sz w:val="24"/>
        </w:rPr>
        <w:t xml:space="preserve">12.4  </w:t>
      </w:r>
      <w:r>
        <w:rPr>
          <w:rFonts w:ascii="宋体" w:hAnsi="宋体" w:cs="宋体"/>
          <w:b/>
          <w:bCs/>
          <w:color w:val="auto"/>
          <w:spacing w:val="-2"/>
          <w:sz w:val="24"/>
        </w:rPr>
        <w:t>暂停养护作业后的复工</w:t>
      </w:r>
    </w:p>
    <w:p w14:paraId="2F16129C">
      <w:pPr>
        <w:spacing w:before="125" w:line="278" w:lineRule="auto"/>
        <w:ind w:left="3" w:right="25" w:firstLine="495"/>
        <w:rPr>
          <w:rFonts w:ascii="宋体" w:hAnsi="宋体" w:cs="宋体"/>
          <w:color w:val="auto"/>
          <w:sz w:val="24"/>
        </w:rPr>
      </w:pPr>
      <w:r>
        <w:rPr>
          <w:rFonts w:eastAsia="Times New Roman"/>
          <w:color w:val="auto"/>
          <w:spacing w:val="1"/>
          <w:sz w:val="24"/>
        </w:rPr>
        <w:t>12.4.1</w:t>
      </w:r>
      <w:r>
        <w:rPr>
          <w:rFonts w:ascii="宋体" w:hAnsi="宋体" w:cs="宋体"/>
          <w:color w:val="auto"/>
          <w:spacing w:val="1"/>
          <w:sz w:val="24"/>
        </w:rPr>
        <w:t>暂停养护作业后，咨询人应与发包人和承包人协商，采取有效措施积极消除暂停养护作业的影响。当工程具备复工条件时</w:t>
      </w:r>
      <w:r>
        <w:rPr>
          <w:rFonts w:ascii="宋体" w:hAnsi="宋体" w:cs="宋体"/>
          <w:color w:val="auto"/>
          <w:sz w:val="24"/>
        </w:rPr>
        <w:t>，咨询人应立即向承包人发出复</w:t>
      </w:r>
      <w:r>
        <w:rPr>
          <w:rFonts w:ascii="宋体" w:hAnsi="宋体" w:cs="宋体"/>
          <w:color w:val="auto"/>
          <w:spacing w:val="-1"/>
          <w:sz w:val="24"/>
        </w:rPr>
        <w:t>工通知。承包人收到复工通知后，应在咨询人指定的期限内复工。</w:t>
      </w:r>
    </w:p>
    <w:p w14:paraId="23982ABB">
      <w:pPr>
        <w:spacing w:before="116" w:line="278" w:lineRule="auto"/>
        <w:ind w:left="1" w:right="25" w:firstLine="497"/>
        <w:rPr>
          <w:rFonts w:ascii="宋体" w:hAnsi="宋体" w:cs="宋体"/>
          <w:color w:val="auto"/>
          <w:sz w:val="24"/>
        </w:rPr>
      </w:pPr>
      <w:r>
        <w:rPr>
          <w:rFonts w:eastAsia="Times New Roman"/>
          <w:color w:val="auto"/>
          <w:spacing w:val="2"/>
          <w:sz w:val="24"/>
        </w:rPr>
        <w:t xml:space="preserve">12.4.2 </w:t>
      </w:r>
      <w:r>
        <w:rPr>
          <w:rFonts w:ascii="宋体" w:hAnsi="宋体" w:cs="宋体"/>
          <w:color w:val="auto"/>
          <w:spacing w:val="2"/>
          <w:sz w:val="24"/>
        </w:rPr>
        <w:t>承包人无故拖延和拒绝复工的，由此增加的</w:t>
      </w:r>
      <w:r>
        <w:rPr>
          <w:rFonts w:ascii="宋体" w:hAnsi="宋体" w:cs="宋体"/>
          <w:color w:val="auto"/>
          <w:spacing w:val="1"/>
          <w:sz w:val="24"/>
        </w:rPr>
        <w:t>费用和工期延误由承包人承担；因发包人原因无法按时复工的，承包人有权要求发</w:t>
      </w:r>
      <w:r>
        <w:rPr>
          <w:rFonts w:ascii="宋体" w:hAnsi="宋体" w:cs="宋体"/>
          <w:color w:val="auto"/>
          <w:sz w:val="24"/>
        </w:rPr>
        <w:t>包人延长工期和（或）增加</w:t>
      </w:r>
      <w:r>
        <w:rPr>
          <w:rFonts w:ascii="宋体" w:hAnsi="宋体" w:cs="宋体"/>
          <w:color w:val="auto"/>
          <w:spacing w:val="-1"/>
          <w:sz w:val="24"/>
        </w:rPr>
        <w:t>费用，并支付合理利润。</w:t>
      </w:r>
    </w:p>
    <w:p w14:paraId="1858DDEC">
      <w:pPr>
        <w:spacing w:before="106" w:line="219" w:lineRule="auto"/>
        <w:ind w:left="487"/>
        <w:outlineLvl w:val="3"/>
        <w:rPr>
          <w:rFonts w:ascii="宋体" w:hAnsi="宋体" w:cs="宋体"/>
          <w:color w:val="auto"/>
          <w:sz w:val="24"/>
        </w:rPr>
      </w:pPr>
      <w:r>
        <w:rPr>
          <w:rFonts w:eastAsia="Times New Roman"/>
          <w:b/>
          <w:bCs/>
          <w:color w:val="auto"/>
          <w:spacing w:val="-4"/>
          <w:sz w:val="24"/>
        </w:rPr>
        <w:t xml:space="preserve">12.5  </w:t>
      </w:r>
      <w:r>
        <w:rPr>
          <w:rFonts w:ascii="宋体" w:hAnsi="宋体" w:cs="宋体"/>
          <w:b/>
          <w:bCs/>
          <w:color w:val="auto"/>
          <w:spacing w:val="-4"/>
          <w:sz w:val="24"/>
        </w:rPr>
        <w:t>暂停养护作业持续</w:t>
      </w:r>
      <w:r>
        <w:rPr>
          <w:rFonts w:eastAsia="Times New Roman"/>
          <w:b/>
          <w:bCs/>
          <w:color w:val="auto"/>
          <w:spacing w:val="-4"/>
          <w:sz w:val="24"/>
        </w:rPr>
        <w:t>14</w:t>
      </w:r>
      <w:r>
        <w:rPr>
          <w:rFonts w:ascii="宋体" w:hAnsi="宋体" w:cs="宋体"/>
          <w:b/>
          <w:bCs/>
          <w:color w:val="auto"/>
          <w:spacing w:val="-4"/>
          <w:sz w:val="24"/>
        </w:rPr>
        <w:t>天以上</w:t>
      </w:r>
    </w:p>
    <w:p w14:paraId="62073273">
      <w:pPr>
        <w:spacing w:before="122" w:line="310" w:lineRule="auto"/>
        <w:ind w:left="1" w:right="25" w:firstLine="508"/>
        <w:rPr>
          <w:rFonts w:ascii="宋体" w:hAnsi="宋体" w:cs="宋体"/>
          <w:color w:val="auto"/>
          <w:sz w:val="24"/>
        </w:rPr>
      </w:pPr>
      <w:r>
        <w:rPr>
          <w:rFonts w:ascii="宋体" w:hAnsi="宋体" w:cs="宋体"/>
          <w:color w:val="auto"/>
          <w:sz w:val="24"/>
        </w:rPr>
        <w:t>由于承包人责任引起的暂停养护作业，如承包人在收到咨询人暂停养</w:t>
      </w:r>
      <w:r>
        <w:rPr>
          <w:rFonts w:ascii="宋体" w:hAnsi="宋体" w:cs="宋体"/>
          <w:color w:val="auto"/>
          <w:spacing w:val="-1"/>
          <w:sz w:val="24"/>
        </w:rPr>
        <w:t>护作业指</w:t>
      </w:r>
      <w:r>
        <w:rPr>
          <w:rFonts w:ascii="宋体" w:hAnsi="宋体" w:cs="宋体"/>
          <w:color w:val="auto"/>
          <w:spacing w:val="3"/>
          <w:sz w:val="24"/>
        </w:rPr>
        <w:t>示后</w:t>
      </w:r>
      <w:r>
        <w:rPr>
          <w:rFonts w:eastAsia="Times New Roman"/>
          <w:color w:val="auto"/>
          <w:spacing w:val="3"/>
          <w:sz w:val="24"/>
        </w:rPr>
        <w:t>14</w:t>
      </w:r>
      <w:r>
        <w:rPr>
          <w:rFonts w:ascii="宋体" w:hAnsi="宋体" w:cs="宋体"/>
          <w:color w:val="auto"/>
          <w:spacing w:val="3"/>
          <w:sz w:val="24"/>
        </w:rPr>
        <w:t>天内不认真采取有效的复工措施，造</w:t>
      </w:r>
      <w:r>
        <w:rPr>
          <w:rFonts w:ascii="宋体" w:hAnsi="宋体" w:cs="宋体"/>
          <w:color w:val="auto"/>
          <w:spacing w:val="2"/>
          <w:sz w:val="24"/>
        </w:rPr>
        <w:t>成工期延误，可视为承包人违约，应</w:t>
      </w:r>
      <w:r>
        <w:rPr>
          <w:rFonts w:ascii="宋体" w:hAnsi="宋体" w:cs="宋体"/>
          <w:color w:val="auto"/>
          <w:spacing w:val="-2"/>
          <w:sz w:val="24"/>
        </w:rPr>
        <w:t>按第</w:t>
      </w:r>
      <w:r>
        <w:rPr>
          <w:rFonts w:eastAsia="Times New Roman"/>
          <w:color w:val="auto"/>
          <w:spacing w:val="-2"/>
          <w:sz w:val="24"/>
        </w:rPr>
        <w:t xml:space="preserve">22.1 </w:t>
      </w:r>
      <w:r>
        <w:rPr>
          <w:rFonts w:ascii="宋体" w:hAnsi="宋体" w:cs="宋体"/>
          <w:color w:val="auto"/>
          <w:spacing w:val="-2"/>
          <w:sz w:val="24"/>
        </w:rPr>
        <w:t>款的约定办理。</w:t>
      </w:r>
    </w:p>
    <w:p w14:paraId="5EA7D860">
      <w:pPr>
        <w:spacing w:before="305" w:line="219" w:lineRule="auto"/>
        <w:ind w:left="487"/>
        <w:outlineLvl w:val="2"/>
        <w:rPr>
          <w:rFonts w:ascii="宋体" w:hAnsi="宋体" w:cs="宋体"/>
          <w:color w:val="auto"/>
          <w:sz w:val="24"/>
        </w:rPr>
      </w:pPr>
      <w:bookmarkStart w:id="148" w:name="bookmark32"/>
      <w:bookmarkEnd w:id="148"/>
      <w:bookmarkStart w:id="149" w:name="bookmark31"/>
      <w:bookmarkEnd w:id="149"/>
      <w:r>
        <w:rPr>
          <w:rFonts w:eastAsia="Times New Roman"/>
          <w:b/>
          <w:bCs/>
          <w:color w:val="auto"/>
          <w:spacing w:val="-6"/>
          <w:sz w:val="24"/>
        </w:rPr>
        <w:t>13.</w:t>
      </w:r>
      <w:r>
        <w:rPr>
          <w:rFonts w:ascii="宋体" w:hAnsi="宋体" w:cs="宋体"/>
          <w:b/>
          <w:bCs/>
          <w:color w:val="auto"/>
          <w:spacing w:val="-6"/>
          <w:sz w:val="24"/>
        </w:rPr>
        <w:t>养护质量</w:t>
      </w:r>
    </w:p>
    <w:p w14:paraId="4C0636EE">
      <w:pPr>
        <w:spacing w:before="260" w:line="219" w:lineRule="auto"/>
        <w:ind w:left="487"/>
        <w:outlineLvl w:val="3"/>
        <w:rPr>
          <w:rFonts w:ascii="宋体" w:hAnsi="宋体" w:cs="宋体"/>
          <w:color w:val="auto"/>
          <w:sz w:val="24"/>
        </w:rPr>
      </w:pPr>
      <w:r>
        <w:rPr>
          <w:rFonts w:eastAsia="Times New Roman"/>
          <w:b/>
          <w:bCs/>
          <w:color w:val="auto"/>
          <w:spacing w:val="-3"/>
          <w:sz w:val="24"/>
        </w:rPr>
        <w:t xml:space="preserve">13.1  </w:t>
      </w:r>
      <w:r>
        <w:rPr>
          <w:rFonts w:ascii="宋体" w:hAnsi="宋体" w:cs="宋体"/>
          <w:b/>
          <w:bCs/>
          <w:color w:val="auto"/>
          <w:spacing w:val="-3"/>
          <w:sz w:val="24"/>
        </w:rPr>
        <w:t>养护质量要求</w:t>
      </w:r>
    </w:p>
    <w:p w14:paraId="44B07119">
      <w:pPr>
        <w:spacing w:before="124" w:line="264" w:lineRule="auto"/>
        <w:ind w:left="2" w:right="28" w:firstLine="496"/>
        <w:rPr>
          <w:rFonts w:ascii="宋体" w:hAnsi="宋体" w:cs="宋体"/>
          <w:color w:val="auto"/>
          <w:sz w:val="24"/>
        </w:rPr>
      </w:pPr>
      <w:r>
        <w:rPr>
          <w:rFonts w:eastAsia="Times New Roman"/>
          <w:color w:val="auto"/>
          <w:sz w:val="24"/>
        </w:rPr>
        <w:t xml:space="preserve">13.1.1  </w:t>
      </w:r>
      <w:r>
        <w:rPr>
          <w:rFonts w:ascii="宋体" w:hAnsi="宋体" w:cs="宋体"/>
          <w:color w:val="auto"/>
          <w:sz w:val="24"/>
        </w:rPr>
        <w:t>养护项目质量验收应合格并符合技术规范、国家和行业相关质量检验标</w:t>
      </w:r>
      <w:r>
        <w:rPr>
          <w:rFonts w:ascii="宋体" w:hAnsi="宋体" w:cs="宋体"/>
          <w:color w:val="auto"/>
          <w:spacing w:val="-2"/>
          <w:sz w:val="24"/>
        </w:rPr>
        <w:t>准及设计文件的要求。</w:t>
      </w:r>
    </w:p>
    <w:p w14:paraId="4956688E">
      <w:pPr>
        <w:spacing w:before="112" w:line="279" w:lineRule="auto"/>
        <w:ind w:right="25" w:firstLine="498"/>
        <w:rPr>
          <w:rFonts w:ascii="宋体" w:hAnsi="宋体" w:cs="宋体"/>
          <w:color w:val="auto"/>
          <w:sz w:val="24"/>
        </w:rPr>
      </w:pPr>
      <w:r>
        <w:rPr>
          <w:rFonts w:eastAsia="Times New Roman"/>
          <w:color w:val="auto"/>
          <w:sz w:val="24"/>
        </w:rPr>
        <w:t xml:space="preserve">13.1.2  </w:t>
      </w:r>
      <w:r>
        <w:rPr>
          <w:rFonts w:ascii="宋体" w:hAnsi="宋体" w:cs="宋体"/>
          <w:color w:val="auto"/>
          <w:sz w:val="24"/>
        </w:rPr>
        <w:t>因承包人原因造成养护质量达不到合同约定验收标准的，咨询人有权要</w:t>
      </w:r>
      <w:r>
        <w:rPr>
          <w:rFonts w:ascii="宋体" w:hAnsi="宋体" w:cs="宋体"/>
          <w:color w:val="auto"/>
          <w:spacing w:val="1"/>
          <w:sz w:val="24"/>
        </w:rPr>
        <w:t>求承包人返工直至符合合同要求为止，由此造成的费用增</w:t>
      </w:r>
      <w:r>
        <w:rPr>
          <w:rFonts w:ascii="宋体" w:hAnsi="宋体" w:cs="宋体"/>
          <w:color w:val="auto"/>
          <w:sz w:val="24"/>
        </w:rPr>
        <w:t>加和（或）工期延误由承</w:t>
      </w:r>
      <w:r>
        <w:rPr>
          <w:rFonts w:ascii="宋体" w:hAnsi="宋体" w:cs="宋体"/>
          <w:color w:val="auto"/>
          <w:spacing w:val="-2"/>
          <w:sz w:val="24"/>
        </w:rPr>
        <w:t>包人承担。</w:t>
      </w:r>
    </w:p>
    <w:p w14:paraId="5EFE8743">
      <w:pPr>
        <w:spacing w:before="113" w:line="264" w:lineRule="auto"/>
        <w:ind w:left="30" w:right="28" w:firstLine="469"/>
        <w:rPr>
          <w:rFonts w:ascii="宋体" w:hAnsi="宋体" w:cs="宋体"/>
          <w:color w:val="auto"/>
          <w:sz w:val="24"/>
        </w:rPr>
      </w:pPr>
      <w:r>
        <w:rPr>
          <w:rFonts w:eastAsia="Times New Roman"/>
          <w:color w:val="auto"/>
          <w:sz w:val="24"/>
        </w:rPr>
        <w:t xml:space="preserve">13.1.3  </w:t>
      </w:r>
      <w:r>
        <w:rPr>
          <w:rFonts w:ascii="宋体" w:hAnsi="宋体" w:cs="宋体"/>
          <w:color w:val="auto"/>
          <w:sz w:val="24"/>
        </w:rPr>
        <w:t>因发包人原因造成养护质量达不到合同约定验收标准的，发包人应承担</w:t>
      </w:r>
      <w:r>
        <w:rPr>
          <w:rFonts w:ascii="宋体" w:hAnsi="宋体" w:cs="宋体"/>
          <w:color w:val="auto"/>
          <w:spacing w:val="-1"/>
          <w:sz w:val="24"/>
        </w:rPr>
        <w:t>由于承包人返工造成的费用增加和（或）工期延误，并支付承包</w:t>
      </w:r>
      <w:r>
        <w:rPr>
          <w:rFonts w:ascii="宋体" w:hAnsi="宋体" w:cs="宋体"/>
          <w:color w:val="auto"/>
          <w:spacing w:val="-2"/>
          <w:sz w:val="24"/>
        </w:rPr>
        <w:t>人合理利润。</w:t>
      </w:r>
    </w:p>
    <w:p w14:paraId="270DC95D">
      <w:pPr>
        <w:spacing w:before="104" w:line="219" w:lineRule="auto"/>
        <w:ind w:left="487"/>
        <w:outlineLvl w:val="3"/>
        <w:rPr>
          <w:rFonts w:ascii="宋体" w:hAnsi="宋体" w:cs="宋体"/>
          <w:color w:val="auto"/>
          <w:sz w:val="24"/>
        </w:rPr>
      </w:pPr>
      <w:r>
        <w:rPr>
          <w:rFonts w:eastAsia="Times New Roman"/>
          <w:b/>
          <w:bCs/>
          <w:color w:val="auto"/>
          <w:spacing w:val="-3"/>
          <w:sz w:val="24"/>
        </w:rPr>
        <w:t xml:space="preserve">13.2  </w:t>
      </w:r>
      <w:r>
        <w:rPr>
          <w:rFonts w:ascii="宋体" w:hAnsi="宋体" w:cs="宋体"/>
          <w:b/>
          <w:bCs/>
          <w:color w:val="auto"/>
          <w:spacing w:val="-3"/>
          <w:sz w:val="24"/>
        </w:rPr>
        <w:t>承包人的质量管理</w:t>
      </w:r>
    </w:p>
    <w:p w14:paraId="182519B9">
      <w:pPr>
        <w:spacing w:before="127" w:line="309" w:lineRule="auto"/>
        <w:ind w:left="1" w:right="25" w:firstLine="497"/>
        <w:rPr>
          <w:rFonts w:ascii="宋体" w:hAnsi="宋体" w:cs="宋体"/>
          <w:color w:val="auto"/>
          <w:sz w:val="24"/>
        </w:rPr>
      </w:pPr>
      <w:r>
        <w:rPr>
          <w:rFonts w:eastAsia="Times New Roman"/>
          <w:color w:val="auto"/>
          <w:sz w:val="24"/>
        </w:rPr>
        <w:t xml:space="preserve">13.2.1  </w:t>
      </w:r>
      <w:r>
        <w:rPr>
          <w:rFonts w:ascii="宋体" w:hAnsi="宋体" w:cs="宋体"/>
          <w:color w:val="auto"/>
          <w:sz w:val="24"/>
        </w:rPr>
        <w:t>承包人应当建立健全养护质量保证体系，制定质量管理制度，强化养护</w:t>
      </w:r>
      <w:r>
        <w:rPr>
          <w:rFonts w:ascii="宋体" w:hAnsi="宋体" w:cs="宋体"/>
          <w:color w:val="auto"/>
          <w:spacing w:val="1"/>
          <w:sz w:val="24"/>
        </w:rPr>
        <w:t>项目质量管理措施，完善养护质量目标保障机制；严格</w:t>
      </w:r>
      <w:r>
        <w:rPr>
          <w:rFonts w:ascii="宋体" w:hAnsi="宋体" w:cs="宋体"/>
          <w:color w:val="auto"/>
          <w:sz w:val="24"/>
        </w:rPr>
        <w:t>遵守国家有关法律、法规和</w:t>
      </w:r>
      <w:r>
        <w:rPr>
          <w:rFonts w:ascii="宋体" w:hAnsi="宋体" w:cs="宋体"/>
          <w:color w:val="auto"/>
          <w:spacing w:val="1"/>
          <w:sz w:val="24"/>
        </w:rPr>
        <w:t>规章，严格执行公路养护强制性技术标准、各类技术规</w:t>
      </w:r>
      <w:r>
        <w:rPr>
          <w:rFonts w:ascii="宋体" w:hAnsi="宋体" w:cs="宋体"/>
          <w:color w:val="auto"/>
          <w:sz w:val="24"/>
        </w:rPr>
        <w:t>范及规程，全面履行合同义</w:t>
      </w:r>
      <w:r>
        <w:rPr>
          <w:rFonts w:ascii="宋体" w:hAnsi="宋体" w:cs="宋体"/>
          <w:color w:val="auto"/>
          <w:spacing w:val="-6"/>
          <w:sz w:val="24"/>
        </w:rPr>
        <w:t>务。</w:t>
      </w:r>
    </w:p>
    <w:p w14:paraId="28B47737">
      <w:pPr>
        <w:spacing w:before="113" w:line="286" w:lineRule="auto"/>
        <w:ind w:right="164" w:firstLine="498"/>
        <w:rPr>
          <w:rFonts w:ascii="宋体" w:hAnsi="宋体" w:cs="宋体"/>
          <w:color w:val="auto"/>
          <w:sz w:val="24"/>
        </w:rPr>
      </w:pPr>
      <w:r>
        <w:rPr>
          <w:rFonts w:eastAsia="Times New Roman"/>
          <w:color w:val="auto"/>
          <w:sz w:val="24"/>
        </w:rPr>
        <w:t xml:space="preserve">13.2.2  </w:t>
      </w:r>
      <w:r>
        <w:rPr>
          <w:rFonts w:ascii="宋体" w:hAnsi="宋体" w:cs="宋体"/>
          <w:color w:val="auto"/>
          <w:sz w:val="24"/>
        </w:rPr>
        <w:t>承包人应在养护作业场地设置专门的质量检查机构，配备专职质量检查</w:t>
      </w:r>
      <w:r>
        <w:rPr>
          <w:rFonts w:ascii="宋体" w:hAnsi="宋体" w:cs="宋体"/>
          <w:color w:val="auto"/>
          <w:spacing w:val="2"/>
          <w:sz w:val="24"/>
        </w:rPr>
        <w:t>人员，建立完善的质量检查制度。承包人应在签订合同协议书后</w:t>
      </w:r>
      <w:r>
        <w:rPr>
          <w:rFonts w:eastAsia="Times New Roman"/>
          <w:color w:val="auto"/>
          <w:spacing w:val="2"/>
          <w:sz w:val="24"/>
        </w:rPr>
        <w:t xml:space="preserve">7 </w:t>
      </w:r>
      <w:r>
        <w:rPr>
          <w:rFonts w:ascii="宋体" w:hAnsi="宋体" w:cs="宋体"/>
          <w:color w:val="auto"/>
          <w:spacing w:val="2"/>
          <w:sz w:val="24"/>
        </w:rPr>
        <w:t>天内，提交养护</w:t>
      </w:r>
      <w:r>
        <w:rPr>
          <w:rFonts w:ascii="宋体" w:hAnsi="宋体" w:cs="宋体"/>
          <w:color w:val="auto"/>
          <w:spacing w:val="1"/>
          <w:sz w:val="24"/>
        </w:rPr>
        <w:t>质量保证措施文件，包括质量检查机构的组织和岗位责任</w:t>
      </w:r>
      <w:r>
        <w:rPr>
          <w:rFonts w:ascii="宋体" w:hAnsi="宋体" w:cs="宋体"/>
          <w:color w:val="auto"/>
          <w:sz w:val="24"/>
        </w:rPr>
        <w:t>、质检人员的组成、质量</w:t>
      </w:r>
      <w:r>
        <w:rPr>
          <w:rFonts w:ascii="宋体" w:hAnsi="宋体" w:cs="宋体"/>
          <w:color w:val="auto"/>
          <w:spacing w:val="-1"/>
          <w:sz w:val="24"/>
        </w:rPr>
        <w:t>检查程序和实施细则等，报送咨询人审批。</w:t>
      </w:r>
    </w:p>
    <w:p w14:paraId="6C89808E">
      <w:pPr>
        <w:spacing w:before="112" w:line="264" w:lineRule="auto"/>
        <w:ind w:right="166" w:firstLine="499"/>
        <w:rPr>
          <w:rFonts w:ascii="宋体" w:hAnsi="宋体" w:cs="宋体"/>
          <w:color w:val="auto"/>
          <w:sz w:val="24"/>
        </w:rPr>
      </w:pPr>
      <w:r>
        <w:rPr>
          <w:rFonts w:eastAsia="Times New Roman"/>
          <w:color w:val="auto"/>
          <w:sz w:val="24"/>
        </w:rPr>
        <w:t xml:space="preserve">13.2.3  </w:t>
      </w:r>
      <w:r>
        <w:rPr>
          <w:rFonts w:ascii="宋体" w:hAnsi="宋体" w:cs="宋体"/>
          <w:color w:val="auto"/>
          <w:sz w:val="24"/>
        </w:rPr>
        <w:t>承包人应加强对养护作业人员的质量教育和技术培训，定期考核养护作</w:t>
      </w:r>
      <w:r>
        <w:rPr>
          <w:rFonts w:ascii="宋体" w:hAnsi="宋体" w:cs="宋体"/>
          <w:color w:val="auto"/>
          <w:spacing w:val="-1"/>
          <w:sz w:val="24"/>
        </w:rPr>
        <w:t>业人员的劳动技能，严格执行规范和操作规程。</w:t>
      </w:r>
    </w:p>
    <w:p w14:paraId="061DBBD6">
      <w:pPr>
        <w:spacing w:before="115" w:line="278" w:lineRule="auto"/>
        <w:ind w:right="18" w:firstLine="499"/>
        <w:rPr>
          <w:rFonts w:ascii="宋体" w:hAnsi="宋体" w:cs="宋体"/>
          <w:color w:val="auto"/>
          <w:sz w:val="24"/>
        </w:rPr>
      </w:pPr>
      <w:r>
        <w:rPr>
          <w:rFonts w:eastAsia="Times New Roman"/>
          <w:color w:val="auto"/>
          <w:spacing w:val="-2"/>
          <w:sz w:val="24"/>
        </w:rPr>
        <w:t xml:space="preserve">13.2.4  </w:t>
      </w:r>
      <w:r>
        <w:rPr>
          <w:rFonts w:ascii="宋体" w:hAnsi="宋体" w:cs="宋体"/>
          <w:color w:val="auto"/>
          <w:spacing w:val="-2"/>
          <w:sz w:val="24"/>
        </w:rPr>
        <w:t>承包人应当严格按照工程设计图纸、技术规范和合同约</w:t>
      </w:r>
      <w:r>
        <w:rPr>
          <w:rFonts w:ascii="宋体" w:hAnsi="宋体" w:cs="宋体"/>
          <w:color w:val="auto"/>
          <w:spacing w:val="-3"/>
          <w:sz w:val="24"/>
        </w:rPr>
        <w:t>定实施养护作业，</w:t>
      </w:r>
      <w:r>
        <w:rPr>
          <w:rFonts w:ascii="宋体" w:hAnsi="宋体" w:cs="宋体"/>
          <w:color w:val="auto"/>
          <w:spacing w:val="1"/>
          <w:sz w:val="24"/>
        </w:rPr>
        <w:t>对原材料、半成品、成品、构件、机电设施和设备等进行检验；对单位养护工程、</w:t>
      </w:r>
      <w:r>
        <w:rPr>
          <w:rFonts w:ascii="宋体" w:hAnsi="宋体" w:cs="宋体"/>
          <w:color w:val="auto"/>
          <w:sz w:val="24"/>
        </w:rPr>
        <w:t>养护单元进行质量自评。检验或者自评不合格的</w:t>
      </w:r>
      <w:r>
        <w:rPr>
          <w:rFonts w:ascii="宋体" w:hAnsi="宋体" w:cs="宋体"/>
          <w:color w:val="auto"/>
          <w:spacing w:val="-1"/>
          <w:sz w:val="24"/>
        </w:rPr>
        <w:t>，不得进入下道工序。</w:t>
      </w:r>
    </w:p>
    <w:p w14:paraId="4349F45C">
      <w:pPr>
        <w:spacing w:before="116" w:line="278" w:lineRule="auto"/>
        <w:ind w:right="164" w:firstLine="498"/>
        <w:rPr>
          <w:rFonts w:ascii="宋体" w:hAnsi="宋体" w:cs="宋体"/>
          <w:color w:val="auto"/>
          <w:sz w:val="24"/>
        </w:rPr>
      </w:pPr>
      <w:r>
        <w:rPr>
          <w:rFonts w:eastAsia="Times New Roman"/>
          <w:color w:val="auto"/>
          <w:sz w:val="24"/>
        </w:rPr>
        <w:t xml:space="preserve">13.2.5  </w:t>
      </w:r>
      <w:r>
        <w:rPr>
          <w:rFonts w:ascii="宋体" w:hAnsi="宋体" w:cs="宋体"/>
          <w:color w:val="auto"/>
          <w:sz w:val="24"/>
        </w:rPr>
        <w:t>承包人应当加强养护作业过程质量控制，并形成完整、可追溯的养护质</w:t>
      </w:r>
      <w:r>
        <w:rPr>
          <w:rFonts w:ascii="宋体" w:hAnsi="宋体" w:cs="宋体"/>
          <w:color w:val="auto"/>
          <w:spacing w:val="1"/>
          <w:sz w:val="24"/>
        </w:rPr>
        <w:t>量管理资料，隐蔽部位作业还应当保留影像资料。对作业</w:t>
      </w:r>
      <w:r>
        <w:rPr>
          <w:rFonts w:ascii="宋体" w:hAnsi="宋体" w:cs="宋体"/>
          <w:color w:val="auto"/>
          <w:sz w:val="24"/>
        </w:rPr>
        <w:t>中出现的质量问题或者验</w:t>
      </w:r>
      <w:r>
        <w:rPr>
          <w:rFonts w:ascii="宋体" w:hAnsi="宋体" w:cs="宋体"/>
          <w:color w:val="auto"/>
          <w:spacing w:val="-1"/>
          <w:sz w:val="24"/>
        </w:rPr>
        <w:t>收不合格的养护项目，应当负责返工处理。</w:t>
      </w:r>
    </w:p>
    <w:p w14:paraId="1A797A61">
      <w:pPr>
        <w:spacing w:before="115" w:line="293" w:lineRule="auto"/>
        <w:ind w:right="164" w:firstLine="498"/>
        <w:rPr>
          <w:rFonts w:ascii="宋体" w:hAnsi="宋体" w:cs="宋体"/>
          <w:color w:val="auto"/>
          <w:sz w:val="24"/>
        </w:rPr>
      </w:pPr>
      <w:r>
        <w:rPr>
          <w:rFonts w:eastAsia="Times New Roman"/>
          <w:color w:val="auto"/>
          <w:sz w:val="24"/>
        </w:rPr>
        <w:t xml:space="preserve">13.2.6  </w:t>
      </w:r>
      <w:r>
        <w:rPr>
          <w:rFonts w:ascii="宋体" w:hAnsi="宋体" w:cs="宋体"/>
          <w:color w:val="auto"/>
          <w:sz w:val="24"/>
        </w:rPr>
        <w:t>承包人应当设立工地临时试验室，或经咨询人批准后使用其母体试验室</w:t>
      </w:r>
      <w:r>
        <w:rPr>
          <w:rFonts w:ascii="宋体" w:hAnsi="宋体" w:cs="宋体"/>
          <w:color w:val="auto"/>
          <w:spacing w:val="1"/>
          <w:sz w:val="24"/>
        </w:rPr>
        <w:t>或委托第三方试验室作为工地临时试验室，配齐检测和试</w:t>
      </w:r>
      <w:r>
        <w:rPr>
          <w:rFonts w:ascii="宋体" w:hAnsi="宋体" w:cs="宋体"/>
          <w:color w:val="auto"/>
          <w:sz w:val="24"/>
        </w:rPr>
        <w:t>验仪器、仪表，及时校正</w:t>
      </w:r>
      <w:r>
        <w:rPr>
          <w:rFonts w:ascii="宋体" w:hAnsi="宋体" w:cs="宋体"/>
          <w:color w:val="auto"/>
          <w:spacing w:val="1"/>
          <w:sz w:val="24"/>
        </w:rPr>
        <w:t>确保其精度；严格按照养护技术标准、检测规范和规程，</w:t>
      </w:r>
      <w:r>
        <w:rPr>
          <w:rFonts w:ascii="宋体" w:hAnsi="宋体" w:cs="宋体"/>
          <w:color w:val="auto"/>
          <w:sz w:val="24"/>
        </w:rPr>
        <w:t>在核定的试验检测参数范</w:t>
      </w:r>
      <w:r>
        <w:rPr>
          <w:rFonts w:ascii="宋体" w:hAnsi="宋体" w:cs="宋体"/>
          <w:color w:val="auto"/>
          <w:spacing w:val="1"/>
          <w:sz w:val="24"/>
        </w:rPr>
        <w:t>围内开展试验检测活动，并确保规范规定的检验、抽检频</w:t>
      </w:r>
      <w:r>
        <w:rPr>
          <w:rFonts w:ascii="宋体" w:hAnsi="宋体" w:cs="宋体"/>
          <w:color w:val="auto"/>
          <w:sz w:val="24"/>
        </w:rPr>
        <w:t>率。承包人应当对其设立</w:t>
      </w:r>
      <w:r>
        <w:rPr>
          <w:rFonts w:ascii="宋体" w:hAnsi="宋体" w:cs="宋体"/>
          <w:color w:val="auto"/>
          <w:spacing w:val="1"/>
          <w:sz w:val="24"/>
        </w:rPr>
        <w:t>或委托的工地临时试验室所出具的试验检测数据和报告的</w:t>
      </w:r>
      <w:r>
        <w:rPr>
          <w:rFonts w:ascii="宋体" w:hAnsi="宋体" w:cs="宋体"/>
          <w:color w:val="auto"/>
          <w:sz w:val="24"/>
        </w:rPr>
        <w:t>真实性、客观性、准确性</w:t>
      </w:r>
      <w:r>
        <w:rPr>
          <w:rFonts w:ascii="宋体" w:hAnsi="宋体" w:cs="宋体"/>
          <w:color w:val="auto"/>
          <w:spacing w:val="-4"/>
          <w:sz w:val="24"/>
        </w:rPr>
        <w:t>负责。</w:t>
      </w:r>
    </w:p>
    <w:p w14:paraId="3E7FD0B8">
      <w:pPr>
        <w:spacing w:before="106" w:line="219" w:lineRule="auto"/>
        <w:ind w:left="487"/>
        <w:outlineLvl w:val="3"/>
        <w:rPr>
          <w:rFonts w:ascii="宋体" w:hAnsi="宋体" w:cs="宋体"/>
          <w:color w:val="auto"/>
          <w:sz w:val="24"/>
        </w:rPr>
      </w:pPr>
      <w:r>
        <w:rPr>
          <w:rFonts w:eastAsia="Times New Roman"/>
          <w:b/>
          <w:bCs/>
          <w:color w:val="auto"/>
          <w:spacing w:val="-3"/>
          <w:sz w:val="24"/>
        </w:rPr>
        <w:t xml:space="preserve">13.3  </w:t>
      </w:r>
      <w:r>
        <w:rPr>
          <w:rFonts w:ascii="宋体" w:hAnsi="宋体" w:cs="宋体"/>
          <w:b/>
          <w:bCs/>
          <w:color w:val="auto"/>
          <w:spacing w:val="-3"/>
          <w:sz w:val="24"/>
        </w:rPr>
        <w:t>承包人的质量检查</w:t>
      </w:r>
    </w:p>
    <w:p w14:paraId="56B7417E">
      <w:pPr>
        <w:spacing w:before="122" w:line="305" w:lineRule="auto"/>
        <w:ind w:right="164" w:firstLine="480"/>
        <w:rPr>
          <w:rFonts w:ascii="宋体" w:hAnsi="宋体" w:cs="宋体"/>
          <w:color w:val="auto"/>
          <w:sz w:val="24"/>
        </w:rPr>
      </w:pPr>
      <w:r>
        <w:rPr>
          <w:rFonts w:ascii="宋体" w:hAnsi="宋体" w:cs="宋体"/>
          <w:color w:val="auto"/>
          <w:spacing w:val="1"/>
          <w:sz w:val="24"/>
        </w:rPr>
        <w:t>承包人应按合同约定对材料、工程设备以及养护工程的所</w:t>
      </w:r>
      <w:r>
        <w:rPr>
          <w:rFonts w:ascii="宋体" w:hAnsi="宋体" w:cs="宋体"/>
          <w:color w:val="auto"/>
          <w:sz w:val="24"/>
        </w:rPr>
        <w:t>有部位及其工艺进行全过程的质量检查和检验，并作详细记录，编制质量</w:t>
      </w:r>
      <w:r>
        <w:rPr>
          <w:rFonts w:ascii="宋体" w:hAnsi="宋体" w:cs="宋体"/>
          <w:color w:val="auto"/>
          <w:spacing w:val="-1"/>
          <w:sz w:val="24"/>
        </w:rPr>
        <w:t>报表，报送咨询人审查。</w:t>
      </w:r>
    </w:p>
    <w:p w14:paraId="7C6FFC34">
      <w:pPr>
        <w:spacing w:line="219" w:lineRule="auto"/>
        <w:ind w:left="487"/>
        <w:outlineLvl w:val="3"/>
        <w:rPr>
          <w:rFonts w:ascii="宋体" w:hAnsi="宋体" w:cs="宋体"/>
          <w:color w:val="auto"/>
          <w:sz w:val="24"/>
        </w:rPr>
      </w:pPr>
      <w:r>
        <w:rPr>
          <w:rFonts w:eastAsia="Times New Roman"/>
          <w:b/>
          <w:bCs/>
          <w:color w:val="auto"/>
          <w:spacing w:val="-3"/>
          <w:sz w:val="24"/>
        </w:rPr>
        <w:t xml:space="preserve">13.4  </w:t>
      </w:r>
      <w:r>
        <w:rPr>
          <w:rFonts w:ascii="宋体" w:hAnsi="宋体" w:cs="宋体"/>
          <w:b/>
          <w:bCs/>
          <w:color w:val="auto"/>
          <w:spacing w:val="-3"/>
          <w:sz w:val="24"/>
        </w:rPr>
        <w:t>咨询人的质量检查</w:t>
      </w:r>
    </w:p>
    <w:p w14:paraId="2C6168ED">
      <w:pPr>
        <w:spacing w:before="121" w:line="308" w:lineRule="auto"/>
        <w:ind w:firstLine="490"/>
        <w:rPr>
          <w:rFonts w:ascii="宋体" w:hAnsi="宋体" w:cs="宋体"/>
          <w:color w:val="auto"/>
          <w:sz w:val="24"/>
        </w:rPr>
      </w:pPr>
      <w:r>
        <w:rPr>
          <w:rFonts w:ascii="宋体" w:hAnsi="宋体" w:cs="宋体"/>
          <w:color w:val="auto"/>
          <w:spacing w:val="-2"/>
          <w:sz w:val="24"/>
        </w:rPr>
        <w:t>咨询人有权对养护工程的所有部位及其工艺、材料和工程设备进行检查和检验。</w:t>
      </w:r>
      <w:r>
        <w:rPr>
          <w:rFonts w:ascii="宋体" w:hAnsi="宋体" w:cs="宋体"/>
          <w:color w:val="auto"/>
          <w:spacing w:val="-1"/>
          <w:sz w:val="24"/>
        </w:rPr>
        <w:t>承包人应为咨询人的检查和检验，包括咨询人到养护作</w:t>
      </w:r>
      <w:r>
        <w:rPr>
          <w:rFonts w:ascii="宋体" w:hAnsi="宋体" w:cs="宋体"/>
          <w:color w:val="auto"/>
          <w:spacing w:val="-2"/>
          <w:sz w:val="24"/>
        </w:rPr>
        <w:t>业场地，或制造、加工地点，</w:t>
      </w:r>
      <w:r>
        <w:rPr>
          <w:rFonts w:ascii="宋体" w:hAnsi="宋体" w:cs="宋体"/>
          <w:color w:val="auto"/>
          <w:spacing w:val="1"/>
          <w:sz w:val="24"/>
        </w:rPr>
        <w:t>或合同约定的其他地方进行查看和查阅养护作业原始记</w:t>
      </w:r>
      <w:r>
        <w:rPr>
          <w:rFonts w:ascii="宋体" w:hAnsi="宋体" w:cs="宋体"/>
          <w:color w:val="auto"/>
          <w:sz w:val="24"/>
        </w:rPr>
        <w:t>录提供方便。承包人还应按</w:t>
      </w:r>
      <w:r>
        <w:rPr>
          <w:rFonts w:ascii="宋体" w:hAnsi="宋体" w:cs="宋体"/>
          <w:color w:val="auto"/>
          <w:spacing w:val="1"/>
          <w:sz w:val="24"/>
        </w:rPr>
        <w:t>咨询人指示，进行养护作业场地取样试验、工程复核测量和</w:t>
      </w:r>
      <w:r>
        <w:rPr>
          <w:rFonts w:ascii="宋体" w:hAnsi="宋体" w:cs="宋体"/>
          <w:color w:val="auto"/>
          <w:sz w:val="24"/>
        </w:rPr>
        <w:t>设备性能检测，提供试</w:t>
      </w:r>
      <w:r>
        <w:rPr>
          <w:rFonts w:ascii="宋体" w:hAnsi="宋体" w:cs="宋体"/>
          <w:color w:val="auto"/>
          <w:spacing w:val="1"/>
          <w:sz w:val="24"/>
        </w:rPr>
        <w:t>验样品、提交试验报告和测量成果以及咨询人要求进行的其</w:t>
      </w:r>
      <w:r>
        <w:rPr>
          <w:rFonts w:ascii="宋体" w:hAnsi="宋体" w:cs="宋体"/>
          <w:color w:val="auto"/>
          <w:sz w:val="24"/>
        </w:rPr>
        <w:t>他工作。咨询人的检查</w:t>
      </w:r>
      <w:r>
        <w:rPr>
          <w:rFonts w:ascii="宋体" w:hAnsi="宋体" w:cs="宋体"/>
          <w:color w:val="auto"/>
          <w:spacing w:val="-1"/>
          <w:sz w:val="24"/>
        </w:rPr>
        <w:t>和检验，不免除承包人按合同约定应负的责任。</w:t>
      </w:r>
    </w:p>
    <w:p w14:paraId="4D93891A">
      <w:pPr>
        <w:spacing w:before="1" w:line="305" w:lineRule="auto"/>
        <w:ind w:left="1" w:right="164" w:firstLine="488"/>
        <w:rPr>
          <w:rFonts w:ascii="宋体" w:hAnsi="宋体" w:cs="宋体"/>
          <w:color w:val="auto"/>
          <w:sz w:val="24"/>
        </w:rPr>
      </w:pPr>
      <w:r>
        <w:rPr>
          <w:rFonts w:ascii="宋体" w:hAnsi="宋体" w:cs="宋体"/>
          <w:color w:val="auto"/>
          <w:sz w:val="24"/>
        </w:rPr>
        <w:t>咨询人可以将材料或工程设备的检查和检验委托给一家独立的具备相应检测资</w:t>
      </w:r>
      <w:r>
        <w:rPr>
          <w:rFonts w:ascii="宋体" w:hAnsi="宋体" w:cs="宋体"/>
          <w:color w:val="auto"/>
          <w:spacing w:val="1"/>
          <w:sz w:val="24"/>
        </w:rPr>
        <w:t>质资格的单位承担。该独立检验单位的检验结果应视为</w:t>
      </w:r>
      <w:r>
        <w:rPr>
          <w:rFonts w:ascii="宋体" w:hAnsi="宋体" w:cs="宋体"/>
          <w:color w:val="auto"/>
          <w:sz w:val="24"/>
        </w:rPr>
        <w:t>由咨询人完成。咨询人应至</w:t>
      </w:r>
      <w:r>
        <w:rPr>
          <w:rFonts w:ascii="宋体" w:hAnsi="宋体" w:cs="宋体"/>
          <w:color w:val="auto"/>
          <w:spacing w:val="-2"/>
          <w:sz w:val="24"/>
        </w:rPr>
        <w:t>少提前</w:t>
      </w:r>
      <w:r>
        <w:rPr>
          <w:rFonts w:eastAsia="Times New Roman"/>
          <w:color w:val="auto"/>
          <w:spacing w:val="-2"/>
          <w:sz w:val="24"/>
        </w:rPr>
        <w:t xml:space="preserve">7 </w:t>
      </w:r>
      <w:r>
        <w:rPr>
          <w:rFonts w:ascii="宋体" w:hAnsi="宋体" w:cs="宋体"/>
          <w:color w:val="auto"/>
          <w:spacing w:val="-2"/>
          <w:sz w:val="24"/>
        </w:rPr>
        <w:t>天将委托通知书交给承包人。</w:t>
      </w:r>
    </w:p>
    <w:p w14:paraId="00C26485">
      <w:pPr>
        <w:spacing w:line="219" w:lineRule="auto"/>
        <w:ind w:left="487"/>
        <w:outlineLvl w:val="3"/>
        <w:rPr>
          <w:rFonts w:ascii="宋体" w:hAnsi="宋体" w:cs="宋体"/>
          <w:color w:val="auto"/>
          <w:sz w:val="24"/>
        </w:rPr>
      </w:pPr>
      <w:r>
        <w:rPr>
          <w:rFonts w:eastAsia="Times New Roman"/>
          <w:b/>
          <w:bCs/>
          <w:color w:val="auto"/>
          <w:spacing w:val="-2"/>
          <w:sz w:val="24"/>
        </w:rPr>
        <w:t xml:space="preserve">13.5  </w:t>
      </w:r>
      <w:r>
        <w:rPr>
          <w:rFonts w:ascii="宋体" w:hAnsi="宋体" w:cs="宋体"/>
          <w:b/>
          <w:bCs/>
          <w:color w:val="auto"/>
          <w:spacing w:val="-2"/>
          <w:sz w:val="24"/>
        </w:rPr>
        <w:t>隐蔽部位覆盖前的检查</w:t>
      </w:r>
    </w:p>
    <w:p w14:paraId="6C067C8D">
      <w:pPr>
        <w:spacing w:before="126" w:line="219" w:lineRule="auto"/>
        <w:ind w:left="482"/>
        <w:rPr>
          <w:rFonts w:ascii="宋体" w:hAnsi="宋体" w:cs="宋体"/>
          <w:color w:val="auto"/>
          <w:sz w:val="24"/>
        </w:rPr>
      </w:pPr>
      <w:r>
        <w:rPr>
          <w:rFonts w:ascii="宋体" w:hAnsi="宋体" w:cs="宋体"/>
          <w:color w:val="auto"/>
          <w:spacing w:val="1"/>
          <w:sz w:val="24"/>
        </w:rPr>
        <w:t>经承包人自检确认的隐蔽部位具备覆盖条件后，承包</w:t>
      </w:r>
      <w:r>
        <w:rPr>
          <w:rFonts w:ascii="宋体" w:hAnsi="宋体" w:cs="宋体"/>
          <w:color w:val="auto"/>
          <w:sz w:val="24"/>
        </w:rPr>
        <w:t>人应通知咨询人在约定的</w:t>
      </w:r>
      <w:r>
        <w:rPr>
          <w:rFonts w:ascii="宋体" w:hAnsi="宋体" w:cs="宋体"/>
          <w:color w:val="auto"/>
          <w:spacing w:val="-2"/>
          <w:sz w:val="24"/>
        </w:rPr>
        <w:t>期限内检查。咨询人应按时到场检查。咨询人未到场检查的，除咨询人另有指示外，</w:t>
      </w:r>
      <w:r>
        <w:rPr>
          <w:rFonts w:ascii="宋体" w:hAnsi="宋体" w:cs="宋体"/>
          <w:color w:val="auto"/>
          <w:spacing w:val="1"/>
          <w:sz w:val="24"/>
        </w:rPr>
        <w:t>承包人可自行完成覆盖工作。无论咨询人是否到场检查，</w:t>
      </w:r>
      <w:r>
        <w:rPr>
          <w:rFonts w:ascii="宋体" w:hAnsi="宋体" w:cs="宋体"/>
          <w:color w:val="auto"/>
          <w:sz w:val="24"/>
        </w:rPr>
        <w:t>对已覆盖的隐蔽部位，咨</w:t>
      </w:r>
      <w:r>
        <w:rPr>
          <w:rFonts w:ascii="宋体" w:hAnsi="宋体" w:cs="宋体"/>
          <w:color w:val="auto"/>
          <w:spacing w:val="1"/>
          <w:sz w:val="24"/>
        </w:rPr>
        <w:t>询人可要求承包人对已覆盖的部位进行钻孔探测或重新检验，承包人应遵照执行，</w:t>
      </w:r>
      <w:r>
        <w:rPr>
          <w:rFonts w:ascii="宋体" w:hAnsi="宋体" w:cs="宋体"/>
          <w:color w:val="auto"/>
          <w:spacing w:val="-1"/>
          <w:sz w:val="24"/>
        </w:rPr>
        <w:t>并在检验后重新覆盖恢复原状。</w:t>
      </w:r>
    </w:p>
    <w:p w14:paraId="129C34B6">
      <w:pPr>
        <w:spacing w:before="2" w:line="307" w:lineRule="auto"/>
        <w:ind w:left="1" w:right="145" w:firstLine="480"/>
        <w:rPr>
          <w:rFonts w:ascii="宋体" w:hAnsi="宋体" w:cs="宋体"/>
          <w:color w:val="auto"/>
          <w:sz w:val="24"/>
        </w:rPr>
      </w:pPr>
      <w:r>
        <w:rPr>
          <w:rFonts w:ascii="宋体" w:hAnsi="宋体" w:cs="宋体"/>
          <w:color w:val="auto"/>
          <w:sz w:val="24"/>
        </w:rPr>
        <w:t>经检验证明养护质量符合合同要求的，由发包人承担由此增加的费用和（或）</w:t>
      </w:r>
      <w:r>
        <w:rPr>
          <w:rFonts w:ascii="宋体" w:hAnsi="宋体" w:cs="宋体"/>
          <w:color w:val="auto"/>
          <w:spacing w:val="1"/>
          <w:sz w:val="24"/>
        </w:rPr>
        <w:t>工期延误，并支付承包人合理利润；经检验证明养护质</w:t>
      </w:r>
      <w:r>
        <w:rPr>
          <w:rFonts w:ascii="宋体" w:hAnsi="宋体" w:cs="宋体"/>
          <w:color w:val="auto"/>
          <w:sz w:val="24"/>
        </w:rPr>
        <w:t>量不符合合同要求的，由此</w:t>
      </w:r>
      <w:r>
        <w:rPr>
          <w:rFonts w:ascii="宋体" w:hAnsi="宋体" w:cs="宋体"/>
          <w:color w:val="auto"/>
          <w:spacing w:val="-1"/>
          <w:sz w:val="24"/>
        </w:rPr>
        <w:t>增加的费用和（或）工期延误，由承包人承担。</w:t>
      </w:r>
    </w:p>
    <w:p w14:paraId="470980B4">
      <w:pPr>
        <w:spacing w:line="305" w:lineRule="auto"/>
        <w:ind w:left="2" w:right="145" w:firstLine="478"/>
        <w:rPr>
          <w:rFonts w:ascii="宋体" w:hAnsi="宋体" w:cs="宋体"/>
          <w:color w:val="auto"/>
          <w:sz w:val="24"/>
        </w:rPr>
      </w:pPr>
      <w:r>
        <w:rPr>
          <w:rFonts w:ascii="宋体" w:hAnsi="宋体" w:cs="宋体"/>
          <w:color w:val="auto"/>
          <w:spacing w:val="1"/>
          <w:sz w:val="24"/>
        </w:rPr>
        <w:t>承包人未通知咨询人到场检查，私自将隐蔽部位覆盖的，</w:t>
      </w:r>
      <w:r>
        <w:rPr>
          <w:rFonts w:ascii="宋体" w:hAnsi="宋体" w:cs="宋体"/>
          <w:color w:val="auto"/>
          <w:sz w:val="24"/>
        </w:rPr>
        <w:t>咨询人有权指示承包</w:t>
      </w:r>
      <w:r>
        <w:rPr>
          <w:rFonts w:ascii="宋体" w:hAnsi="宋体" w:cs="宋体"/>
          <w:color w:val="auto"/>
          <w:spacing w:val="1"/>
          <w:sz w:val="24"/>
        </w:rPr>
        <w:t>人钻孔探测或揭开检查，无论隐蔽部位质量是否合格</w:t>
      </w:r>
      <w:r>
        <w:rPr>
          <w:rFonts w:ascii="宋体" w:hAnsi="宋体" w:cs="宋体"/>
          <w:color w:val="auto"/>
          <w:sz w:val="24"/>
        </w:rPr>
        <w:t>，由此增加的费用和（或）工</w:t>
      </w:r>
      <w:r>
        <w:rPr>
          <w:rFonts w:ascii="宋体" w:hAnsi="宋体" w:cs="宋体"/>
          <w:color w:val="auto"/>
          <w:spacing w:val="-2"/>
          <w:sz w:val="24"/>
        </w:rPr>
        <w:t>期延误由承包人承担。</w:t>
      </w:r>
    </w:p>
    <w:p w14:paraId="01CAE0A7">
      <w:pPr>
        <w:spacing w:line="219" w:lineRule="auto"/>
        <w:ind w:left="487"/>
        <w:outlineLvl w:val="3"/>
        <w:rPr>
          <w:rFonts w:ascii="宋体" w:hAnsi="宋体" w:cs="宋体"/>
          <w:color w:val="auto"/>
          <w:sz w:val="24"/>
        </w:rPr>
      </w:pPr>
      <w:r>
        <w:rPr>
          <w:rFonts w:eastAsia="Times New Roman"/>
          <w:b/>
          <w:bCs/>
          <w:color w:val="auto"/>
          <w:spacing w:val="-3"/>
          <w:sz w:val="24"/>
        </w:rPr>
        <w:t xml:space="preserve">13.6  </w:t>
      </w:r>
      <w:r>
        <w:rPr>
          <w:rFonts w:ascii="宋体" w:hAnsi="宋体" w:cs="宋体"/>
          <w:b/>
          <w:bCs/>
          <w:color w:val="auto"/>
          <w:spacing w:val="-3"/>
          <w:sz w:val="24"/>
        </w:rPr>
        <w:t>清除不合格养护工程</w:t>
      </w:r>
    </w:p>
    <w:p w14:paraId="3BE15CBB">
      <w:pPr>
        <w:spacing w:before="122" w:line="308" w:lineRule="auto"/>
        <w:ind w:left="3" w:right="145" w:firstLine="495"/>
        <w:rPr>
          <w:rFonts w:ascii="宋体" w:hAnsi="宋体" w:cs="宋体"/>
          <w:color w:val="auto"/>
          <w:sz w:val="24"/>
        </w:rPr>
      </w:pPr>
      <w:r>
        <w:rPr>
          <w:rFonts w:eastAsia="Times New Roman"/>
          <w:color w:val="auto"/>
          <w:spacing w:val="2"/>
          <w:sz w:val="24"/>
        </w:rPr>
        <w:t xml:space="preserve">13.6.1 </w:t>
      </w:r>
      <w:r>
        <w:rPr>
          <w:rFonts w:ascii="宋体" w:hAnsi="宋体" w:cs="宋体"/>
          <w:color w:val="auto"/>
          <w:spacing w:val="2"/>
          <w:sz w:val="24"/>
        </w:rPr>
        <w:t>承包人使用不合格材料、工程设备，或采用</w:t>
      </w:r>
      <w:r>
        <w:rPr>
          <w:rFonts w:ascii="宋体" w:hAnsi="宋体" w:cs="宋体"/>
          <w:color w:val="auto"/>
          <w:spacing w:val="1"/>
          <w:sz w:val="24"/>
        </w:rPr>
        <w:t>不适当的工艺，或养护作业不当，造成养护工程质量不合格的，咨询人可以随</w:t>
      </w:r>
      <w:r>
        <w:rPr>
          <w:rFonts w:ascii="宋体" w:hAnsi="宋体" w:cs="宋体"/>
          <w:color w:val="auto"/>
          <w:sz w:val="24"/>
        </w:rPr>
        <w:t>时发出指示，要求承包人立即采</w:t>
      </w:r>
      <w:r>
        <w:rPr>
          <w:rFonts w:ascii="宋体" w:hAnsi="宋体" w:cs="宋体"/>
          <w:color w:val="auto"/>
          <w:spacing w:val="1"/>
          <w:sz w:val="24"/>
        </w:rPr>
        <w:t>取措施进行补救，直至达到合同要求的质量标准，</w:t>
      </w:r>
      <w:r>
        <w:rPr>
          <w:rFonts w:ascii="宋体" w:hAnsi="宋体" w:cs="宋体"/>
          <w:color w:val="auto"/>
          <w:sz w:val="24"/>
        </w:rPr>
        <w:t>由此增加的费用和（或）工期延</w:t>
      </w:r>
      <w:r>
        <w:rPr>
          <w:rFonts w:ascii="宋体" w:hAnsi="宋体" w:cs="宋体"/>
          <w:color w:val="auto"/>
          <w:spacing w:val="-2"/>
          <w:sz w:val="24"/>
        </w:rPr>
        <w:t>误由承包人承担。</w:t>
      </w:r>
    </w:p>
    <w:p w14:paraId="7B549FDA">
      <w:pPr>
        <w:spacing w:before="1" w:line="307" w:lineRule="auto"/>
        <w:ind w:left="20" w:right="145" w:firstLine="464"/>
        <w:rPr>
          <w:rFonts w:ascii="宋体" w:hAnsi="宋体" w:cs="宋体"/>
          <w:color w:val="auto"/>
          <w:sz w:val="24"/>
        </w:rPr>
      </w:pPr>
      <w:r>
        <w:rPr>
          <w:rFonts w:ascii="宋体" w:hAnsi="宋体" w:cs="宋体"/>
          <w:color w:val="auto"/>
          <w:spacing w:val="1"/>
          <w:sz w:val="24"/>
        </w:rPr>
        <w:t>如果承包人未在规定时间内执行咨询人的指示，</w:t>
      </w:r>
      <w:r>
        <w:rPr>
          <w:rFonts w:ascii="宋体" w:hAnsi="宋体" w:cs="宋体"/>
          <w:color w:val="auto"/>
          <w:sz w:val="24"/>
        </w:rPr>
        <w:t>发包人有权雇用符合资格条件</w:t>
      </w:r>
      <w:r>
        <w:rPr>
          <w:rFonts w:ascii="宋体" w:hAnsi="宋体" w:cs="宋体"/>
          <w:color w:val="auto"/>
          <w:spacing w:val="-1"/>
          <w:sz w:val="24"/>
        </w:rPr>
        <w:t>的第三方执行，由此增加的费用和（或）工期延误由承包人承</w:t>
      </w:r>
      <w:r>
        <w:rPr>
          <w:rFonts w:ascii="宋体" w:hAnsi="宋体" w:cs="宋体"/>
          <w:color w:val="auto"/>
          <w:spacing w:val="-2"/>
          <w:sz w:val="24"/>
        </w:rPr>
        <w:t>担。</w:t>
      </w:r>
    </w:p>
    <w:p w14:paraId="734881E8">
      <w:pPr>
        <w:spacing w:before="1" w:line="305" w:lineRule="auto"/>
        <w:ind w:right="145" w:firstLine="498"/>
        <w:rPr>
          <w:rFonts w:ascii="宋体" w:hAnsi="宋体" w:cs="宋体"/>
          <w:color w:val="auto"/>
          <w:sz w:val="24"/>
        </w:rPr>
      </w:pPr>
      <w:r>
        <w:rPr>
          <w:rFonts w:eastAsia="Times New Roman"/>
          <w:color w:val="auto"/>
          <w:spacing w:val="1"/>
          <w:sz w:val="24"/>
        </w:rPr>
        <w:t>13.6.2</w:t>
      </w:r>
      <w:r>
        <w:rPr>
          <w:rFonts w:ascii="宋体" w:hAnsi="宋体" w:cs="宋体"/>
          <w:color w:val="auto"/>
          <w:spacing w:val="1"/>
          <w:sz w:val="24"/>
        </w:rPr>
        <w:t>由于发包人提供的材料或工程设备不合</w:t>
      </w:r>
      <w:r>
        <w:rPr>
          <w:rFonts w:ascii="宋体" w:hAnsi="宋体" w:cs="宋体"/>
          <w:color w:val="auto"/>
          <w:sz w:val="24"/>
        </w:rPr>
        <w:t>格造成的养护工程不合格，需要</w:t>
      </w:r>
      <w:r>
        <w:rPr>
          <w:rFonts w:ascii="宋体" w:hAnsi="宋体" w:cs="宋体"/>
          <w:color w:val="auto"/>
          <w:spacing w:val="1"/>
          <w:sz w:val="24"/>
        </w:rPr>
        <w:t>承包人采取措施补救的，发包人应承担由此增加的费用和</w:t>
      </w:r>
      <w:r>
        <w:rPr>
          <w:rFonts w:ascii="宋体" w:hAnsi="宋体" w:cs="宋体"/>
          <w:color w:val="auto"/>
          <w:sz w:val="24"/>
        </w:rPr>
        <w:t>（或）工期延误，并支付</w:t>
      </w:r>
      <w:r>
        <w:rPr>
          <w:rFonts w:ascii="宋体" w:hAnsi="宋体" w:cs="宋体"/>
          <w:color w:val="auto"/>
          <w:spacing w:val="-2"/>
          <w:sz w:val="24"/>
        </w:rPr>
        <w:t>承包人合理利润。</w:t>
      </w:r>
    </w:p>
    <w:p w14:paraId="4A10F61A">
      <w:pPr>
        <w:spacing w:line="219" w:lineRule="auto"/>
        <w:ind w:left="487"/>
        <w:outlineLvl w:val="3"/>
        <w:rPr>
          <w:rFonts w:ascii="宋体" w:hAnsi="宋体" w:cs="宋体"/>
          <w:color w:val="auto"/>
          <w:sz w:val="24"/>
        </w:rPr>
      </w:pPr>
      <w:r>
        <w:rPr>
          <w:rFonts w:eastAsia="Times New Roman"/>
          <w:b/>
          <w:bCs/>
          <w:color w:val="auto"/>
          <w:spacing w:val="-3"/>
          <w:sz w:val="24"/>
        </w:rPr>
        <w:t xml:space="preserve">13.7  </w:t>
      </w:r>
      <w:r>
        <w:rPr>
          <w:rFonts w:ascii="宋体" w:hAnsi="宋体" w:cs="宋体"/>
          <w:b/>
          <w:bCs/>
          <w:color w:val="auto"/>
          <w:spacing w:val="-3"/>
          <w:sz w:val="24"/>
        </w:rPr>
        <w:t>质量争议的检测</w:t>
      </w:r>
    </w:p>
    <w:p w14:paraId="151FD4DD">
      <w:pPr>
        <w:spacing w:before="125" w:line="309" w:lineRule="auto"/>
        <w:ind w:right="145" w:firstLine="481"/>
        <w:rPr>
          <w:rFonts w:ascii="宋体" w:hAnsi="宋体" w:cs="宋体"/>
          <w:color w:val="auto"/>
          <w:sz w:val="24"/>
        </w:rPr>
      </w:pPr>
      <w:r>
        <w:rPr>
          <w:rFonts w:ascii="宋体" w:hAnsi="宋体" w:cs="宋体"/>
          <w:color w:val="auto"/>
          <w:spacing w:val="1"/>
          <w:sz w:val="24"/>
        </w:rPr>
        <w:t>合同当事人对养护质量有争议的，由双方协商确定的具</w:t>
      </w:r>
      <w:r>
        <w:rPr>
          <w:rFonts w:ascii="宋体" w:hAnsi="宋体" w:cs="宋体"/>
          <w:color w:val="auto"/>
          <w:sz w:val="24"/>
        </w:rPr>
        <w:t>备相应资格的质量检测</w:t>
      </w:r>
      <w:r>
        <w:rPr>
          <w:rFonts w:ascii="宋体" w:hAnsi="宋体" w:cs="宋体"/>
          <w:color w:val="auto"/>
          <w:spacing w:val="1"/>
          <w:sz w:val="24"/>
        </w:rPr>
        <w:t>机构鉴定，由此产生的费用及因此造成的损失，由责任方承</w:t>
      </w:r>
      <w:r>
        <w:rPr>
          <w:rFonts w:ascii="宋体" w:hAnsi="宋体" w:cs="宋体"/>
          <w:color w:val="auto"/>
          <w:sz w:val="24"/>
        </w:rPr>
        <w:t>担。合同当事人均有责</w:t>
      </w:r>
      <w:r>
        <w:rPr>
          <w:rFonts w:ascii="宋体" w:hAnsi="宋体" w:cs="宋体"/>
          <w:color w:val="auto"/>
          <w:spacing w:val="6"/>
          <w:sz w:val="24"/>
        </w:rPr>
        <w:t>任的，由双方根据其责任分别承担。合同当事人无法达成一致的，由咨询人按第</w:t>
      </w:r>
      <w:r>
        <w:rPr>
          <w:rFonts w:eastAsia="Times New Roman"/>
          <w:color w:val="auto"/>
          <w:spacing w:val="-1"/>
          <w:sz w:val="24"/>
        </w:rPr>
        <w:t xml:space="preserve">3.5 </w:t>
      </w:r>
      <w:r>
        <w:rPr>
          <w:rFonts w:ascii="宋体" w:hAnsi="宋体" w:cs="宋体"/>
          <w:color w:val="auto"/>
          <w:spacing w:val="-1"/>
          <w:sz w:val="24"/>
        </w:rPr>
        <w:t>款商定或确定。</w:t>
      </w:r>
    </w:p>
    <w:p w14:paraId="4FD9C586">
      <w:pPr>
        <w:spacing w:before="304" w:line="219" w:lineRule="auto"/>
        <w:ind w:left="487"/>
        <w:outlineLvl w:val="2"/>
        <w:rPr>
          <w:rFonts w:ascii="宋体" w:hAnsi="宋体" w:cs="宋体"/>
          <w:color w:val="auto"/>
          <w:sz w:val="24"/>
        </w:rPr>
      </w:pPr>
      <w:bookmarkStart w:id="150" w:name="bookmark33"/>
      <w:bookmarkEnd w:id="150"/>
      <w:bookmarkStart w:id="151" w:name="bookmark34"/>
      <w:bookmarkEnd w:id="151"/>
      <w:r>
        <w:rPr>
          <w:rFonts w:eastAsia="Times New Roman"/>
          <w:b/>
          <w:bCs/>
          <w:color w:val="auto"/>
          <w:spacing w:val="-3"/>
          <w:sz w:val="24"/>
        </w:rPr>
        <w:t xml:space="preserve">14.  </w:t>
      </w:r>
      <w:r>
        <w:rPr>
          <w:rFonts w:ascii="宋体" w:hAnsi="宋体" w:cs="宋体"/>
          <w:b/>
          <w:bCs/>
          <w:color w:val="auto"/>
          <w:spacing w:val="-3"/>
          <w:sz w:val="24"/>
        </w:rPr>
        <w:t>试验和检验</w:t>
      </w:r>
    </w:p>
    <w:p w14:paraId="5B93FDEE">
      <w:pPr>
        <w:spacing w:before="260" w:line="219" w:lineRule="auto"/>
        <w:ind w:left="487"/>
        <w:outlineLvl w:val="3"/>
        <w:rPr>
          <w:rFonts w:ascii="宋体" w:hAnsi="宋体" w:cs="宋体"/>
          <w:color w:val="auto"/>
          <w:sz w:val="24"/>
        </w:rPr>
      </w:pPr>
      <w:r>
        <w:rPr>
          <w:rFonts w:eastAsia="Times New Roman"/>
          <w:b/>
          <w:bCs/>
          <w:color w:val="auto"/>
          <w:spacing w:val="-2"/>
          <w:sz w:val="24"/>
        </w:rPr>
        <w:t xml:space="preserve">14.1  </w:t>
      </w:r>
      <w:r>
        <w:rPr>
          <w:rFonts w:ascii="宋体" w:hAnsi="宋体" w:cs="宋体"/>
          <w:b/>
          <w:bCs/>
          <w:color w:val="auto"/>
          <w:spacing w:val="-2"/>
          <w:sz w:val="24"/>
        </w:rPr>
        <w:t>材料、工程设备和养护工程的试验和检验</w:t>
      </w:r>
    </w:p>
    <w:p w14:paraId="5CF20FEC">
      <w:pPr>
        <w:spacing w:before="125" w:line="286" w:lineRule="auto"/>
        <w:ind w:right="145" w:firstLine="499"/>
        <w:rPr>
          <w:rFonts w:ascii="宋体" w:hAnsi="宋体" w:cs="宋体"/>
          <w:color w:val="auto"/>
          <w:sz w:val="24"/>
        </w:rPr>
      </w:pPr>
      <w:r>
        <w:rPr>
          <w:rFonts w:eastAsia="Times New Roman"/>
          <w:color w:val="auto"/>
          <w:sz w:val="24"/>
        </w:rPr>
        <w:t xml:space="preserve">14.1.1  </w:t>
      </w:r>
      <w:r>
        <w:rPr>
          <w:rFonts w:ascii="宋体" w:hAnsi="宋体" w:cs="宋体"/>
          <w:color w:val="auto"/>
          <w:sz w:val="24"/>
        </w:rPr>
        <w:t>承包人应按合同约定进行材料、工程设备和养护工程的试验和检验，并</w:t>
      </w:r>
      <w:r>
        <w:rPr>
          <w:rFonts w:ascii="宋体" w:hAnsi="宋体" w:cs="宋体"/>
          <w:color w:val="auto"/>
          <w:spacing w:val="1"/>
          <w:sz w:val="24"/>
        </w:rPr>
        <w:t>为咨询人对上述材料、工程设备和养护工程的质量检查提供</w:t>
      </w:r>
      <w:r>
        <w:rPr>
          <w:rFonts w:ascii="宋体" w:hAnsi="宋体" w:cs="宋体"/>
          <w:color w:val="auto"/>
          <w:sz w:val="24"/>
        </w:rPr>
        <w:t>必要的试验资料和原始</w:t>
      </w:r>
      <w:r>
        <w:rPr>
          <w:rFonts w:ascii="宋体" w:hAnsi="宋体" w:cs="宋体"/>
          <w:color w:val="auto"/>
          <w:spacing w:val="1"/>
          <w:sz w:val="24"/>
        </w:rPr>
        <w:t>记录。按合同约定应由咨询人与承包人共同进行试验和检验</w:t>
      </w:r>
      <w:r>
        <w:rPr>
          <w:rFonts w:ascii="宋体" w:hAnsi="宋体" w:cs="宋体"/>
          <w:color w:val="auto"/>
          <w:sz w:val="24"/>
        </w:rPr>
        <w:t>的，由承包人负责提供</w:t>
      </w:r>
      <w:r>
        <w:rPr>
          <w:rFonts w:ascii="宋体" w:hAnsi="宋体" w:cs="宋体"/>
          <w:color w:val="auto"/>
          <w:spacing w:val="-1"/>
          <w:sz w:val="24"/>
        </w:rPr>
        <w:t>必要的试验资料和原始记录。</w:t>
      </w:r>
    </w:p>
    <w:p w14:paraId="1FC60D60">
      <w:pPr>
        <w:spacing w:before="114" w:line="264" w:lineRule="auto"/>
        <w:ind w:right="145" w:firstLine="498"/>
        <w:rPr>
          <w:rFonts w:ascii="宋体" w:hAnsi="宋体" w:cs="宋体"/>
          <w:color w:val="auto"/>
          <w:sz w:val="24"/>
        </w:rPr>
      </w:pPr>
      <w:r>
        <w:rPr>
          <w:rFonts w:eastAsia="Times New Roman"/>
          <w:color w:val="auto"/>
          <w:sz w:val="24"/>
        </w:rPr>
        <w:t xml:space="preserve">14.1.2  </w:t>
      </w:r>
      <w:r>
        <w:rPr>
          <w:rFonts w:ascii="宋体" w:hAnsi="宋体" w:cs="宋体"/>
          <w:color w:val="auto"/>
          <w:sz w:val="24"/>
        </w:rPr>
        <w:t>咨询人未按合同约定派员参加试验和检验的，除咨询人另有指示外，承</w:t>
      </w:r>
      <w:r>
        <w:rPr>
          <w:rFonts w:ascii="宋体" w:hAnsi="宋体" w:cs="宋体"/>
          <w:color w:val="auto"/>
          <w:spacing w:val="1"/>
          <w:sz w:val="24"/>
        </w:rPr>
        <w:t>包人可自行试验和检验，并应立即将试验和检验结果报送</w:t>
      </w:r>
      <w:r>
        <w:rPr>
          <w:rFonts w:ascii="宋体" w:hAnsi="宋体" w:cs="宋体"/>
          <w:color w:val="auto"/>
          <w:sz w:val="24"/>
        </w:rPr>
        <w:t>咨询人，咨询人应签字确</w:t>
      </w:r>
      <w:r>
        <w:rPr>
          <w:rFonts w:ascii="宋体" w:hAnsi="宋体" w:cs="宋体"/>
          <w:color w:val="auto"/>
          <w:spacing w:val="-5"/>
          <w:sz w:val="24"/>
        </w:rPr>
        <w:t>认。</w:t>
      </w:r>
    </w:p>
    <w:p w14:paraId="1C6A1229">
      <w:pPr>
        <w:spacing w:before="117" w:line="306" w:lineRule="auto"/>
        <w:ind w:firstLine="499"/>
        <w:rPr>
          <w:rFonts w:ascii="宋体" w:hAnsi="宋体" w:cs="宋体"/>
          <w:color w:val="auto"/>
          <w:sz w:val="24"/>
        </w:rPr>
      </w:pPr>
      <w:r>
        <w:rPr>
          <w:rFonts w:eastAsia="Times New Roman"/>
          <w:color w:val="auto"/>
          <w:sz w:val="24"/>
        </w:rPr>
        <w:t xml:space="preserve">14.1.3  </w:t>
      </w:r>
      <w:r>
        <w:rPr>
          <w:rFonts w:ascii="宋体" w:hAnsi="宋体" w:cs="宋体"/>
          <w:color w:val="auto"/>
          <w:sz w:val="24"/>
        </w:rPr>
        <w:t>咨询人对承包人的试验和检验结果有疑问的，或为查清承包人试验和检</w:t>
      </w:r>
      <w:r>
        <w:rPr>
          <w:rFonts w:ascii="宋体" w:hAnsi="宋体" w:cs="宋体"/>
          <w:color w:val="auto"/>
          <w:spacing w:val="1"/>
          <w:sz w:val="24"/>
        </w:rPr>
        <w:t>验成果的可靠性要求承包人重新试验和检验的，可按合同约</w:t>
      </w:r>
      <w:r>
        <w:rPr>
          <w:rFonts w:ascii="宋体" w:hAnsi="宋体" w:cs="宋体"/>
          <w:color w:val="auto"/>
          <w:sz w:val="24"/>
        </w:rPr>
        <w:t>定由咨询人与承包人共</w:t>
      </w:r>
      <w:r>
        <w:rPr>
          <w:rFonts w:ascii="宋体" w:hAnsi="宋体" w:cs="宋体"/>
          <w:color w:val="auto"/>
          <w:spacing w:val="1"/>
          <w:sz w:val="24"/>
        </w:rPr>
        <w:t>同进行。重新试验和检验的结果证明该项材料、工程设备或</w:t>
      </w:r>
      <w:r>
        <w:rPr>
          <w:rFonts w:ascii="宋体" w:hAnsi="宋体" w:cs="宋体"/>
          <w:color w:val="auto"/>
          <w:sz w:val="24"/>
        </w:rPr>
        <w:t>养护工程的质量不符合</w:t>
      </w:r>
      <w:r>
        <w:rPr>
          <w:rFonts w:ascii="宋体" w:hAnsi="宋体" w:cs="宋体"/>
          <w:color w:val="auto"/>
          <w:spacing w:val="1"/>
          <w:sz w:val="24"/>
        </w:rPr>
        <w:t>合同要求的，由此增加的费用和（或）工期延误由承包人承</w:t>
      </w:r>
      <w:r>
        <w:rPr>
          <w:rFonts w:ascii="宋体" w:hAnsi="宋体" w:cs="宋体"/>
          <w:color w:val="auto"/>
          <w:sz w:val="24"/>
        </w:rPr>
        <w:t>担；重新试验和检验结</w:t>
      </w:r>
      <w:r>
        <w:rPr>
          <w:rFonts w:ascii="宋体" w:hAnsi="宋体" w:cs="宋体"/>
          <w:color w:val="auto"/>
          <w:spacing w:val="1"/>
          <w:sz w:val="24"/>
        </w:rPr>
        <w:t>果证明该项材料、工程设备和养护工程符合合同要求的，由</w:t>
      </w:r>
      <w:r>
        <w:rPr>
          <w:rFonts w:ascii="宋体" w:hAnsi="宋体" w:cs="宋体"/>
          <w:color w:val="auto"/>
          <w:sz w:val="24"/>
        </w:rPr>
        <w:t>发包人承担由此增加的</w:t>
      </w:r>
      <w:r>
        <w:rPr>
          <w:rFonts w:ascii="宋体" w:hAnsi="宋体" w:cs="宋体"/>
          <w:color w:val="auto"/>
          <w:spacing w:val="-1"/>
          <w:sz w:val="24"/>
        </w:rPr>
        <w:t>费用和（或）工期延误，并支付承包人合理利润。</w:t>
      </w:r>
    </w:p>
    <w:p w14:paraId="12BAD223">
      <w:pPr>
        <w:spacing w:line="218" w:lineRule="auto"/>
        <w:ind w:left="487"/>
        <w:outlineLvl w:val="3"/>
        <w:rPr>
          <w:rFonts w:ascii="宋体" w:hAnsi="宋体" w:cs="宋体"/>
          <w:color w:val="auto"/>
          <w:sz w:val="24"/>
        </w:rPr>
      </w:pPr>
      <w:r>
        <w:rPr>
          <w:rFonts w:eastAsia="Times New Roman"/>
          <w:b/>
          <w:bCs/>
          <w:color w:val="auto"/>
          <w:spacing w:val="-3"/>
          <w:sz w:val="24"/>
        </w:rPr>
        <w:t xml:space="preserve">14.2  </w:t>
      </w:r>
      <w:r>
        <w:rPr>
          <w:rFonts w:ascii="宋体" w:hAnsi="宋体" w:cs="宋体"/>
          <w:b/>
          <w:bCs/>
          <w:color w:val="auto"/>
          <w:spacing w:val="-3"/>
          <w:sz w:val="24"/>
        </w:rPr>
        <w:t>现场材料试验</w:t>
      </w:r>
    </w:p>
    <w:p w14:paraId="7BB5766A">
      <w:pPr>
        <w:spacing w:before="125" w:line="263" w:lineRule="auto"/>
        <w:ind w:right="2" w:firstLine="498"/>
        <w:rPr>
          <w:rFonts w:ascii="宋体" w:hAnsi="宋体" w:cs="宋体"/>
          <w:color w:val="auto"/>
          <w:sz w:val="24"/>
        </w:rPr>
      </w:pPr>
      <w:r>
        <w:rPr>
          <w:rFonts w:eastAsia="Times New Roman"/>
          <w:color w:val="auto"/>
          <w:sz w:val="24"/>
        </w:rPr>
        <w:t xml:space="preserve">14.2.1  </w:t>
      </w:r>
      <w:r>
        <w:rPr>
          <w:rFonts w:ascii="宋体" w:hAnsi="宋体" w:cs="宋体"/>
          <w:color w:val="auto"/>
          <w:sz w:val="24"/>
        </w:rPr>
        <w:t>承包人根据合同约定或咨询人指示进行的现场材料试验，应由承包人提</w:t>
      </w:r>
      <w:r>
        <w:rPr>
          <w:rFonts w:ascii="宋体" w:hAnsi="宋体" w:cs="宋体"/>
          <w:color w:val="auto"/>
          <w:spacing w:val="-1"/>
          <w:sz w:val="24"/>
        </w:rPr>
        <w:t>供试验场所、试验人员、试验设备器材以及其他必要的试验条件。</w:t>
      </w:r>
    </w:p>
    <w:p w14:paraId="5528D05A">
      <w:pPr>
        <w:spacing w:before="115" w:line="263" w:lineRule="auto"/>
        <w:ind w:right="2" w:firstLine="499"/>
        <w:rPr>
          <w:rFonts w:ascii="宋体" w:hAnsi="宋体" w:cs="宋体"/>
          <w:color w:val="auto"/>
          <w:sz w:val="24"/>
        </w:rPr>
      </w:pPr>
      <w:r>
        <w:rPr>
          <w:rFonts w:eastAsia="Times New Roman"/>
          <w:color w:val="auto"/>
          <w:sz w:val="24"/>
        </w:rPr>
        <w:t xml:space="preserve">14.2.2  </w:t>
      </w:r>
      <w:r>
        <w:rPr>
          <w:rFonts w:ascii="宋体" w:hAnsi="宋体" w:cs="宋体"/>
          <w:color w:val="auto"/>
          <w:sz w:val="24"/>
        </w:rPr>
        <w:t>咨询人在必要时可以使用承包人的试验场所、试验设备器材以及其他试验条件，进行以养护质量检查为目的的复核性材料试验</w:t>
      </w:r>
      <w:r>
        <w:rPr>
          <w:rFonts w:ascii="宋体" w:hAnsi="宋体" w:cs="宋体"/>
          <w:color w:val="auto"/>
          <w:spacing w:val="-1"/>
          <w:sz w:val="24"/>
        </w:rPr>
        <w:t>，承包人应予以协助。</w:t>
      </w:r>
    </w:p>
    <w:p w14:paraId="7074D7B2">
      <w:pPr>
        <w:spacing w:before="107" w:line="219" w:lineRule="auto"/>
        <w:ind w:left="487"/>
        <w:outlineLvl w:val="3"/>
        <w:rPr>
          <w:rFonts w:ascii="宋体" w:hAnsi="宋体" w:cs="宋体"/>
          <w:color w:val="auto"/>
          <w:sz w:val="24"/>
        </w:rPr>
      </w:pPr>
      <w:r>
        <w:rPr>
          <w:rFonts w:eastAsia="Times New Roman"/>
          <w:b/>
          <w:bCs/>
          <w:color w:val="auto"/>
          <w:spacing w:val="-3"/>
          <w:sz w:val="24"/>
        </w:rPr>
        <w:t xml:space="preserve">14.3  </w:t>
      </w:r>
      <w:r>
        <w:rPr>
          <w:rFonts w:ascii="宋体" w:hAnsi="宋体" w:cs="宋体"/>
          <w:b/>
          <w:bCs/>
          <w:color w:val="auto"/>
          <w:spacing w:val="-3"/>
          <w:sz w:val="24"/>
        </w:rPr>
        <w:t>试验和检验费用</w:t>
      </w:r>
    </w:p>
    <w:p w14:paraId="06FC0314">
      <w:pPr>
        <w:spacing w:before="125" w:line="264" w:lineRule="auto"/>
        <w:ind w:left="2" w:right="2" w:firstLine="496"/>
        <w:rPr>
          <w:rFonts w:ascii="宋体" w:hAnsi="宋体" w:cs="宋体"/>
          <w:color w:val="auto"/>
          <w:sz w:val="24"/>
        </w:rPr>
      </w:pPr>
      <w:r>
        <w:rPr>
          <w:rFonts w:eastAsia="Times New Roman"/>
          <w:color w:val="auto"/>
          <w:sz w:val="24"/>
        </w:rPr>
        <w:t xml:space="preserve">14.3.1  </w:t>
      </w:r>
      <w:r>
        <w:rPr>
          <w:rFonts w:ascii="宋体" w:hAnsi="宋体" w:cs="宋体"/>
          <w:color w:val="auto"/>
          <w:sz w:val="24"/>
        </w:rPr>
        <w:t>承包人应负责提供合同约定的试验和检验所需的全部样品，并承担其费</w:t>
      </w:r>
      <w:r>
        <w:rPr>
          <w:rFonts w:ascii="宋体" w:hAnsi="宋体" w:cs="宋体"/>
          <w:color w:val="auto"/>
          <w:spacing w:val="-6"/>
          <w:sz w:val="24"/>
        </w:rPr>
        <w:t>用。</w:t>
      </w:r>
    </w:p>
    <w:p w14:paraId="411B76C4">
      <w:pPr>
        <w:spacing w:before="113" w:line="264" w:lineRule="auto"/>
        <w:ind w:left="27" w:right="2" w:firstLine="472"/>
        <w:rPr>
          <w:rFonts w:ascii="宋体" w:hAnsi="宋体" w:cs="宋体"/>
          <w:color w:val="auto"/>
          <w:sz w:val="24"/>
        </w:rPr>
      </w:pPr>
      <w:r>
        <w:rPr>
          <w:rFonts w:eastAsia="Times New Roman"/>
          <w:color w:val="auto"/>
          <w:sz w:val="24"/>
        </w:rPr>
        <w:t xml:space="preserve">14.3.2  </w:t>
      </w:r>
      <w:r>
        <w:rPr>
          <w:rFonts w:ascii="宋体" w:hAnsi="宋体" w:cs="宋体"/>
          <w:color w:val="auto"/>
          <w:sz w:val="24"/>
        </w:rPr>
        <w:t>在合同中明确约定的试验和检验，包括无须在工程量清单中单独列项和</w:t>
      </w:r>
      <w:r>
        <w:rPr>
          <w:rFonts w:ascii="宋体" w:hAnsi="宋体" w:cs="宋体"/>
          <w:color w:val="auto"/>
          <w:spacing w:val="-1"/>
          <w:sz w:val="24"/>
        </w:rPr>
        <w:t>已在工程量清单中单独列项的试验和检验，其试验和检验的费用由承包人承</w:t>
      </w:r>
      <w:r>
        <w:rPr>
          <w:rFonts w:ascii="宋体" w:hAnsi="宋体" w:cs="宋体"/>
          <w:color w:val="auto"/>
          <w:spacing w:val="-2"/>
          <w:sz w:val="24"/>
        </w:rPr>
        <w:t>担。</w:t>
      </w:r>
    </w:p>
    <w:p w14:paraId="05E6EBF9">
      <w:pPr>
        <w:spacing w:before="111" w:line="286" w:lineRule="auto"/>
        <w:ind w:left="3" w:firstLine="495"/>
        <w:rPr>
          <w:color w:val="auto"/>
        </w:rPr>
      </w:pPr>
      <w:r>
        <w:rPr>
          <w:rFonts w:eastAsia="Times New Roman"/>
          <w:color w:val="auto"/>
          <w:sz w:val="24"/>
        </w:rPr>
        <w:t xml:space="preserve">14.3.3  </w:t>
      </w:r>
      <w:r>
        <w:rPr>
          <w:rFonts w:ascii="宋体" w:hAnsi="宋体" w:cs="宋体"/>
          <w:color w:val="auto"/>
          <w:sz w:val="24"/>
        </w:rPr>
        <w:t>如果咨询人所要求做的试验和检验为合同未约定的或是在该材料或工程</w:t>
      </w:r>
      <w:r>
        <w:rPr>
          <w:rFonts w:ascii="宋体" w:hAnsi="宋体" w:cs="宋体"/>
          <w:color w:val="auto"/>
          <w:spacing w:val="1"/>
          <w:sz w:val="24"/>
        </w:rPr>
        <w:t>设备的制造、加工、制配场地以外的场所进行的，</w:t>
      </w:r>
      <w:r>
        <w:rPr>
          <w:rFonts w:ascii="宋体" w:hAnsi="宋体" w:cs="宋体"/>
          <w:color w:val="auto"/>
          <w:sz w:val="24"/>
        </w:rPr>
        <w:t>则检验结束后，如表明操作工艺</w:t>
      </w:r>
      <w:r>
        <w:rPr>
          <w:rFonts w:ascii="宋体" w:hAnsi="宋体" w:cs="宋体"/>
          <w:color w:val="auto"/>
          <w:spacing w:val="1"/>
          <w:sz w:val="24"/>
        </w:rPr>
        <w:t>或材料、工程设备未能符合合同约定，其费用应由</w:t>
      </w:r>
      <w:r>
        <w:rPr>
          <w:rFonts w:ascii="宋体" w:hAnsi="宋体" w:cs="宋体"/>
          <w:color w:val="auto"/>
          <w:sz w:val="24"/>
        </w:rPr>
        <w:t>承包人承担，否则，其费用应由</w:t>
      </w:r>
      <w:r>
        <w:rPr>
          <w:rFonts w:ascii="宋体" w:hAnsi="宋体" w:cs="宋体"/>
          <w:color w:val="auto"/>
          <w:spacing w:val="-3"/>
          <w:sz w:val="24"/>
        </w:rPr>
        <w:t>发包人承担。</w:t>
      </w:r>
    </w:p>
    <w:p w14:paraId="31A69749">
      <w:pPr>
        <w:spacing w:before="78" w:line="221" w:lineRule="auto"/>
        <w:ind w:left="487"/>
        <w:outlineLvl w:val="2"/>
        <w:rPr>
          <w:rFonts w:ascii="宋体" w:hAnsi="宋体" w:cs="宋体"/>
          <w:color w:val="auto"/>
          <w:sz w:val="24"/>
        </w:rPr>
      </w:pPr>
      <w:bookmarkStart w:id="152" w:name="bookmark36"/>
      <w:bookmarkEnd w:id="152"/>
      <w:bookmarkStart w:id="153" w:name="bookmark35"/>
      <w:bookmarkEnd w:id="153"/>
      <w:r>
        <w:rPr>
          <w:rFonts w:eastAsia="Times New Roman"/>
          <w:b/>
          <w:bCs/>
          <w:color w:val="auto"/>
          <w:spacing w:val="-7"/>
          <w:sz w:val="24"/>
        </w:rPr>
        <w:t>15.</w:t>
      </w:r>
      <w:r>
        <w:rPr>
          <w:rFonts w:ascii="宋体" w:hAnsi="宋体" w:cs="宋体"/>
          <w:b/>
          <w:bCs/>
          <w:color w:val="auto"/>
          <w:spacing w:val="-7"/>
          <w:sz w:val="24"/>
        </w:rPr>
        <w:t>变更</w:t>
      </w:r>
    </w:p>
    <w:p w14:paraId="60370888">
      <w:pPr>
        <w:spacing w:before="259" w:line="219" w:lineRule="auto"/>
        <w:ind w:left="487"/>
        <w:outlineLvl w:val="3"/>
        <w:rPr>
          <w:rFonts w:ascii="宋体" w:hAnsi="宋体" w:cs="宋体"/>
          <w:color w:val="auto"/>
          <w:sz w:val="24"/>
        </w:rPr>
      </w:pPr>
      <w:r>
        <w:rPr>
          <w:rFonts w:eastAsia="Times New Roman"/>
          <w:b/>
          <w:bCs/>
          <w:color w:val="auto"/>
          <w:spacing w:val="-3"/>
          <w:sz w:val="24"/>
        </w:rPr>
        <w:t xml:space="preserve">15.1  </w:t>
      </w:r>
      <w:r>
        <w:rPr>
          <w:rFonts w:ascii="宋体" w:hAnsi="宋体" w:cs="宋体"/>
          <w:b/>
          <w:bCs/>
          <w:color w:val="auto"/>
          <w:spacing w:val="-3"/>
          <w:sz w:val="24"/>
        </w:rPr>
        <w:t>变更的范围和内容</w:t>
      </w:r>
    </w:p>
    <w:p w14:paraId="528388DE">
      <w:pPr>
        <w:spacing w:before="126" w:line="307" w:lineRule="auto"/>
        <w:ind w:left="6" w:firstLine="488"/>
        <w:rPr>
          <w:rFonts w:ascii="宋体" w:hAnsi="宋体" w:cs="宋体"/>
          <w:color w:val="auto"/>
          <w:sz w:val="24"/>
        </w:rPr>
      </w:pPr>
      <w:r>
        <w:rPr>
          <w:rFonts w:ascii="宋体" w:hAnsi="宋体" w:cs="宋体"/>
          <w:color w:val="auto"/>
          <w:sz w:val="24"/>
        </w:rPr>
        <w:t>除专用合同条款另有约定外，在履行合同中发生以下情形之一，应按照本条约</w:t>
      </w:r>
      <w:r>
        <w:rPr>
          <w:rFonts w:ascii="宋体" w:hAnsi="宋体" w:cs="宋体"/>
          <w:color w:val="auto"/>
          <w:spacing w:val="-3"/>
          <w:sz w:val="24"/>
        </w:rPr>
        <w:t>定进行变更：</w:t>
      </w:r>
    </w:p>
    <w:p w14:paraId="6D999ED6">
      <w:pPr>
        <w:spacing w:before="2" w:line="263" w:lineRule="auto"/>
        <w:ind w:firstLine="492"/>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1</w:t>
      </w:r>
      <w:r>
        <w:rPr>
          <w:rFonts w:ascii="宋体" w:hAnsi="宋体" w:cs="宋体"/>
          <w:color w:val="auto"/>
          <w:spacing w:val="4"/>
          <w:sz w:val="24"/>
        </w:rPr>
        <w:t>）取消合同中任何一项工作，但被取消的工作不能转由发包人或其他</w:t>
      </w:r>
      <w:r>
        <w:rPr>
          <w:rFonts w:ascii="宋体" w:hAnsi="宋体" w:cs="宋体"/>
          <w:color w:val="auto"/>
          <w:spacing w:val="3"/>
          <w:sz w:val="24"/>
        </w:rPr>
        <w:t>人实</w:t>
      </w:r>
      <w:r>
        <w:rPr>
          <w:rFonts w:ascii="宋体" w:hAnsi="宋体" w:cs="宋体"/>
          <w:color w:val="auto"/>
          <w:spacing w:val="-1"/>
          <w:sz w:val="24"/>
        </w:rPr>
        <w:t>施，由于承包人违约造成的情况除外；</w:t>
      </w:r>
    </w:p>
    <w:p w14:paraId="72C06B0F">
      <w:pPr>
        <w:spacing w:before="114" w:line="219" w:lineRule="auto"/>
        <w:ind w:left="492"/>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2</w:t>
      </w:r>
      <w:r>
        <w:rPr>
          <w:rFonts w:ascii="宋体" w:hAnsi="宋体" w:cs="宋体"/>
          <w:color w:val="auto"/>
          <w:spacing w:val="-1"/>
          <w:sz w:val="24"/>
        </w:rPr>
        <w:t>）改变合同中任何一项工作的质量或其他特性；</w:t>
      </w:r>
    </w:p>
    <w:p w14:paraId="61A36F46">
      <w:pPr>
        <w:spacing w:before="115" w:line="219" w:lineRule="auto"/>
        <w:ind w:left="492"/>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3</w:t>
      </w:r>
      <w:r>
        <w:rPr>
          <w:rFonts w:ascii="宋体" w:hAnsi="宋体" w:cs="宋体"/>
          <w:color w:val="auto"/>
          <w:spacing w:val="-1"/>
          <w:sz w:val="24"/>
        </w:rPr>
        <w:t>）改变合同工程的基线、标高、位置或尺寸；</w:t>
      </w:r>
    </w:p>
    <w:p w14:paraId="717ACB56">
      <w:pPr>
        <w:spacing w:before="117" w:line="219" w:lineRule="auto"/>
        <w:ind w:left="492"/>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4</w:t>
      </w:r>
      <w:r>
        <w:rPr>
          <w:rFonts w:ascii="宋体" w:hAnsi="宋体" w:cs="宋体"/>
          <w:color w:val="auto"/>
          <w:spacing w:val="-1"/>
          <w:sz w:val="24"/>
        </w:rPr>
        <w:t>）改变合同中任何一项工作的作业时间或改变已批准的工艺或顺序；</w:t>
      </w:r>
    </w:p>
    <w:p w14:paraId="178EA61E">
      <w:pPr>
        <w:spacing w:before="114" w:line="219" w:lineRule="auto"/>
        <w:ind w:left="492"/>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5</w:t>
      </w:r>
      <w:r>
        <w:rPr>
          <w:rFonts w:ascii="宋体" w:hAnsi="宋体" w:cs="宋体"/>
          <w:color w:val="auto"/>
          <w:spacing w:val="-2"/>
          <w:sz w:val="24"/>
        </w:rPr>
        <w:t>）为完成合同需要追加的额外工作。</w:t>
      </w:r>
    </w:p>
    <w:p w14:paraId="32324EC0">
      <w:pPr>
        <w:spacing w:before="106" w:line="219" w:lineRule="auto"/>
        <w:ind w:left="487"/>
        <w:outlineLvl w:val="3"/>
        <w:rPr>
          <w:rFonts w:ascii="宋体" w:hAnsi="宋体" w:cs="宋体"/>
          <w:color w:val="auto"/>
          <w:sz w:val="24"/>
        </w:rPr>
      </w:pPr>
      <w:r>
        <w:rPr>
          <w:rFonts w:eastAsia="Times New Roman"/>
          <w:b/>
          <w:bCs/>
          <w:color w:val="auto"/>
          <w:spacing w:val="-5"/>
          <w:sz w:val="24"/>
        </w:rPr>
        <w:t>15.2</w:t>
      </w:r>
      <w:r>
        <w:rPr>
          <w:rFonts w:ascii="宋体" w:hAnsi="宋体" w:cs="宋体"/>
          <w:b/>
          <w:bCs/>
          <w:color w:val="auto"/>
          <w:spacing w:val="-5"/>
          <w:sz w:val="24"/>
        </w:rPr>
        <w:t>变更权</w:t>
      </w:r>
    </w:p>
    <w:p w14:paraId="0F8F3BA6">
      <w:pPr>
        <w:spacing w:before="126" w:line="219" w:lineRule="auto"/>
        <w:ind w:right="2" w:firstLine="496" w:firstLineChars="200"/>
        <w:jc w:val="left"/>
        <w:rPr>
          <w:rFonts w:ascii="宋体" w:hAnsi="宋体" w:cs="宋体"/>
          <w:color w:val="auto"/>
          <w:sz w:val="24"/>
        </w:rPr>
      </w:pPr>
      <w:r>
        <w:rPr>
          <w:rFonts w:ascii="宋体" w:hAnsi="宋体" w:cs="宋体"/>
          <w:color w:val="auto"/>
          <w:spacing w:val="4"/>
          <w:sz w:val="24"/>
        </w:rPr>
        <w:t>在履行合同过程中，经发包人同意，咨询人可按第</w:t>
      </w:r>
      <w:r>
        <w:rPr>
          <w:rFonts w:eastAsia="Times New Roman"/>
          <w:color w:val="auto"/>
          <w:spacing w:val="4"/>
          <w:sz w:val="24"/>
        </w:rPr>
        <w:t>15.3</w:t>
      </w:r>
      <w:r>
        <w:rPr>
          <w:rFonts w:ascii="宋体" w:hAnsi="宋体" w:cs="宋体"/>
          <w:color w:val="auto"/>
          <w:spacing w:val="4"/>
          <w:sz w:val="24"/>
        </w:rPr>
        <w:t>款约定的变更程序向</w:t>
      </w:r>
      <w:r>
        <w:rPr>
          <w:rFonts w:ascii="宋体" w:hAnsi="宋体" w:cs="宋体"/>
          <w:color w:val="auto"/>
          <w:spacing w:val="1"/>
          <w:sz w:val="24"/>
        </w:rPr>
        <w:t>承包人作出变更指示，承包人应遵照执行。没有咨询人的</w:t>
      </w:r>
      <w:r>
        <w:rPr>
          <w:rFonts w:ascii="宋体" w:hAnsi="宋体" w:cs="宋体"/>
          <w:color w:val="auto"/>
          <w:sz w:val="24"/>
        </w:rPr>
        <w:t>变更指示，承包人不得擅</w:t>
      </w:r>
      <w:r>
        <w:rPr>
          <w:rFonts w:ascii="宋体" w:hAnsi="宋体" w:cs="宋体"/>
          <w:color w:val="auto"/>
          <w:spacing w:val="-13"/>
          <w:sz w:val="24"/>
        </w:rPr>
        <w:t>自变更。</w:t>
      </w:r>
    </w:p>
    <w:p w14:paraId="224320AB">
      <w:pPr>
        <w:spacing w:line="220" w:lineRule="auto"/>
        <w:ind w:left="487"/>
        <w:outlineLvl w:val="3"/>
        <w:rPr>
          <w:rFonts w:ascii="宋体" w:hAnsi="宋体" w:cs="宋体"/>
          <w:color w:val="auto"/>
          <w:sz w:val="24"/>
        </w:rPr>
      </w:pPr>
      <w:r>
        <w:rPr>
          <w:rFonts w:eastAsia="Times New Roman"/>
          <w:b/>
          <w:bCs/>
          <w:color w:val="auto"/>
          <w:spacing w:val="-3"/>
          <w:sz w:val="24"/>
        </w:rPr>
        <w:t xml:space="preserve">15.3  </w:t>
      </w:r>
      <w:r>
        <w:rPr>
          <w:rFonts w:ascii="宋体" w:hAnsi="宋体" w:cs="宋体"/>
          <w:b/>
          <w:bCs/>
          <w:color w:val="auto"/>
          <w:spacing w:val="-3"/>
          <w:sz w:val="24"/>
        </w:rPr>
        <w:t>变更程序</w:t>
      </w:r>
    </w:p>
    <w:p w14:paraId="31A0D60A">
      <w:pPr>
        <w:spacing w:before="124" w:line="220" w:lineRule="auto"/>
        <w:ind w:left="499"/>
        <w:rPr>
          <w:rFonts w:ascii="宋体" w:hAnsi="宋体" w:cs="宋体"/>
          <w:color w:val="auto"/>
          <w:sz w:val="24"/>
        </w:rPr>
      </w:pPr>
      <w:r>
        <w:rPr>
          <w:rFonts w:eastAsia="Times New Roman"/>
          <w:color w:val="auto"/>
          <w:spacing w:val="-3"/>
          <w:sz w:val="24"/>
        </w:rPr>
        <w:t xml:space="preserve">15.3.1  </w:t>
      </w:r>
      <w:r>
        <w:rPr>
          <w:rFonts w:ascii="宋体" w:hAnsi="宋体" w:cs="宋体"/>
          <w:color w:val="auto"/>
          <w:spacing w:val="-3"/>
          <w:sz w:val="24"/>
        </w:rPr>
        <w:t>变更的提出</w:t>
      </w:r>
    </w:p>
    <w:p w14:paraId="562EF1CE">
      <w:pPr>
        <w:spacing w:before="113" w:line="290" w:lineRule="auto"/>
        <w:ind w:firstLine="491"/>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1</w:t>
      </w:r>
      <w:r>
        <w:rPr>
          <w:rFonts w:ascii="宋体" w:hAnsi="宋体" w:cs="宋体"/>
          <w:color w:val="auto"/>
          <w:spacing w:val="1"/>
          <w:sz w:val="24"/>
        </w:rPr>
        <w:t>）在合同履行过程中，可能发生第</w:t>
      </w:r>
      <w:r>
        <w:rPr>
          <w:rFonts w:eastAsia="Times New Roman"/>
          <w:color w:val="auto"/>
          <w:spacing w:val="1"/>
          <w:sz w:val="24"/>
        </w:rPr>
        <w:t xml:space="preserve">15.1 </w:t>
      </w:r>
      <w:r>
        <w:rPr>
          <w:rFonts w:ascii="宋体" w:hAnsi="宋体" w:cs="宋体"/>
          <w:color w:val="auto"/>
          <w:spacing w:val="1"/>
          <w:sz w:val="24"/>
        </w:rPr>
        <w:t>款约定情形的，咨询人可向承包人发出变更意向书。变更意向书应说明变更的具体内容和发</w:t>
      </w:r>
      <w:r>
        <w:rPr>
          <w:rFonts w:ascii="宋体" w:hAnsi="宋体" w:cs="宋体"/>
          <w:color w:val="auto"/>
          <w:sz w:val="24"/>
        </w:rPr>
        <w:t>包人对变更的时间要求，</w:t>
      </w:r>
      <w:r>
        <w:rPr>
          <w:rFonts w:ascii="宋体" w:hAnsi="宋体" w:cs="宋体"/>
          <w:color w:val="auto"/>
          <w:spacing w:val="1"/>
          <w:sz w:val="24"/>
        </w:rPr>
        <w:t>并附必要的图纸和相关资料。变更意向书应要求承包人提</w:t>
      </w:r>
      <w:r>
        <w:rPr>
          <w:rFonts w:ascii="宋体" w:hAnsi="宋体" w:cs="宋体"/>
          <w:color w:val="auto"/>
          <w:sz w:val="24"/>
        </w:rPr>
        <w:t>交包括拟实施变更工作的</w:t>
      </w:r>
      <w:r>
        <w:rPr>
          <w:rFonts w:ascii="宋体" w:hAnsi="宋体" w:cs="宋体"/>
          <w:color w:val="auto"/>
          <w:spacing w:val="1"/>
          <w:sz w:val="24"/>
        </w:rPr>
        <w:t>计划、措施和完工时间等内容的实施方案。发包人同意承</w:t>
      </w:r>
      <w:r>
        <w:rPr>
          <w:rFonts w:ascii="宋体" w:hAnsi="宋体" w:cs="宋体"/>
          <w:color w:val="auto"/>
          <w:sz w:val="24"/>
        </w:rPr>
        <w:t>包人根据变更意向书要求</w:t>
      </w:r>
      <w:r>
        <w:rPr>
          <w:rFonts w:ascii="宋体" w:hAnsi="宋体" w:cs="宋体"/>
          <w:color w:val="auto"/>
          <w:spacing w:val="-1"/>
          <w:sz w:val="24"/>
        </w:rPr>
        <w:t>提交的变更实施方案的，由咨询人按第</w:t>
      </w:r>
      <w:r>
        <w:rPr>
          <w:rFonts w:eastAsia="Times New Roman"/>
          <w:color w:val="auto"/>
          <w:spacing w:val="-1"/>
          <w:sz w:val="24"/>
        </w:rPr>
        <w:t xml:space="preserve">15.3.3 </w:t>
      </w:r>
      <w:r>
        <w:rPr>
          <w:rFonts w:ascii="宋体" w:hAnsi="宋体" w:cs="宋体"/>
          <w:color w:val="auto"/>
          <w:spacing w:val="-1"/>
          <w:sz w:val="24"/>
        </w:rPr>
        <w:t>项约定发出</w:t>
      </w:r>
      <w:r>
        <w:rPr>
          <w:rFonts w:ascii="宋体" w:hAnsi="宋体" w:cs="宋体"/>
          <w:color w:val="auto"/>
          <w:spacing w:val="-2"/>
          <w:sz w:val="24"/>
        </w:rPr>
        <w:t>变更指示。</w:t>
      </w:r>
    </w:p>
    <w:p w14:paraId="39302A6B">
      <w:pPr>
        <w:spacing w:before="115" w:line="264" w:lineRule="auto"/>
        <w:ind w:left="4" w:firstLine="487"/>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2</w:t>
      </w:r>
      <w:r>
        <w:rPr>
          <w:rFonts w:ascii="宋体" w:hAnsi="宋体" w:cs="宋体"/>
          <w:color w:val="auto"/>
          <w:spacing w:val="2"/>
          <w:sz w:val="24"/>
        </w:rPr>
        <w:t>）在合同履行过程中，发生第</w:t>
      </w:r>
      <w:r>
        <w:rPr>
          <w:rFonts w:eastAsia="Times New Roman"/>
          <w:color w:val="auto"/>
          <w:spacing w:val="2"/>
          <w:sz w:val="24"/>
        </w:rPr>
        <w:t xml:space="preserve">15.1 </w:t>
      </w:r>
      <w:r>
        <w:rPr>
          <w:rFonts w:ascii="宋体" w:hAnsi="宋体" w:cs="宋体"/>
          <w:color w:val="auto"/>
          <w:spacing w:val="2"/>
          <w:sz w:val="24"/>
        </w:rPr>
        <w:t>款约定情形</w:t>
      </w:r>
      <w:r>
        <w:rPr>
          <w:rFonts w:ascii="宋体" w:hAnsi="宋体" w:cs="宋体"/>
          <w:color w:val="auto"/>
          <w:spacing w:val="1"/>
          <w:sz w:val="24"/>
        </w:rPr>
        <w:t>的，咨询人应按照第</w:t>
      </w:r>
      <w:r>
        <w:rPr>
          <w:rFonts w:eastAsia="Times New Roman"/>
          <w:color w:val="auto"/>
          <w:spacing w:val="1"/>
          <w:sz w:val="24"/>
        </w:rPr>
        <w:t>15.3.3</w:t>
      </w:r>
      <w:r>
        <w:rPr>
          <w:rFonts w:ascii="宋体" w:hAnsi="宋体" w:cs="宋体"/>
          <w:color w:val="auto"/>
          <w:spacing w:val="-1"/>
          <w:sz w:val="24"/>
        </w:rPr>
        <w:t>项约定向承包人发出变更指示。</w:t>
      </w:r>
    </w:p>
    <w:p w14:paraId="25507EB2">
      <w:pPr>
        <w:spacing w:before="113" w:line="290" w:lineRule="auto"/>
        <w:ind w:firstLine="491"/>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3</w:t>
      </w:r>
      <w:r>
        <w:rPr>
          <w:rFonts w:ascii="宋体" w:hAnsi="宋体" w:cs="宋体"/>
          <w:color w:val="auto"/>
          <w:spacing w:val="4"/>
          <w:sz w:val="24"/>
        </w:rPr>
        <w:t>）承包人收到咨询人按合同约定发出的图纸和文件，经检查认为其中</w:t>
      </w:r>
      <w:r>
        <w:rPr>
          <w:rFonts w:ascii="宋体" w:hAnsi="宋体" w:cs="宋体"/>
          <w:color w:val="auto"/>
          <w:spacing w:val="3"/>
          <w:sz w:val="24"/>
        </w:rPr>
        <w:t>存在</w:t>
      </w:r>
      <w:r>
        <w:rPr>
          <w:rFonts w:ascii="宋体" w:hAnsi="宋体" w:cs="宋体"/>
          <w:color w:val="auto"/>
          <w:spacing w:val="4"/>
          <w:sz w:val="24"/>
        </w:rPr>
        <w:t>第</w:t>
      </w:r>
      <w:r>
        <w:rPr>
          <w:rFonts w:eastAsia="Times New Roman"/>
          <w:color w:val="auto"/>
          <w:spacing w:val="4"/>
          <w:sz w:val="24"/>
        </w:rPr>
        <w:t>15.1</w:t>
      </w:r>
      <w:r>
        <w:rPr>
          <w:rFonts w:ascii="宋体" w:hAnsi="宋体" w:cs="宋体"/>
          <w:color w:val="auto"/>
          <w:spacing w:val="4"/>
          <w:sz w:val="24"/>
        </w:rPr>
        <w:t>款约定情形的，可向咨询人提出书面变更建议。变更建议应阐明要求变更</w:t>
      </w:r>
      <w:r>
        <w:rPr>
          <w:rFonts w:ascii="宋体" w:hAnsi="宋体" w:cs="宋体"/>
          <w:color w:val="auto"/>
          <w:spacing w:val="1"/>
          <w:sz w:val="24"/>
        </w:rPr>
        <w:t>的依据，并附必要的图纸和说明。咨询人收到承包人书面</w:t>
      </w:r>
      <w:r>
        <w:rPr>
          <w:rFonts w:ascii="宋体" w:hAnsi="宋体" w:cs="宋体"/>
          <w:color w:val="auto"/>
          <w:sz w:val="24"/>
        </w:rPr>
        <w:t>建议后，应与发包人共同研究，确认存在变更的，应在收到承包人书面建议后的</w:t>
      </w:r>
      <w:r>
        <w:rPr>
          <w:rFonts w:eastAsia="Times New Roman"/>
          <w:color w:val="auto"/>
          <w:sz w:val="24"/>
        </w:rPr>
        <w:t xml:space="preserve">3 </w:t>
      </w:r>
      <w:r>
        <w:rPr>
          <w:rFonts w:ascii="宋体" w:hAnsi="宋体" w:cs="宋体"/>
          <w:color w:val="auto"/>
          <w:sz w:val="24"/>
        </w:rPr>
        <w:t>天内作出变更指示。经研</w:t>
      </w:r>
      <w:r>
        <w:rPr>
          <w:rFonts w:ascii="宋体" w:hAnsi="宋体" w:cs="宋体"/>
          <w:color w:val="auto"/>
          <w:spacing w:val="-1"/>
          <w:sz w:val="24"/>
        </w:rPr>
        <w:t>究后不同意作为变更的，应由咨询人书面答复承包人。</w:t>
      </w:r>
    </w:p>
    <w:p w14:paraId="5C85FDD0">
      <w:pPr>
        <w:spacing w:before="115" w:line="278" w:lineRule="auto"/>
        <w:ind w:firstLine="491"/>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4</w:t>
      </w:r>
      <w:r>
        <w:rPr>
          <w:rFonts w:ascii="宋体" w:hAnsi="宋体" w:cs="宋体"/>
          <w:color w:val="auto"/>
          <w:spacing w:val="4"/>
          <w:sz w:val="24"/>
        </w:rPr>
        <w:t>）若承包人收到咨询人的变更意向书后认为难以实施此项变更，应立</w:t>
      </w:r>
      <w:r>
        <w:rPr>
          <w:rFonts w:ascii="宋体" w:hAnsi="宋体" w:cs="宋体"/>
          <w:color w:val="auto"/>
          <w:spacing w:val="3"/>
          <w:sz w:val="24"/>
        </w:rPr>
        <w:t>即通</w:t>
      </w:r>
      <w:r>
        <w:rPr>
          <w:rFonts w:ascii="宋体" w:hAnsi="宋体" w:cs="宋体"/>
          <w:color w:val="auto"/>
          <w:spacing w:val="1"/>
          <w:sz w:val="24"/>
        </w:rPr>
        <w:t>知咨询人，说明原因并附详细依据。咨询人与承包人和发</w:t>
      </w:r>
      <w:r>
        <w:rPr>
          <w:rFonts w:ascii="宋体" w:hAnsi="宋体" w:cs="宋体"/>
          <w:color w:val="auto"/>
          <w:sz w:val="24"/>
        </w:rPr>
        <w:t>包人协商后确定撤销、改</w:t>
      </w:r>
      <w:r>
        <w:rPr>
          <w:rFonts w:ascii="宋体" w:hAnsi="宋体" w:cs="宋体"/>
          <w:color w:val="auto"/>
          <w:spacing w:val="-1"/>
          <w:sz w:val="24"/>
        </w:rPr>
        <w:t>变或不改变原变更意向书。</w:t>
      </w:r>
    </w:p>
    <w:p w14:paraId="231C72B9">
      <w:pPr>
        <w:spacing w:before="116" w:line="218" w:lineRule="auto"/>
        <w:ind w:left="499"/>
        <w:rPr>
          <w:rFonts w:ascii="宋体" w:hAnsi="宋体" w:cs="宋体"/>
          <w:color w:val="auto"/>
          <w:sz w:val="24"/>
        </w:rPr>
      </w:pPr>
      <w:r>
        <w:rPr>
          <w:rFonts w:eastAsia="Times New Roman"/>
          <w:color w:val="auto"/>
          <w:spacing w:val="-3"/>
          <w:sz w:val="24"/>
        </w:rPr>
        <w:t xml:space="preserve">15.3.2  </w:t>
      </w:r>
      <w:r>
        <w:rPr>
          <w:rFonts w:ascii="宋体" w:hAnsi="宋体" w:cs="宋体"/>
          <w:color w:val="auto"/>
          <w:spacing w:val="-3"/>
          <w:sz w:val="24"/>
        </w:rPr>
        <w:t>变更估价</w:t>
      </w:r>
    </w:p>
    <w:p w14:paraId="2B2D407A">
      <w:pPr>
        <w:spacing w:before="114" w:line="286" w:lineRule="auto"/>
        <w:ind w:left="1" w:firstLine="490"/>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1</w:t>
      </w:r>
      <w:r>
        <w:rPr>
          <w:rFonts w:ascii="宋体" w:hAnsi="宋体" w:cs="宋体"/>
          <w:color w:val="auto"/>
          <w:spacing w:val="4"/>
          <w:sz w:val="24"/>
        </w:rPr>
        <w:t>）除专用合同条款对期限另有约定外，承包人应在收到变更指示或变</w:t>
      </w:r>
      <w:r>
        <w:rPr>
          <w:rFonts w:ascii="宋体" w:hAnsi="宋体" w:cs="宋体"/>
          <w:color w:val="auto"/>
          <w:spacing w:val="3"/>
          <w:sz w:val="24"/>
        </w:rPr>
        <w:t>更意向书后的</w:t>
      </w:r>
      <w:r>
        <w:rPr>
          <w:rFonts w:eastAsia="Times New Roman"/>
          <w:color w:val="auto"/>
          <w:spacing w:val="3"/>
          <w:sz w:val="24"/>
        </w:rPr>
        <w:t>7</w:t>
      </w:r>
      <w:r>
        <w:rPr>
          <w:rFonts w:ascii="宋体" w:hAnsi="宋体" w:cs="宋体"/>
          <w:color w:val="auto"/>
          <w:spacing w:val="3"/>
          <w:sz w:val="24"/>
        </w:rPr>
        <w:t>天内，向咨询人提交变更报价书，报价内容应根据第</w:t>
      </w:r>
      <w:r>
        <w:rPr>
          <w:rFonts w:eastAsia="Times New Roman"/>
          <w:color w:val="auto"/>
          <w:spacing w:val="3"/>
          <w:sz w:val="24"/>
        </w:rPr>
        <w:t xml:space="preserve">15.4 </w:t>
      </w:r>
      <w:r>
        <w:rPr>
          <w:rFonts w:ascii="宋体" w:hAnsi="宋体" w:cs="宋体"/>
          <w:color w:val="auto"/>
          <w:spacing w:val="3"/>
          <w:sz w:val="24"/>
        </w:rPr>
        <w:t>款约定的估</w:t>
      </w:r>
      <w:r>
        <w:rPr>
          <w:rFonts w:ascii="宋体" w:hAnsi="宋体" w:cs="宋体"/>
          <w:color w:val="auto"/>
          <w:spacing w:val="1"/>
          <w:sz w:val="24"/>
        </w:rPr>
        <w:t>价原则，详细开列变更工作的价格组成及其依据，并附</w:t>
      </w:r>
      <w:r>
        <w:rPr>
          <w:rFonts w:ascii="宋体" w:hAnsi="宋体" w:cs="宋体"/>
          <w:color w:val="auto"/>
          <w:sz w:val="24"/>
        </w:rPr>
        <w:t>必要的养护作业方法说明和</w:t>
      </w:r>
      <w:r>
        <w:rPr>
          <w:rFonts w:ascii="宋体" w:hAnsi="宋体" w:cs="宋体"/>
          <w:color w:val="auto"/>
          <w:spacing w:val="-3"/>
          <w:sz w:val="24"/>
        </w:rPr>
        <w:t>有关图纸。</w:t>
      </w:r>
    </w:p>
    <w:p w14:paraId="1F62157C">
      <w:pPr>
        <w:spacing w:before="115" w:line="278" w:lineRule="auto"/>
        <w:ind w:left="1" w:firstLine="490"/>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2</w:t>
      </w:r>
      <w:r>
        <w:rPr>
          <w:rFonts w:ascii="宋体" w:hAnsi="宋体" w:cs="宋体"/>
          <w:color w:val="auto"/>
          <w:spacing w:val="4"/>
          <w:sz w:val="24"/>
        </w:rPr>
        <w:t>）变更工作影响工期的，承包人应提出调整工期的具体细节。咨询人</w:t>
      </w:r>
      <w:r>
        <w:rPr>
          <w:rFonts w:ascii="宋体" w:hAnsi="宋体" w:cs="宋体"/>
          <w:color w:val="auto"/>
          <w:spacing w:val="3"/>
          <w:sz w:val="24"/>
        </w:rPr>
        <w:t>认为</w:t>
      </w:r>
      <w:r>
        <w:rPr>
          <w:rFonts w:ascii="宋体" w:hAnsi="宋体" w:cs="宋体"/>
          <w:color w:val="auto"/>
          <w:spacing w:val="1"/>
          <w:sz w:val="24"/>
        </w:rPr>
        <w:t>有必要时，可要求承包人提交要求提前或延长工期的养</w:t>
      </w:r>
      <w:r>
        <w:rPr>
          <w:rFonts w:ascii="宋体" w:hAnsi="宋体" w:cs="宋体"/>
          <w:color w:val="auto"/>
          <w:sz w:val="24"/>
        </w:rPr>
        <w:t>护进度计划及相应养护措施</w:t>
      </w:r>
      <w:r>
        <w:rPr>
          <w:rFonts w:ascii="宋体" w:hAnsi="宋体" w:cs="宋体"/>
          <w:color w:val="auto"/>
          <w:spacing w:val="-2"/>
          <w:sz w:val="24"/>
        </w:rPr>
        <w:t>等详细资料。</w:t>
      </w:r>
    </w:p>
    <w:p w14:paraId="08D6AB23">
      <w:pPr>
        <w:spacing w:before="116" w:line="263" w:lineRule="auto"/>
        <w:ind w:right="2" w:firstLine="491"/>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3</w:t>
      </w:r>
      <w:r>
        <w:rPr>
          <w:rFonts w:ascii="宋体" w:hAnsi="宋体" w:cs="宋体"/>
          <w:color w:val="auto"/>
          <w:spacing w:val="4"/>
          <w:sz w:val="24"/>
        </w:rPr>
        <w:t>）除专用合同条款对期限另有约定外，咨询人收到承包人变更</w:t>
      </w:r>
      <w:r>
        <w:rPr>
          <w:rFonts w:ascii="宋体" w:hAnsi="宋体" w:cs="宋体"/>
          <w:color w:val="auto"/>
          <w:spacing w:val="3"/>
          <w:sz w:val="24"/>
        </w:rPr>
        <w:t>报价书后的</w:t>
      </w:r>
      <w:r>
        <w:rPr>
          <w:rFonts w:eastAsia="Times New Roman"/>
          <w:color w:val="auto"/>
          <w:spacing w:val="-1"/>
          <w:sz w:val="24"/>
        </w:rPr>
        <w:t xml:space="preserve">7 </w:t>
      </w:r>
      <w:r>
        <w:rPr>
          <w:rFonts w:ascii="宋体" w:hAnsi="宋体" w:cs="宋体"/>
          <w:color w:val="auto"/>
          <w:spacing w:val="-1"/>
          <w:sz w:val="24"/>
        </w:rPr>
        <w:t>天内，根据第</w:t>
      </w:r>
      <w:r>
        <w:rPr>
          <w:rFonts w:eastAsia="Times New Roman"/>
          <w:color w:val="auto"/>
          <w:spacing w:val="-1"/>
          <w:sz w:val="24"/>
        </w:rPr>
        <w:t xml:space="preserve">15.4 </w:t>
      </w:r>
      <w:r>
        <w:rPr>
          <w:rFonts w:ascii="宋体" w:hAnsi="宋体" w:cs="宋体"/>
          <w:color w:val="auto"/>
          <w:spacing w:val="-1"/>
          <w:sz w:val="24"/>
        </w:rPr>
        <w:t>款约定的估价原则，按照第</w:t>
      </w:r>
      <w:r>
        <w:rPr>
          <w:rFonts w:eastAsia="Times New Roman"/>
          <w:color w:val="auto"/>
          <w:spacing w:val="-1"/>
          <w:sz w:val="24"/>
        </w:rPr>
        <w:t xml:space="preserve">3.5 </w:t>
      </w:r>
      <w:r>
        <w:rPr>
          <w:rFonts w:ascii="宋体" w:hAnsi="宋体" w:cs="宋体"/>
          <w:color w:val="auto"/>
          <w:spacing w:val="-1"/>
          <w:sz w:val="24"/>
        </w:rPr>
        <w:t>款商定</w:t>
      </w:r>
      <w:r>
        <w:rPr>
          <w:rFonts w:ascii="宋体" w:hAnsi="宋体" w:cs="宋体"/>
          <w:color w:val="auto"/>
          <w:spacing w:val="-2"/>
          <w:sz w:val="24"/>
        </w:rPr>
        <w:t>或确定变更价格。</w:t>
      </w:r>
    </w:p>
    <w:p w14:paraId="34793C26">
      <w:pPr>
        <w:spacing w:before="115" w:line="221" w:lineRule="auto"/>
        <w:ind w:left="499"/>
        <w:rPr>
          <w:rFonts w:ascii="宋体" w:hAnsi="宋体" w:cs="宋体"/>
          <w:color w:val="auto"/>
          <w:sz w:val="24"/>
        </w:rPr>
      </w:pPr>
      <w:r>
        <w:rPr>
          <w:rFonts w:eastAsia="Times New Roman"/>
          <w:color w:val="auto"/>
          <w:spacing w:val="-3"/>
          <w:sz w:val="24"/>
        </w:rPr>
        <w:t xml:space="preserve">15.3.3  </w:t>
      </w:r>
      <w:r>
        <w:rPr>
          <w:rFonts w:ascii="宋体" w:hAnsi="宋体" w:cs="宋体"/>
          <w:color w:val="auto"/>
          <w:spacing w:val="-3"/>
          <w:sz w:val="24"/>
        </w:rPr>
        <w:t>变更指示</w:t>
      </w:r>
    </w:p>
    <w:p w14:paraId="1F493D94">
      <w:pPr>
        <w:spacing w:before="114" w:line="220" w:lineRule="auto"/>
        <w:ind w:left="492"/>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1</w:t>
      </w:r>
      <w:r>
        <w:rPr>
          <w:rFonts w:ascii="宋体" w:hAnsi="宋体" w:cs="宋体"/>
          <w:color w:val="auto"/>
          <w:spacing w:val="-2"/>
          <w:sz w:val="24"/>
        </w:rPr>
        <w:t>）变更指示只能由咨询人发出。</w:t>
      </w:r>
    </w:p>
    <w:p w14:paraId="0A4E9488">
      <w:pPr>
        <w:spacing w:before="116" w:line="278" w:lineRule="auto"/>
        <w:ind w:firstLine="492"/>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2</w:t>
      </w:r>
      <w:r>
        <w:rPr>
          <w:rFonts w:ascii="宋体" w:hAnsi="宋体" w:cs="宋体"/>
          <w:color w:val="auto"/>
          <w:spacing w:val="4"/>
          <w:sz w:val="24"/>
        </w:rPr>
        <w:t>）变更指示应说明变更的目的、范围、变更内容以及变更的工程量及</w:t>
      </w:r>
      <w:r>
        <w:rPr>
          <w:rFonts w:ascii="宋体" w:hAnsi="宋体" w:cs="宋体"/>
          <w:color w:val="auto"/>
          <w:spacing w:val="3"/>
          <w:sz w:val="24"/>
        </w:rPr>
        <w:t>其进</w:t>
      </w:r>
      <w:r>
        <w:rPr>
          <w:rFonts w:ascii="宋体" w:hAnsi="宋体" w:cs="宋体"/>
          <w:color w:val="auto"/>
          <w:spacing w:val="1"/>
          <w:sz w:val="24"/>
        </w:rPr>
        <w:t>度和技术要求，并附有关图纸和文件。承包人收到变更指示</w:t>
      </w:r>
      <w:r>
        <w:rPr>
          <w:rFonts w:ascii="宋体" w:hAnsi="宋体" w:cs="宋体"/>
          <w:color w:val="auto"/>
          <w:sz w:val="24"/>
        </w:rPr>
        <w:t>后，应按变更指示进行</w:t>
      </w:r>
      <w:r>
        <w:rPr>
          <w:rFonts w:ascii="宋体" w:hAnsi="宋体" w:cs="宋体"/>
          <w:color w:val="auto"/>
          <w:spacing w:val="-2"/>
          <w:sz w:val="24"/>
        </w:rPr>
        <w:t>变更工作。</w:t>
      </w:r>
    </w:p>
    <w:p w14:paraId="537F9B64">
      <w:pPr>
        <w:spacing w:before="271" w:line="218" w:lineRule="auto"/>
        <w:ind w:left="487"/>
        <w:outlineLvl w:val="3"/>
        <w:rPr>
          <w:rFonts w:ascii="宋体" w:hAnsi="宋体" w:cs="宋体"/>
          <w:color w:val="auto"/>
          <w:sz w:val="24"/>
        </w:rPr>
      </w:pPr>
      <w:bookmarkStart w:id="154" w:name="bookmark220"/>
      <w:bookmarkEnd w:id="154"/>
      <w:r>
        <w:rPr>
          <w:rFonts w:eastAsia="Times New Roman"/>
          <w:b/>
          <w:bCs/>
          <w:color w:val="auto"/>
          <w:spacing w:val="-3"/>
          <w:sz w:val="24"/>
        </w:rPr>
        <w:t xml:space="preserve">15.4  </w:t>
      </w:r>
      <w:r>
        <w:rPr>
          <w:rFonts w:ascii="宋体" w:hAnsi="宋体" w:cs="宋体"/>
          <w:b/>
          <w:bCs/>
          <w:color w:val="auto"/>
          <w:spacing w:val="-3"/>
          <w:sz w:val="24"/>
        </w:rPr>
        <w:t>变更的估价原则</w:t>
      </w:r>
    </w:p>
    <w:p w14:paraId="18FDD0AF">
      <w:pPr>
        <w:spacing w:before="126" w:line="218" w:lineRule="auto"/>
        <w:ind w:left="495"/>
        <w:rPr>
          <w:rFonts w:ascii="宋体" w:hAnsi="宋体" w:cs="宋体"/>
          <w:color w:val="auto"/>
          <w:sz w:val="24"/>
        </w:rPr>
      </w:pPr>
      <w:r>
        <w:rPr>
          <w:rFonts w:ascii="宋体" w:hAnsi="宋体" w:cs="宋体"/>
          <w:color w:val="auto"/>
          <w:spacing w:val="-1"/>
          <w:sz w:val="24"/>
        </w:rPr>
        <w:t>除专用合同条款另有约定外，因变更引起的价格调整按照本款约定处理。</w:t>
      </w:r>
    </w:p>
    <w:p w14:paraId="6F8263B4">
      <w:pPr>
        <w:spacing w:before="115" w:line="218" w:lineRule="auto"/>
        <w:ind w:left="499"/>
        <w:rPr>
          <w:rFonts w:ascii="宋体" w:hAnsi="宋体" w:cs="宋体"/>
          <w:color w:val="auto"/>
          <w:sz w:val="24"/>
        </w:rPr>
      </w:pPr>
      <w:r>
        <w:rPr>
          <w:rFonts w:eastAsia="Times New Roman"/>
          <w:color w:val="auto"/>
          <w:spacing w:val="-1"/>
          <w:sz w:val="24"/>
        </w:rPr>
        <w:t xml:space="preserve">15.4.1  </w:t>
      </w:r>
      <w:r>
        <w:rPr>
          <w:rFonts w:ascii="宋体" w:hAnsi="宋体" w:cs="宋体"/>
          <w:color w:val="auto"/>
          <w:spacing w:val="-1"/>
          <w:sz w:val="24"/>
        </w:rPr>
        <w:t>如果取消某项工作，则该项工作的总额价不予支付。</w:t>
      </w:r>
    </w:p>
    <w:p w14:paraId="5C3BE546">
      <w:pPr>
        <w:spacing w:before="117" w:line="218" w:lineRule="auto"/>
        <w:ind w:left="499"/>
        <w:rPr>
          <w:rFonts w:ascii="宋体" w:hAnsi="宋体" w:cs="宋体"/>
          <w:color w:val="auto"/>
          <w:sz w:val="24"/>
        </w:rPr>
      </w:pPr>
      <w:r>
        <w:rPr>
          <w:rFonts w:eastAsia="Times New Roman"/>
          <w:color w:val="auto"/>
          <w:spacing w:val="-2"/>
          <w:sz w:val="24"/>
        </w:rPr>
        <w:t>15.4.2</w:t>
      </w:r>
      <w:r>
        <w:rPr>
          <w:rFonts w:ascii="宋体" w:hAnsi="宋体" w:cs="宋体"/>
          <w:color w:val="auto"/>
          <w:spacing w:val="-2"/>
          <w:sz w:val="24"/>
        </w:rPr>
        <w:t>已标价工程量清单中有适用于变更工作的子目的，采用该子目的单价。</w:t>
      </w:r>
    </w:p>
    <w:p w14:paraId="1823DDDB">
      <w:pPr>
        <w:spacing w:before="118" w:line="262" w:lineRule="auto"/>
        <w:ind w:left="1" w:right="59" w:firstLine="497"/>
        <w:rPr>
          <w:rFonts w:ascii="宋体" w:hAnsi="宋体" w:cs="宋体"/>
          <w:color w:val="auto"/>
          <w:sz w:val="24"/>
        </w:rPr>
      </w:pPr>
      <w:r>
        <w:rPr>
          <w:rFonts w:eastAsia="Times New Roman"/>
          <w:color w:val="auto"/>
          <w:spacing w:val="-1"/>
          <w:sz w:val="24"/>
        </w:rPr>
        <w:t>15.4.3</w:t>
      </w:r>
      <w:r>
        <w:rPr>
          <w:rFonts w:ascii="宋体" w:hAnsi="宋体" w:cs="宋体"/>
          <w:color w:val="auto"/>
          <w:spacing w:val="-1"/>
          <w:sz w:val="24"/>
        </w:rPr>
        <w:t>已标价工程量清单中无适用于变更工作的子目，但有类似子目的，可在</w:t>
      </w:r>
      <w:r>
        <w:rPr>
          <w:rFonts w:ascii="宋体" w:hAnsi="宋体" w:cs="宋体"/>
          <w:color w:val="auto"/>
          <w:spacing w:val="-2"/>
          <w:sz w:val="24"/>
        </w:rPr>
        <w:t>合理范围内参照类似子目的单价，由咨询人按第</w:t>
      </w:r>
      <w:r>
        <w:rPr>
          <w:rFonts w:eastAsia="Times New Roman"/>
          <w:color w:val="auto"/>
          <w:spacing w:val="-2"/>
          <w:sz w:val="24"/>
        </w:rPr>
        <w:t xml:space="preserve">3.5 </w:t>
      </w:r>
      <w:r>
        <w:rPr>
          <w:rFonts w:ascii="宋体" w:hAnsi="宋体" w:cs="宋体"/>
          <w:color w:val="auto"/>
          <w:spacing w:val="-2"/>
          <w:sz w:val="24"/>
        </w:rPr>
        <w:t>款商定或确定变更工作的单价。</w:t>
      </w:r>
    </w:p>
    <w:p w14:paraId="79474B7C">
      <w:pPr>
        <w:spacing w:before="117" w:line="263" w:lineRule="auto"/>
        <w:ind w:left="20" w:right="166" w:firstLine="479"/>
        <w:rPr>
          <w:rFonts w:ascii="宋体" w:hAnsi="宋体" w:cs="宋体"/>
          <w:color w:val="auto"/>
          <w:sz w:val="24"/>
        </w:rPr>
      </w:pPr>
      <w:r>
        <w:rPr>
          <w:rFonts w:eastAsia="Times New Roman"/>
          <w:color w:val="auto"/>
          <w:spacing w:val="-1"/>
          <w:sz w:val="24"/>
        </w:rPr>
        <w:t>15.4.4</w:t>
      </w:r>
      <w:r>
        <w:rPr>
          <w:rFonts w:ascii="宋体" w:hAnsi="宋体" w:cs="宋体"/>
          <w:color w:val="auto"/>
          <w:spacing w:val="-1"/>
          <w:sz w:val="24"/>
        </w:rPr>
        <w:t>已标价工程量清单中无适用或类似子目的单价，按照专用合同条款约定</w:t>
      </w:r>
      <w:r>
        <w:rPr>
          <w:rFonts w:ascii="宋体" w:hAnsi="宋体" w:cs="宋体"/>
          <w:color w:val="auto"/>
          <w:spacing w:val="-2"/>
          <w:sz w:val="24"/>
        </w:rPr>
        <w:t>的原则，由咨询人按第</w:t>
      </w:r>
      <w:r>
        <w:rPr>
          <w:rFonts w:eastAsia="Times New Roman"/>
          <w:color w:val="auto"/>
          <w:spacing w:val="-2"/>
          <w:sz w:val="24"/>
        </w:rPr>
        <w:t xml:space="preserve">3.5 </w:t>
      </w:r>
      <w:r>
        <w:rPr>
          <w:rFonts w:ascii="宋体" w:hAnsi="宋体" w:cs="宋体"/>
          <w:color w:val="auto"/>
          <w:spacing w:val="-2"/>
          <w:sz w:val="24"/>
        </w:rPr>
        <w:t>款商定或确定变更工作的单价。</w:t>
      </w:r>
    </w:p>
    <w:p w14:paraId="368D5900">
      <w:pPr>
        <w:spacing w:before="115" w:line="264" w:lineRule="auto"/>
        <w:ind w:right="166" w:firstLine="499"/>
        <w:rPr>
          <w:rFonts w:ascii="宋体" w:hAnsi="宋体" w:cs="宋体"/>
          <w:color w:val="auto"/>
          <w:sz w:val="24"/>
        </w:rPr>
      </w:pPr>
      <w:r>
        <w:rPr>
          <w:rFonts w:eastAsia="Times New Roman"/>
          <w:color w:val="auto"/>
          <w:sz w:val="24"/>
        </w:rPr>
        <w:t xml:space="preserve">15.4.5  </w:t>
      </w:r>
      <w:r>
        <w:rPr>
          <w:rFonts w:ascii="宋体" w:hAnsi="宋体" w:cs="宋体"/>
          <w:color w:val="auto"/>
          <w:sz w:val="24"/>
        </w:rPr>
        <w:t>如果养护项目的变更指示是因承包人过错、承包人违反合同或承包人责</w:t>
      </w:r>
      <w:r>
        <w:rPr>
          <w:rFonts w:ascii="宋体" w:hAnsi="宋体" w:cs="宋体"/>
          <w:color w:val="auto"/>
          <w:spacing w:val="-1"/>
          <w:sz w:val="24"/>
        </w:rPr>
        <w:t>任造成的，则这种违约引起的任何额外费用应由承包人承担。</w:t>
      </w:r>
    </w:p>
    <w:p w14:paraId="667D7F44">
      <w:pPr>
        <w:spacing w:before="106" w:line="219" w:lineRule="auto"/>
        <w:ind w:left="487"/>
        <w:outlineLvl w:val="3"/>
        <w:rPr>
          <w:rFonts w:ascii="宋体" w:hAnsi="宋体" w:cs="宋体"/>
          <w:color w:val="auto"/>
          <w:sz w:val="24"/>
        </w:rPr>
      </w:pPr>
      <w:r>
        <w:rPr>
          <w:rFonts w:eastAsia="Times New Roman"/>
          <w:b/>
          <w:bCs/>
          <w:color w:val="auto"/>
          <w:spacing w:val="-3"/>
          <w:sz w:val="24"/>
        </w:rPr>
        <w:t xml:space="preserve">15.5  </w:t>
      </w:r>
      <w:r>
        <w:rPr>
          <w:rFonts w:ascii="宋体" w:hAnsi="宋体" w:cs="宋体"/>
          <w:b/>
          <w:bCs/>
          <w:color w:val="auto"/>
          <w:spacing w:val="-3"/>
          <w:sz w:val="24"/>
        </w:rPr>
        <w:t>承包人的合理化建议</w:t>
      </w:r>
    </w:p>
    <w:p w14:paraId="0826FC98">
      <w:pPr>
        <w:spacing w:before="124" w:line="290" w:lineRule="auto"/>
        <w:ind w:right="164" w:firstLine="499"/>
        <w:rPr>
          <w:rFonts w:ascii="宋体" w:hAnsi="宋体" w:cs="宋体"/>
          <w:color w:val="auto"/>
          <w:sz w:val="24"/>
        </w:rPr>
      </w:pPr>
      <w:r>
        <w:rPr>
          <w:rFonts w:eastAsia="Times New Roman"/>
          <w:color w:val="auto"/>
          <w:sz w:val="24"/>
        </w:rPr>
        <w:t xml:space="preserve">15.5.1  </w:t>
      </w:r>
      <w:r>
        <w:rPr>
          <w:rFonts w:ascii="宋体" w:hAnsi="宋体" w:cs="宋体"/>
          <w:color w:val="auto"/>
          <w:sz w:val="24"/>
        </w:rPr>
        <w:t>在履行合同过程中，承包人对发包人提供的图纸、技术要求以及其他方</w:t>
      </w:r>
      <w:r>
        <w:rPr>
          <w:rFonts w:ascii="宋体" w:hAnsi="宋体" w:cs="宋体"/>
          <w:color w:val="auto"/>
          <w:spacing w:val="1"/>
          <w:sz w:val="24"/>
        </w:rPr>
        <w:t>面提出的合理化建议，均应以书面形式提交咨询人。合理化</w:t>
      </w:r>
      <w:r>
        <w:rPr>
          <w:rFonts w:ascii="宋体" w:hAnsi="宋体" w:cs="宋体"/>
          <w:color w:val="auto"/>
          <w:sz w:val="24"/>
        </w:rPr>
        <w:t>建议书的内容应包括建</w:t>
      </w:r>
      <w:r>
        <w:rPr>
          <w:rFonts w:ascii="宋体" w:hAnsi="宋体" w:cs="宋体"/>
          <w:color w:val="auto"/>
          <w:spacing w:val="1"/>
          <w:sz w:val="24"/>
        </w:rPr>
        <w:t>议工作的详细说明、进度计划和效益以及与其他工作的协调</w:t>
      </w:r>
      <w:r>
        <w:rPr>
          <w:rFonts w:ascii="宋体" w:hAnsi="宋体" w:cs="宋体"/>
          <w:color w:val="auto"/>
          <w:sz w:val="24"/>
        </w:rPr>
        <w:t>等，并附必要的设计文</w:t>
      </w:r>
      <w:r>
        <w:rPr>
          <w:rFonts w:ascii="宋体" w:hAnsi="宋体" w:cs="宋体"/>
          <w:color w:val="auto"/>
          <w:spacing w:val="13"/>
          <w:sz w:val="24"/>
        </w:rPr>
        <w:t>件。咨询人应与发包人协商是否采纳建议。建议被采纳并构成变更的，应按第</w:t>
      </w:r>
      <w:r>
        <w:rPr>
          <w:rFonts w:eastAsia="Times New Roman"/>
          <w:color w:val="auto"/>
          <w:spacing w:val="-1"/>
          <w:sz w:val="24"/>
        </w:rPr>
        <w:t xml:space="preserve">15.3.3 </w:t>
      </w:r>
      <w:r>
        <w:rPr>
          <w:rFonts w:ascii="宋体" w:hAnsi="宋体" w:cs="宋体"/>
          <w:color w:val="auto"/>
          <w:spacing w:val="-1"/>
          <w:sz w:val="24"/>
        </w:rPr>
        <w:t>项约定向承包人发出变更指示。</w:t>
      </w:r>
    </w:p>
    <w:p w14:paraId="55FF14A5">
      <w:pPr>
        <w:spacing w:before="115" w:line="263" w:lineRule="auto"/>
        <w:ind w:left="4" w:right="225" w:firstLine="494"/>
        <w:rPr>
          <w:rFonts w:ascii="宋体" w:hAnsi="宋体" w:cs="宋体"/>
          <w:color w:val="auto"/>
          <w:sz w:val="24"/>
        </w:rPr>
      </w:pPr>
      <w:r>
        <w:rPr>
          <w:rFonts w:eastAsia="Times New Roman"/>
          <w:color w:val="auto"/>
          <w:spacing w:val="-1"/>
          <w:sz w:val="24"/>
        </w:rPr>
        <w:t xml:space="preserve">15.5.2  </w:t>
      </w:r>
      <w:r>
        <w:rPr>
          <w:rFonts w:ascii="宋体" w:hAnsi="宋体" w:cs="宋体"/>
          <w:color w:val="auto"/>
          <w:spacing w:val="-1"/>
          <w:sz w:val="24"/>
        </w:rPr>
        <w:t>承包人提出的合理化建议降低了合</w:t>
      </w:r>
      <w:r>
        <w:rPr>
          <w:rFonts w:ascii="宋体" w:hAnsi="宋体" w:cs="宋体"/>
          <w:color w:val="auto"/>
          <w:spacing w:val="-2"/>
          <w:sz w:val="24"/>
        </w:rPr>
        <w:t>同价格或者提高了工程经济效益的，</w:t>
      </w:r>
      <w:r>
        <w:rPr>
          <w:rFonts w:ascii="宋体" w:hAnsi="宋体" w:cs="宋体"/>
          <w:color w:val="auto"/>
          <w:spacing w:val="-1"/>
          <w:sz w:val="24"/>
        </w:rPr>
        <w:t>发包人按专用合同条款数据表中约定的金额给予奖励。</w:t>
      </w:r>
    </w:p>
    <w:p w14:paraId="6505EA4E">
      <w:pPr>
        <w:spacing w:before="107" w:line="219" w:lineRule="auto"/>
        <w:ind w:left="487"/>
        <w:outlineLvl w:val="3"/>
        <w:rPr>
          <w:rFonts w:ascii="宋体" w:hAnsi="宋体" w:cs="宋体"/>
          <w:color w:val="auto"/>
          <w:sz w:val="24"/>
        </w:rPr>
      </w:pPr>
      <w:r>
        <w:rPr>
          <w:rFonts w:eastAsia="Times New Roman"/>
          <w:b/>
          <w:bCs/>
          <w:color w:val="auto"/>
          <w:spacing w:val="-6"/>
          <w:sz w:val="24"/>
        </w:rPr>
        <w:t>15.6</w:t>
      </w:r>
      <w:r>
        <w:rPr>
          <w:rFonts w:ascii="宋体" w:hAnsi="宋体" w:cs="宋体"/>
          <w:b/>
          <w:bCs/>
          <w:color w:val="auto"/>
          <w:spacing w:val="-6"/>
          <w:sz w:val="24"/>
        </w:rPr>
        <w:t>暂列金额</w:t>
      </w:r>
    </w:p>
    <w:p w14:paraId="4F78B45F">
      <w:pPr>
        <w:spacing w:before="126" w:line="263" w:lineRule="auto"/>
        <w:ind w:left="4" w:right="166" w:firstLine="494"/>
        <w:rPr>
          <w:rFonts w:ascii="宋体" w:hAnsi="宋体" w:cs="宋体"/>
          <w:color w:val="auto"/>
          <w:sz w:val="24"/>
        </w:rPr>
      </w:pPr>
      <w:r>
        <w:rPr>
          <w:rFonts w:eastAsia="Times New Roman"/>
          <w:color w:val="auto"/>
          <w:sz w:val="24"/>
        </w:rPr>
        <w:t xml:space="preserve">15.6.1  </w:t>
      </w:r>
      <w:r>
        <w:rPr>
          <w:rFonts w:ascii="宋体" w:hAnsi="宋体" w:cs="宋体"/>
          <w:color w:val="auto"/>
          <w:sz w:val="24"/>
        </w:rPr>
        <w:t>暂列金额应由咨询人报发包人批准后指令全部或部分地使用，或者根本</w:t>
      </w:r>
      <w:r>
        <w:rPr>
          <w:rFonts w:ascii="宋体" w:hAnsi="宋体" w:cs="宋体"/>
          <w:color w:val="auto"/>
          <w:spacing w:val="-3"/>
          <w:sz w:val="24"/>
        </w:rPr>
        <w:t>不予动用。</w:t>
      </w:r>
    </w:p>
    <w:p w14:paraId="506CA5DB">
      <w:pPr>
        <w:spacing w:before="113" w:line="278" w:lineRule="auto"/>
        <w:ind w:right="166" w:firstLine="499"/>
        <w:rPr>
          <w:rFonts w:ascii="宋体" w:hAnsi="宋体" w:cs="宋体"/>
          <w:color w:val="auto"/>
          <w:sz w:val="24"/>
        </w:rPr>
      </w:pPr>
      <w:r>
        <w:rPr>
          <w:rFonts w:eastAsia="Times New Roman"/>
          <w:color w:val="auto"/>
          <w:sz w:val="24"/>
        </w:rPr>
        <w:t xml:space="preserve">15.6.2  </w:t>
      </w:r>
      <w:r>
        <w:rPr>
          <w:rFonts w:ascii="宋体" w:hAnsi="宋体" w:cs="宋体"/>
          <w:color w:val="auto"/>
          <w:sz w:val="24"/>
        </w:rPr>
        <w:t>对于经发包人批准的每一笔暂列金额，咨询人有权向承包人发出实施工</w:t>
      </w:r>
      <w:r>
        <w:rPr>
          <w:rFonts w:ascii="宋体" w:hAnsi="宋体" w:cs="宋体"/>
          <w:color w:val="auto"/>
          <w:spacing w:val="1"/>
          <w:sz w:val="24"/>
        </w:rPr>
        <w:t>程或提供材料、工程设备或服务的指令。这些指令应由</w:t>
      </w:r>
      <w:r>
        <w:rPr>
          <w:rFonts w:ascii="宋体" w:hAnsi="宋体" w:cs="宋体"/>
          <w:color w:val="auto"/>
          <w:sz w:val="24"/>
        </w:rPr>
        <w:t>承包人完成，咨询人应根据</w:t>
      </w:r>
      <w:r>
        <w:rPr>
          <w:rFonts w:ascii="宋体" w:hAnsi="宋体" w:cs="宋体"/>
          <w:color w:val="auto"/>
          <w:spacing w:val="-2"/>
          <w:sz w:val="24"/>
        </w:rPr>
        <w:t>第</w:t>
      </w:r>
      <w:r>
        <w:rPr>
          <w:rFonts w:eastAsia="Times New Roman"/>
          <w:color w:val="auto"/>
          <w:spacing w:val="-2"/>
          <w:sz w:val="24"/>
        </w:rPr>
        <w:t xml:space="preserve">15.4 </w:t>
      </w:r>
      <w:r>
        <w:rPr>
          <w:rFonts w:ascii="宋体" w:hAnsi="宋体" w:cs="宋体"/>
          <w:color w:val="auto"/>
          <w:spacing w:val="-2"/>
          <w:sz w:val="24"/>
        </w:rPr>
        <w:t>款约定的变更估价原则和第</w:t>
      </w:r>
      <w:r>
        <w:rPr>
          <w:rFonts w:eastAsia="Times New Roman"/>
          <w:color w:val="auto"/>
          <w:spacing w:val="-2"/>
          <w:sz w:val="24"/>
        </w:rPr>
        <w:t xml:space="preserve">15.7 </w:t>
      </w:r>
      <w:r>
        <w:rPr>
          <w:rFonts w:ascii="宋体" w:hAnsi="宋体" w:cs="宋体"/>
          <w:color w:val="auto"/>
          <w:spacing w:val="-2"/>
          <w:sz w:val="24"/>
        </w:rPr>
        <w:t>款的约定，对合同价格进行相应调整。</w:t>
      </w:r>
    </w:p>
    <w:p w14:paraId="62BD5295">
      <w:pPr>
        <w:spacing w:before="116" w:line="278" w:lineRule="auto"/>
        <w:ind w:left="1" w:firstLine="497"/>
        <w:rPr>
          <w:rFonts w:ascii="宋体" w:hAnsi="宋体" w:cs="宋体"/>
          <w:color w:val="auto"/>
          <w:sz w:val="24"/>
        </w:rPr>
      </w:pPr>
      <w:r>
        <w:rPr>
          <w:rFonts w:eastAsia="Times New Roman"/>
          <w:color w:val="auto"/>
          <w:spacing w:val="-2"/>
          <w:sz w:val="24"/>
        </w:rPr>
        <w:t xml:space="preserve">15.6.3  </w:t>
      </w:r>
      <w:r>
        <w:rPr>
          <w:rFonts w:ascii="宋体" w:hAnsi="宋体" w:cs="宋体"/>
          <w:color w:val="auto"/>
          <w:spacing w:val="-2"/>
          <w:sz w:val="24"/>
        </w:rPr>
        <w:t>当咨询人提出要求时，承包人应提供有关暂列金额支出的所有价格清单、</w:t>
      </w:r>
      <w:r>
        <w:rPr>
          <w:rFonts w:ascii="宋体" w:hAnsi="宋体" w:cs="宋体"/>
          <w:color w:val="auto"/>
          <w:spacing w:val="1"/>
          <w:sz w:val="24"/>
        </w:rPr>
        <w:t>发票、凭证和账单或收据，除非该工作是根据已标价工</w:t>
      </w:r>
      <w:r>
        <w:rPr>
          <w:rFonts w:ascii="宋体" w:hAnsi="宋体" w:cs="宋体"/>
          <w:color w:val="auto"/>
          <w:sz w:val="24"/>
        </w:rPr>
        <w:t>程量清单列明的单价或总额</w:t>
      </w:r>
      <w:r>
        <w:rPr>
          <w:rFonts w:ascii="宋体" w:hAnsi="宋体" w:cs="宋体"/>
          <w:color w:val="auto"/>
          <w:spacing w:val="-2"/>
          <w:sz w:val="24"/>
        </w:rPr>
        <w:t>价进行的估价。</w:t>
      </w:r>
    </w:p>
    <w:p w14:paraId="74246DE7">
      <w:pPr>
        <w:spacing w:before="107" w:line="221" w:lineRule="auto"/>
        <w:ind w:left="487"/>
        <w:outlineLvl w:val="3"/>
        <w:rPr>
          <w:rFonts w:ascii="宋体" w:hAnsi="宋体" w:cs="宋体"/>
          <w:color w:val="auto"/>
          <w:sz w:val="24"/>
        </w:rPr>
      </w:pPr>
      <w:r>
        <w:rPr>
          <w:rFonts w:eastAsia="Times New Roman"/>
          <w:b/>
          <w:bCs/>
          <w:color w:val="auto"/>
          <w:spacing w:val="-5"/>
          <w:sz w:val="24"/>
        </w:rPr>
        <w:t>15.7</w:t>
      </w:r>
      <w:r>
        <w:rPr>
          <w:rFonts w:ascii="宋体" w:hAnsi="宋体" w:cs="宋体"/>
          <w:b/>
          <w:bCs/>
          <w:color w:val="auto"/>
          <w:spacing w:val="-5"/>
          <w:sz w:val="24"/>
        </w:rPr>
        <w:t>计日工</w:t>
      </w:r>
    </w:p>
    <w:p w14:paraId="24B886E6">
      <w:pPr>
        <w:spacing w:before="124" w:line="262" w:lineRule="auto"/>
        <w:ind w:left="3" w:right="166" w:firstLine="495"/>
        <w:rPr>
          <w:rFonts w:ascii="宋体" w:hAnsi="宋体" w:cs="宋体"/>
          <w:color w:val="auto"/>
          <w:sz w:val="24"/>
        </w:rPr>
      </w:pPr>
      <w:r>
        <w:rPr>
          <w:rFonts w:eastAsia="Times New Roman"/>
          <w:color w:val="auto"/>
          <w:sz w:val="24"/>
        </w:rPr>
        <w:t xml:space="preserve">15.7.1  </w:t>
      </w:r>
      <w:r>
        <w:rPr>
          <w:rFonts w:ascii="宋体" w:hAnsi="宋体" w:cs="宋体"/>
          <w:color w:val="auto"/>
          <w:sz w:val="24"/>
        </w:rPr>
        <w:t>发包人认为有必要时，由咨询人通知承包人以计日工方式实施变更的零星工作。其价款按列入已标价工程量清单中的计日</w:t>
      </w:r>
      <w:r>
        <w:rPr>
          <w:rFonts w:ascii="宋体" w:hAnsi="宋体" w:cs="宋体"/>
          <w:color w:val="auto"/>
          <w:spacing w:val="-1"/>
          <w:sz w:val="24"/>
        </w:rPr>
        <w:t>工计价子目及其单价进行计算。</w:t>
      </w:r>
    </w:p>
    <w:p w14:paraId="29C920C1">
      <w:pPr>
        <w:spacing w:before="117" w:line="264" w:lineRule="auto"/>
        <w:ind w:right="166" w:firstLine="499"/>
        <w:rPr>
          <w:rFonts w:ascii="宋体" w:hAnsi="宋体" w:cs="宋体"/>
          <w:color w:val="auto"/>
          <w:sz w:val="24"/>
        </w:rPr>
      </w:pPr>
      <w:r>
        <w:rPr>
          <w:rFonts w:eastAsia="Times New Roman"/>
          <w:color w:val="auto"/>
          <w:sz w:val="24"/>
        </w:rPr>
        <w:t xml:space="preserve">15.7.2  </w:t>
      </w:r>
      <w:r>
        <w:rPr>
          <w:rFonts w:ascii="宋体" w:hAnsi="宋体" w:cs="宋体"/>
          <w:color w:val="auto"/>
          <w:sz w:val="24"/>
        </w:rPr>
        <w:t>采用计日工计价的任何一项变更工作，应从暂列金额中支付，承包人应在该项变更的实施过程中，每天提交以下报表和有关</w:t>
      </w:r>
      <w:r>
        <w:rPr>
          <w:rFonts w:ascii="宋体" w:hAnsi="宋体" w:cs="宋体"/>
          <w:color w:val="auto"/>
          <w:spacing w:val="-1"/>
          <w:sz w:val="24"/>
        </w:rPr>
        <w:t>凭证报送咨询人审批：</w:t>
      </w:r>
    </w:p>
    <w:p w14:paraId="79F3BD4C">
      <w:pPr>
        <w:spacing w:before="114" w:line="219" w:lineRule="auto"/>
        <w:ind w:left="492"/>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1</w:t>
      </w:r>
      <w:r>
        <w:rPr>
          <w:rFonts w:ascii="宋体" w:hAnsi="宋体" w:cs="宋体"/>
          <w:color w:val="auto"/>
          <w:spacing w:val="-2"/>
          <w:sz w:val="24"/>
        </w:rPr>
        <w:t>）工作名称、内容和数量；</w:t>
      </w:r>
    </w:p>
    <w:p w14:paraId="57DEDEC1">
      <w:pPr>
        <w:spacing w:before="116" w:line="219" w:lineRule="auto"/>
        <w:ind w:left="492"/>
        <w:rPr>
          <w:rFonts w:ascii="宋体" w:hAnsi="宋体" w:cs="宋体"/>
          <w:color w:val="auto"/>
          <w:spacing w:val="-1"/>
          <w:sz w:val="24"/>
        </w:rPr>
      </w:pPr>
      <w:r>
        <w:rPr>
          <w:rFonts w:ascii="宋体" w:hAnsi="宋体" w:cs="宋体"/>
          <w:color w:val="auto"/>
          <w:spacing w:val="-1"/>
          <w:sz w:val="24"/>
        </w:rPr>
        <w:t>（</w:t>
      </w:r>
      <w:r>
        <w:rPr>
          <w:rFonts w:eastAsia="Times New Roman"/>
          <w:color w:val="auto"/>
          <w:spacing w:val="-1"/>
          <w:sz w:val="24"/>
        </w:rPr>
        <w:t>2</w:t>
      </w:r>
      <w:r>
        <w:rPr>
          <w:rFonts w:ascii="宋体" w:hAnsi="宋体" w:cs="宋体"/>
          <w:color w:val="auto"/>
          <w:spacing w:val="-1"/>
          <w:sz w:val="24"/>
        </w:rPr>
        <w:t>）投入该工作所有人员的姓名、工种、级别和耗用工时；</w:t>
      </w:r>
    </w:p>
    <w:p w14:paraId="152E5FA8">
      <w:pPr>
        <w:spacing w:before="116" w:line="219" w:lineRule="auto"/>
        <w:ind w:left="492"/>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3</w:t>
      </w:r>
      <w:r>
        <w:rPr>
          <w:rFonts w:ascii="宋体" w:hAnsi="宋体" w:cs="宋体"/>
          <w:color w:val="auto"/>
          <w:spacing w:val="-2"/>
          <w:sz w:val="24"/>
        </w:rPr>
        <w:t>）投入该工作的材料类别和数量；</w:t>
      </w:r>
    </w:p>
    <w:p w14:paraId="3C62E7DC">
      <w:pPr>
        <w:spacing w:before="117" w:line="219" w:lineRule="auto"/>
        <w:ind w:left="492"/>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4</w:t>
      </w:r>
      <w:r>
        <w:rPr>
          <w:rFonts w:ascii="宋体" w:hAnsi="宋体" w:cs="宋体"/>
          <w:color w:val="auto"/>
          <w:spacing w:val="-1"/>
          <w:sz w:val="24"/>
        </w:rPr>
        <w:t>）投入该工作的养护作业设备型号、台数和耗用台时；</w:t>
      </w:r>
    </w:p>
    <w:p w14:paraId="73833365">
      <w:pPr>
        <w:spacing w:before="113" w:line="219" w:lineRule="auto"/>
        <w:ind w:left="492"/>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5</w:t>
      </w:r>
      <w:r>
        <w:rPr>
          <w:rFonts w:ascii="宋体" w:hAnsi="宋体" w:cs="宋体"/>
          <w:color w:val="auto"/>
          <w:spacing w:val="-2"/>
          <w:sz w:val="24"/>
        </w:rPr>
        <w:t>）咨询人要求提交的其他资料和凭证。</w:t>
      </w:r>
    </w:p>
    <w:p w14:paraId="4219FD15">
      <w:pPr>
        <w:spacing w:before="114" w:line="304" w:lineRule="auto"/>
        <w:ind w:left="10" w:right="2" w:firstLine="489"/>
        <w:rPr>
          <w:rFonts w:ascii="宋体" w:hAnsi="宋体" w:cs="宋体"/>
          <w:color w:val="auto"/>
          <w:sz w:val="24"/>
        </w:rPr>
      </w:pPr>
      <w:r>
        <w:rPr>
          <w:rFonts w:eastAsia="Times New Roman"/>
          <w:color w:val="auto"/>
          <w:spacing w:val="-1"/>
          <w:sz w:val="24"/>
        </w:rPr>
        <w:t xml:space="preserve">15.7.3  </w:t>
      </w:r>
      <w:r>
        <w:rPr>
          <w:rFonts w:ascii="宋体" w:hAnsi="宋体" w:cs="宋体"/>
          <w:color w:val="auto"/>
          <w:spacing w:val="-1"/>
          <w:sz w:val="24"/>
        </w:rPr>
        <w:t>计日工由承包人汇总后，按第</w:t>
      </w:r>
      <w:r>
        <w:rPr>
          <w:rFonts w:eastAsia="Times New Roman"/>
          <w:color w:val="auto"/>
          <w:spacing w:val="-1"/>
          <w:sz w:val="24"/>
        </w:rPr>
        <w:t xml:space="preserve">17.3.2 </w:t>
      </w:r>
      <w:r>
        <w:rPr>
          <w:rFonts w:ascii="宋体" w:hAnsi="宋体" w:cs="宋体"/>
          <w:color w:val="auto"/>
          <w:spacing w:val="-1"/>
          <w:sz w:val="24"/>
        </w:rPr>
        <w:t>项的约定列入进度付款申请单，由咨询人复核并经发包人同意后列入进度付款。</w:t>
      </w:r>
    </w:p>
    <w:p w14:paraId="4A937BEA">
      <w:pPr>
        <w:spacing w:before="1" w:line="217" w:lineRule="auto"/>
        <w:ind w:left="487"/>
        <w:outlineLvl w:val="3"/>
        <w:rPr>
          <w:rFonts w:ascii="宋体" w:hAnsi="宋体" w:cs="宋体"/>
          <w:color w:val="auto"/>
          <w:sz w:val="24"/>
        </w:rPr>
      </w:pPr>
      <w:r>
        <w:rPr>
          <w:rFonts w:eastAsia="Times New Roman"/>
          <w:b/>
          <w:bCs/>
          <w:color w:val="auto"/>
          <w:spacing w:val="-6"/>
          <w:sz w:val="24"/>
        </w:rPr>
        <w:t>15.8</w:t>
      </w:r>
      <w:r>
        <w:rPr>
          <w:rFonts w:ascii="宋体" w:hAnsi="宋体" w:cs="宋体"/>
          <w:b/>
          <w:bCs/>
          <w:color w:val="auto"/>
          <w:spacing w:val="-6"/>
          <w:sz w:val="24"/>
        </w:rPr>
        <w:t>暂估价</w:t>
      </w:r>
    </w:p>
    <w:p w14:paraId="5DFF1DF4">
      <w:pPr>
        <w:spacing w:before="129" w:line="308" w:lineRule="auto"/>
        <w:ind w:firstLine="483"/>
        <w:rPr>
          <w:rFonts w:ascii="宋体" w:hAnsi="宋体" w:cs="宋体"/>
          <w:color w:val="auto"/>
          <w:sz w:val="24"/>
        </w:rPr>
      </w:pPr>
      <w:r>
        <w:rPr>
          <w:rFonts w:ascii="宋体" w:hAnsi="宋体" w:cs="宋体"/>
          <w:color w:val="auto"/>
          <w:spacing w:val="1"/>
          <w:sz w:val="24"/>
        </w:rPr>
        <w:t>发包人在工程量清单中给定暂估价的工程、材料</w:t>
      </w:r>
      <w:r>
        <w:rPr>
          <w:rFonts w:ascii="宋体" w:hAnsi="宋体" w:cs="宋体"/>
          <w:color w:val="auto"/>
          <w:sz w:val="24"/>
        </w:rPr>
        <w:t>、工程设备、服务，应按照专</w:t>
      </w:r>
      <w:r>
        <w:rPr>
          <w:rFonts w:ascii="宋体" w:hAnsi="宋体" w:cs="宋体"/>
          <w:color w:val="auto"/>
          <w:spacing w:val="4"/>
          <w:sz w:val="24"/>
        </w:rPr>
        <w:t>用合同条款的约定确定实施主体，并由咨询人按照第</w:t>
      </w:r>
      <w:r>
        <w:rPr>
          <w:rFonts w:eastAsia="Times New Roman"/>
          <w:color w:val="auto"/>
          <w:spacing w:val="4"/>
          <w:sz w:val="24"/>
        </w:rPr>
        <w:t>15.4</w:t>
      </w:r>
      <w:r>
        <w:rPr>
          <w:rFonts w:ascii="宋体" w:hAnsi="宋体" w:cs="宋体"/>
          <w:color w:val="auto"/>
          <w:spacing w:val="4"/>
          <w:sz w:val="24"/>
        </w:rPr>
        <w:t>款进行估价。经估价的</w:t>
      </w:r>
      <w:r>
        <w:rPr>
          <w:rFonts w:ascii="宋体" w:hAnsi="宋体" w:cs="宋体"/>
          <w:color w:val="auto"/>
          <w:spacing w:val="1"/>
          <w:sz w:val="24"/>
        </w:rPr>
        <w:t>工程、材料、工程设备、服务的价格与工程量清单中所列</w:t>
      </w:r>
      <w:r>
        <w:rPr>
          <w:rFonts w:ascii="宋体" w:hAnsi="宋体" w:cs="宋体"/>
          <w:color w:val="auto"/>
          <w:sz w:val="24"/>
        </w:rPr>
        <w:t>的暂估价的金额差以及相</w:t>
      </w:r>
      <w:r>
        <w:rPr>
          <w:rFonts w:ascii="宋体" w:hAnsi="宋体" w:cs="宋体"/>
          <w:color w:val="auto"/>
          <w:spacing w:val="-1"/>
          <w:sz w:val="24"/>
        </w:rPr>
        <w:t>应的税金等其他费用列入合同价格。</w:t>
      </w:r>
    </w:p>
    <w:p w14:paraId="0B8AF19C">
      <w:pPr>
        <w:spacing w:before="307" w:line="218" w:lineRule="auto"/>
        <w:ind w:left="487"/>
        <w:outlineLvl w:val="2"/>
        <w:rPr>
          <w:rFonts w:ascii="宋体" w:hAnsi="宋体" w:cs="宋体"/>
          <w:color w:val="auto"/>
          <w:sz w:val="24"/>
        </w:rPr>
      </w:pPr>
      <w:bookmarkStart w:id="155" w:name="bookmark37"/>
      <w:bookmarkEnd w:id="155"/>
      <w:bookmarkStart w:id="156" w:name="bookmark38"/>
      <w:bookmarkEnd w:id="156"/>
      <w:r>
        <w:rPr>
          <w:rFonts w:eastAsia="Times New Roman"/>
          <w:b/>
          <w:bCs/>
          <w:color w:val="auto"/>
          <w:spacing w:val="-5"/>
          <w:sz w:val="24"/>
        </w:rPr>
        <w:t>16.</w:t>
      </w:r>
      <w:r>
        <w:rPr>
          <w:rFonts w:ascii="宋体" w:hAnsi="宋体" w:cs="宋体"/>
          <w:b/>
          <w:bCs/>
          <w:color w:val="auto"/>
          <w:spacing w:val="-5"/>
          <w:sz w:val="24"/>
        </w:rPr>
        <w:t>价格调整</w:t>
      </w:r>
    </w:p>
    <w:p w14:paraId="73BF225A">
      <w:pPr>
        <w:spacing w:before="261" w:line="218" w:lineRule="auto"/>
        <w:ind w:left="487"/>
        <w:outlineLvl w:val="3"/>
        <w:rPr>
          <w:rFonts w:ascii="宋体" w:hAnsi="宋体" w:cs="宋体"/>
          <w:color w:val="auto"/>
          <w:sz w:val="24"/>
        </w:rPr>
      </w:pPr>
      <w:r>
        <w:rPr>
          <w:rFonts w:eastAsia="Times New Roman"/>
          <w:b/>
          <w:bCs/>
          <w:color w:val="auto"/>
          <w:spacing w:val="-2"/>
          <w:sz w:val="24"/>
        </w:rPr>
        <w:t xml:space="preserve">16.1  </w:t>
      </w:r>
      <w:r>
        <w:rPr>
          <w:rFonts w:ascii="宋体" w:hAnsi="宋体" w:cs="宋体"/>
          <w:b/>
          <w:bCs/>
          <w:color w:val="auto"/>
          <w:spacing w:val="-2"/>
          <w:sz w:val="24"/>
        </w:rPr>
        <w:t>物价波动引起的价格调整</w:t>
      </w:r>
    </w:p>
    <w:p w14:paraId="3D1EB781">
      <w:pPr>
        <w:spacing w:before="127" w:line="218" w:lineRule="auto"/>
        <w:ind w:left="499"/>
        <w:rPr>
          <w:rFonts w:ascii="宋体" w:hAnsi="宋体" w:cs="宋体"/>
          <w:color w:val="auto"/>
          <w:sz w:val="24"/>
        </w:rPr>
      </w:pPr>
      <w:r>
        <w:rPr>
          <w:rFonts w:ascii="宋体" w:hAnsi="宋体" w:cs="宋体"/>
          <w:color w:val="auto"/>
          <w:spacing w:val="-1"/>
          <w:sz w:val="24"/>
        </w:rPr>
        <w:t>因物价波动引起的价格调整按照专用合同条款约定的原则处</w:t>
      </w:r>
      <w:r>
        <w:rPr>
          <w:rFonts w:ascii="宋体" w:hAnsi="宋体" w:cs="宋体"/>
          <w:color w:val="auto"/>
          <w:spacing w:val="-2"/>
          <w:sz w:val="24"/>
        </w:rPr>
        <w:t>理。</w:t>
      </w:r>
    </w:p>
    <w:p w14:paraId="4BEA5D4E">
      <w:pPr>
        <w:spacing w:before="117" w:line="218" w:lineRule="auto"/>
        <w:ind w:left="499"/>
        <w:rPr>
          <w:rFonts w:ascii="宋体" w:hAnsi="宋体" w:cs="宋体"/>
          <w:color w:val="auto"/>
          <w:sz w:val="24"/>
        </w:rPr>
      </w:pPr>
      <w:r>
        <w:rPr>
          <w:rFonts w:eastAsia="Times New Roman"/>
          <w:color w:val="auto"/>
          <w:spacing w:val="-2"/>
          <w:sz w:val="24"/>
        </w:rPr>
        <w:t xml:space="preserve">16.1.1  </w:t>
      </w:r>
      <w:r>
        <w:rPr>
          <w:rFonts w:ascii="宋体" w:hAnsi="宋体" w:cs="宋体"/>
          <w:color w:val="auto"/>
          <w:spacing w:val="-2"/>
          <w:sz w:val="24"/>
        </w:rPr>
        <w:t>采用造价信息调整价格差额</w:t>
      </w:r>
    </w:p>
    <w:p w14:paraId="44472F23">
      <w:pPr>
        <w:spacing w:before="119" w:line="307" w:lineRule="auto"/>
        <w:ind w:firstLine="479"/>
        <w:rPr>
          <w:rFonts w:ascii="宋体" w:hAnsi="宋体" w:cs="宋体"/>
          <w:color w:val="auto"/>
          <w:sz w:val="24"/>
        </w:rPr>
      </w:pPr>
      <w:r>
        <w:rPr>
          <w:rFonts w:ascii="宋体" w:hAnsi="宋体" w:cs="宋体"/>
          <w:color w:val="auto"/>
          <w:spacing w:val="1"/>
          <w:sz w:val="24"/>
        </w:rPr>
        <w:t>在合同履行过程中，因材料价格波动影响合同价格时，按照</w:t>
      </w:r>
      <w:r>
        <w:rPr>
          <w:rFonts w:ascii="宋体" w:hAnsi="宋体" w:cs="宋体"/>
          <w:color w:val="auto"/>
          <w:sz w:val="24"/>
        </w:rPr>
        <w:t>以下原则对合同价</w:t>
      </w:r>
      <w:r>
        <w:rPr>
          <w:rFonts w:ascii="宋体" w:hAnsi="宋体" w:cs="宋体"/>
          <w:color w:val="auto"/>
          <w:spacing w:val="-2"/>
          <w:sz w:val="24"/>
        </w:rPr>
        <w:t>格进行调整。</w:t>
      </w:r>
    </w:p>
    <w:p w14:paraId="1BC99391">
      <w:pPr>
        <w:spacing w:line="299" w:lineRule="auto"/>
        <w:ind w:firstLine="498"/>
        <w:rPr>
          <w:rFonts w:ascii="宋体" w:hAnsi="宋体" w:cs="宋体"/>
          <w:color w:val="auto"/>
          <w:sz w:val="24"/>
        </w:rPr>
      </w:pPr>
      <w:r>
        <w:rPr>
          <w:rFonts w:eastAsia="Times New Roman"/>
          <w:color w:val="auto"/>
          <w:spacing w:val="2"/>
          <w:sz w:val="24"/>
        </w:rPr>
        <w:t xml:space="preserve">16.1.1.1  </w:t>
      </w:r>
      <w:r>
        <w:rPr>
          <w:rFonts w:ascii="宋体" w:hAnsi="宋体" w:cs="宋体"/>
          <w:color w:val="auto"/>
          <w:spacing w:val="2"/>
          <w:sz w:val="24"/>
        </w:rPr>
        <w:t>因材料价格波动超过一定幅度影</w:t>
      </w:r>
      <w:r>
        <w:rPr>
          <w:rFonts w:ascii="宋体" w:hAnsi="宋体" w:cs="宋体"/>
          <w:color w:val="auto"/>
          <w:spacing w:val="1"/>
          <w:sz w:val="24"/>
        </w:rPr>
        <w:t>响合同价格时，按以下公式计算差额并调整合同价格。需要进行价格调整的材料的种类在专用</w:t>
      </w:r>
      <w:r>
        <w:rPr>
          <w:rFonts w:ascii="宋体" w:hAnsi="宋体" w:cs="宋体"/>
          <w:color w:val="auto"/>
          <w:sz w:val="24"/>
        </w:rPr>
        <w:t>合同条款中约定，其单价</w:t>
      </w:r>
      <w:r>
        <w:rPr>
          <w:rFonts w:ascii="宋体" w:hAnsi="宋体" w:cs="宋体"/>
          <w:color w:val="auto"/>
          <w:spacing w:val="1"/>
          <w:sz w:val="24"/>
        </w:rPr>
        <w:t>和数量应由咨询人复核。经咨询人确认需调整的材料单价</w:t>
      </w:r>
      <w:r>
        <w:rPr>
          <w:rFonts w:ascii="宋体" w:hAnsi="宋体" w:cs="宋体"/>
          <w:color w:val="auto"/>
          <w:sz w:val="24"/>
        </w:rPr>
        <w:t>及数量，作为调整合同价</w:t>
      </w:r>
      <w:r>
        <w:rPr>
          <w:rFonts w:ascii="宋体" w:hAnsi="宋体" w:cs="宋体"/>
          <w:color w:val="auto"/>
          <w:spacing w:val="-2"/>
          <w:sz w:val="24"/>
        </w:rPr>
        <w:t>格差额的依据。</w:t>
      </w:r>
    </w:p>
    <w:p w14:paraId="37041C18">
      <w:pPr>
        <w:spacing w:line="323" w:lineRule="exact"/>
        <w:ind w:left="481"/>
        <w:rPr>
          <w:rFonts w:ascii="宋体" w:hAnsi="宋体" w:cs="宋体"/>
          <w:color w:val="auto"/>
          <w:sz w:val="24"/>
        </w:rPr>
      </w:pPr>
      <w:r>
        <w:rPr>
          <w:rFonts w:ascii="宋体" w:hAnsi="宋体" w:cs="宋体"/>
          <w:color w:val="auto"/>
          <w:spacing w:val="-13"/>
          <w:position w:val="1"/>
          <w:sz w:val="24"/>
        </w:rPr>
        <w:t>价差调整费用 (Δ</w:t>
      </w:r>
      <w:r>
        <w:rPr>
          <w:rFonts w:eastAsia="Times New Roman"/>
          <w:i/>
          <w:iCs/>
          <w:color w:val="auto"/>
          <w:spacing w:val="-13"/>
          <w:position w:val="1"/>
          <w:sz w:val="24"/>
        </w:rPr>
        <w:t>C</w:t>
      </w:r>
      <w:r>
        <w:rPr>
          <w:rFonts w:eastAsia="Times New Roman"/>
          <w:color w:val="auto"/>
          <w:spacing w:val="-13"/>
          <w:sz w:val="15"/>
          <w:szCs w:val="15"/>
        </w:rPr>
        <w:t>t</w:t>
      </w:r>
      <w:r>
        <w:rPr>
          <w:rFonts w:ascii="宋体" w:hAnsi="宋体" w:cs="宋体"/>
          <w:color w:val="auto"/>
          <w:spacing w:val="-58"/>
          <w:position w:val="1"/>
          <w:sz w:val="24"/>
        </w:rPr>
        <w:t>）：</w:t>
      </w:r>
      <w:r>
        <w:rPr>
          <w:rFonts w:ascii="宋体" w:hAnsi="宋体" w:cs="宋体"/>
          <w:color w:val="auto"/>
          <w:spacing w:val="-13"/>
          <w:position w:val="1"/>
          <w:sz w:val="24"/>
        </w:rPr>
        <w:t>Δ</w:t>
      </w:r>
      <w:r>
        <w:rPr>
          <w:rFonts w:eastAsia="Times New Roman"/>
          <w:i/>
          <w:iCs/>
          <w:color w:val="auto"/>
          <w:spacing w:val="-13"/>
          <w:position w:val="1"/>
          <w:sz w:val="24"/>
        </w:rPr>
        <w:t>C</w:t>
      </w:r>
      <w:r>
        <w:rPr>
          <w:rFonts w:eastAsia="Times New Roman"/>
          <w:color w:val="auto"/>
          <w:spacing w:val="-13"/>
          <w:sz w:val="15"/>
          <w:szCs w:val="15"/>
        </w:rPr>
        <w:t>t</w:t>
      </w:r>
      <w:r>
        <w:rPr>
          <w:rFonts w:eastAsia="Times New Roman"/>
          <w:color w:val="auto"/>
          <w:spacing w:val="-13"/>
          <w:position w:val="1"/>
          <w:sz w:val="24"/>
        </w:rPr>
        <w:t>=</w:t>
      </w:r>
      <w:r>
        <w:rPr>
          <w:rFonts w:ascii="宋体" w:hAnsi="宋体" w:cs="宋体"/>
          <w:color w:val="auto"/>
          <w:spacing w:val="-13"/>
          <w:position w:val="1"/>
          <w:sz w:val="24"/>
        </w:rPr>
        <w:t>(Δ</w:t>
      </w:r>
      <w:r>
        <w:rPr>
          <w:rFonts w:eastAsia="Times New Roman"/>
          <w:i/>
          <w:iCs/>
          <w:color w:val="auto"/>
          <w:spacing w:val="-13"/>
          <w:position w:val="1"/>
          <w:sz w:val="24"/>
        </w:rPr>
        <w:t>C</w:t>
      </w:r>
      <w:r>
        <w:rPr>
          <w:rFonts w:eastAsia="Times New Roman"/>
          <w:color w:val="auto"/>
          <w:spacing w:val="-13"/>
          <w:position w:val="1"/>
          <w:sz w:val="24"/>
        </w:rPr>
        <w:t>-</w:t>
      </w:r>
      <w:r>
        <w:rPr>
          <w:rFonts w:eastAsia="Times New Roman"/>
          <w:i/>
          <w:iCs/>
          <w:color w:val="auto"/>
          <w:spacing w:val="-13"/>
          <w:position w:val="1"/>
          <w:sz w:val="24"/>
        </w:rPr>
        <w:t>C</w:t>
      </w:r>
      <w:r>
        <w:rPr>
          <w:rFonts w:eastAsia="Times New Roman"/>
          <w:color w:val="auto"/>
          <w:spacing w:val="-3"/>
          <w:sz w:val="15"/>
          <w:szCs w:val="15"/>
        </w:rPr>
        <w:t>o</w:t>
      </w:r>
      <w:r>
        <w:rPr>
          <w:rFonts w:ascii="宋体" w:hAnsi="宋体" w:cs="宋体"/>
          <w:color w:val="auto"/>
          <w:spacing w:val="-4"/>
          <w:position w:val="1"/>
          <w:sz w:val="24"/>
        </w:rPr>
        <w:t>×</w:t>
      </w:r>
      <w:r>
        <w:rPr>
          <w:rFonts w:eastAsia="Times New Roman"/>
          <w:i/>
          <w:iCs/>
          <w:color w:val="auto"/>
          <w:spacing w:val="-4"/>
          <w:position w:val="1"/>
          <w:sz w:val="24"/>
        </w:rPr>
        <w:t>r</w:t>
      </w:r>
      <w:r>
        <w:rPr>
          <w:rFonts w:ascii="宋体" w:hAnsi="宋体" w:cs="宋体"/>
          <w:color w:val="auto"/>
          <w:spacing w:val="-4"/>
          <w:position w:val="1"/>
          <w:sz w:val="24"/>
        </w:rPr>
        <w:t>%)×</w:t>
      </w:r>
      <w:r>
        <w:rPr>
          <w:rFonts w:eastAsia="Times New Roman"/>
          <w:i/>
          <w:iCs/>
          <w:color w:val="auto"/>
          <w:spacing w:val="-4"/>
          <w:position w:val="1"/>
          <w:sz w:val="24"/>
        </w:rPr>
        <w:t>V</w:t>
      </w:r>
      <w:r>
        <w:rPr>
          <w:rFonts w:ascii="宋体" w:hAnsi="宋体" w:cs="宋体"/>
          <w:color w:val="auto"/>
          <w:spacing w:val="-4"/>
          <w:position w:val="1"/>
          <w:sz w:val="24"/>
        </w:rPr>
        <w:t>，其中Δ</w:t>
      </w:r>
      <w:r>
        <w:rPr>
          <w:rFonts w:eastAsia="Times New Roman"/>
          <w:i/>
          <w:iCs/>
          <w:color w:val="auto"/>
          <w:spacing w:val="-4"/>
          <w:position w:val="1"/>
          <w:sz w:val="24"/>
        </w:rPr>
        <w:t>C</w:t>
      </w:r>
      <w:r>
        <w:rPr>
          <w:rFonts w:ascii="宋体" w:hAnsi="宋体" w:cs="宋体"/>
          <w:color w:val="auto"/>
          <w:spacing w:val="-4"/>
          <w:position w:val="1"/>
          <w:sz w:val="24"/>
        </w:rPr>
        <w:t>＝</w:t>
      </w:r>
      <w:r>
        <w:rPr>
          <w:rFonts w:eastAsia="Times New Roman"/>
          <w:i/>
          <w:iCs/>
          <w:color w:val="auto"/>
          <w:spacing w:val="-4"/>
          <w:position w:val="1"/>
          <w:sz w:val="24"/>
        </w:rPr>
        <w:t>C</w:t>
      </w:r>
      <w:r>
        <w:rPr>
          <w:rFonts w:eastAsia="Times New Roman"/>
          <w:color w:val="auto"/>
          <w:spacing w:val="-4"/>
          <w:sz w:val="15"/>
          <w:szCs w:val="15"/>
        </w:rPr>
        <w:t>i</w:t>
      </w:r>
      <w:r>
        <w:rPr>
          <w:rFonts w:ascii="宋体" w:hAnsi="宋体" w:cs="宋体"/>
          <w:color w:val="auto"/>
          <w:spacing w:val="-4"/>
          <w:position w:val="1"/>
          <w:sz w:val="24"/>
        </w:rPr>
        <w:t>－</w:t>
      </w:r>
      <w:r>
        <w:rPr>
          <w:rFonts w:eastAsia="Times New Roman"/>
          <w:i/>
          <w:iCs/>
          <w:color w:val="auto"/>
          <w:spacing w:val="-4"/>
          <w:position w:val="1"/>
          <w:sz w:val="24"/>
        </w:rPr>
        <w:t>C</w:t>
      </w:r>
      <w:r>
        <w:rPr>
          <w:rFonts w:eastAsia="Times New Roman"/>
          <w:color w:val="auto"/>
          <w:spacing w:val="-4"/>
          <w:sz w:val="15"/>
          <w:szCs w:val="15"/>
        </w:rPr>
        <w:t>o</w:t>
      </w:r>
      <w:r>
        <w:rPr>
          <w:rFonts w:ascii="宋体" w:hAnsi="宋体" w:cs="宋体"/>
          <w:color w:val="auto"/>
          <w:spacing w:val="-4"/>
          <w:position w:val="1"/>
          <w:sz w:val="24"/>
        </w:rPr>
        <w:t>。</w:t>
      </w:r>
    </w:p>
    <w:p w14:paraId="4DF2DCCB">
      <w:pPr>
        <w:spacing w:before="122" w:line="308" w:lineRule="auto"/>
        <w:ind w:firstLine="480"/>
        <w:rPr>
          <w:rFonts w:ascii="宋体" w:hAnsi="宋体" w:cs="宋体"/>
          <w:color w:val="auto"/>
          <w:sz w:val="24"/>
        </w:rPr>
      </w:pPr>
      <w:r>
        <w:rPr>
          <w:rFonts w:ascii="宋体" w:hAnsi="宋体" w:cs="宋体"/>
          <w:color w:val="auto"/>
          <w:spacing w:val="4"/>
          <w:sz w:val="24"/>
        </w:rPr>
        <w:t>基准价（</w:t>
      </w:r>
      <w:r>
        <w:rPr>
          <w:rFonts w:eastAsia="Times New Roman"/>
          <w:i/>
          <w:iCs/>
          <w:color w:val="auto"/>
          <w:sz w:val="24"/>
        </w:rPr>
        <w:t>C</w:t>
      </w:r>
      <w:r>
        <w:rPr>
          <w:rFonts w:eastAsia="Times New Roman"/>
          <w:color w:val="auto"/>
          <w:position w:val="-1"/>
          <w:sz w:val="15"/>
          <w:szCs w:val="15"/>
        </w:rPr>
        <w:t>o</w:t>
      </w:r>
      <w:r>
        <w:rPr>
          <w:rFonts w:ascii="宋体" w:hAnsi="宋体" w:cs="宋体"/>
          <w:color w:val="auto"/>
          <w:spacing w:val="-47"/>
          <w:sz w:val="24"/>
        </w:rPr>
        <w:t>）：</w:t>
      </w:r>
      <w:r>
        <w:rPr>
          <w:rFonts w:ascii="宋体" w:hAnsi="宋体" w:cs="宋体"/>
          <w:color w:val="auto"/>
          <w:spacing w:val="4"/>
          <w:sz w:val="24"/>
        </w:rPr>
        <w:t>指基准日期当期的由专用合同条款指定机构发布的养护项目所</w:t>
      </w:r>
      <w:r>
        <w:rPr>
          <w:rFonts w:ascii="宋体" w:hAnsi="宋体" w:cs="宋体"/>
          <w:color w:val="auto"/>
          <w:spacing w:val="-1"/>
          <w:sz w:val="24"/>
        </w:rPr>
        <w:t>在地的材料信息价。</w:t>
      </w:r>
    </w:p>
    <w:p w14:paraId="4F154E48">
      <w:pPr>
        <w:spacing w:before="1" w:line="307" w:lineRule="auto"/>
        <w:ind w:right="2" w:firstLine="480"/>
        <w:rPr>
          <w:rFonts w:ascii="宋体" w:hAnsi="宋体" w:cs="宋体"/>
          <w:color w:val="auto"/>
          <w:sz w:val="24"/>
        </w:rPr>
      </w:pPr>
      <w:r>
        <w:rPr>
          <w:rFonts w:ascii="宋体" w:hAnsi="宋体" w:cs="宋体"/>
          <w:color w:val="auto"/>
          <w:spacing w:val="5"/>
          <w:sz w:val="24"/>
        </w:rPr>
        <w:t>信息价（</w:t>
      </w:r>
      <w:r>
        <w:rPr>
          <w:rFonts w:eastAsia="Times New Roman"/>
          <w:i/>
          <w:iCs/>
          <w:color w:val="auto"/>
          <w:sz w:val="24"/>
        </w:rPr>
        <w:t>C</w:t>
      </w:r>
      <w:r>
        <w:rPr>
          <w:rFonts w:eastAsia="Times New Roman"/>
          <w:color w:val="auto"/>
          <w:position w:val="-1"/>
          <w:sz w:val="15"/>
          <w:szCs w:val="15"/>
        </w:rPr>
        <w:t>i</w:t>
      </w:r>
      <w:r>
        <w:rPr>
          <w:rFonts w:ascii="宋体" w:hAnsi="宋体" w:cs="宋体"/>
          <w:color w:val="auto"/>
          <w:spacing w:val="-46"/>
          <w:sz w:val="24"/>
        </w:rPr>
        <w:t>）：</w:t>
      </w:r>
      <w:r>
        <w:rPr>
          <w:rFonts w:ascii="宋体" w:hAnsi="宋体" w:cs="宋体"/>
          <w:color w:val="auto"/>
          <w:spacing w:val="5"/>
          <w:sz w:val="24"/>
        </w:rPr>
        <w:t>指计量时当期的由专用合同条款指定机构发布的养护项</w:t>
      </w:r>
      <w:r>
        <w:rPr>
          <w:rFonts w:ascii="宋体" w:hAnsi="宋体" w:cs="宋体"/>
          <w:color w:val="auto"/>
          <w:spacing w:val="4"/>
          <w:sz w:val="24"/>
        </w:rPr>
        <w:t>目所在</w:t>
      </w:r>
      <w:r>
        <w:rPr>
          <w:rFonts w:ascii="宋体" w:hAnsi="宋体" w:cs="宋体"/>
          <w:color w:val="auto"/>
          <w:spacing w:val="-2"/>
          <w:sz w:val="24"/>
        </w:rPr>
        <w:t>地的材料信息价。</w:t>
      </w:r>
    </w:p>
    <w:p w14:paraId="007AADF7">
      <w:pPr>
        <w:spacing w:before="3" w:line="307" w:lineRule="auto"/>
        <w:ind w:firstLine="481"/>
        <w:rPr>
          <w:rFonts w:ascii="宋体" w:hAnsi="宋体" w:cs="宋体"/>
          <w:color w:val="auto"/>
          <w:sz w:val="24"/>
        </w:rPr>
      </w:pPr>
      <w:r>
        <w:rPr>
          <w:rFonts w:ascii="宋体" w:hAnsi="宋体" w:cs="宋体"/>
          <w:color w:val="auto"/>
          <w:sz w:val="24"/>
        </w:rPr>
        <w:t>数量（</w:t>
      </w:r>
      <w:r>
        <w:rPr>
          <w:rFonts w:eastAsia="Times New Roman"/>
          <w:i/>
          <w:iCs/>
          <w:color w:val="auto"/>
          <w:sz w:val="24"/>
        </w:rPr>
        <w:t>V</w:t>
      </w:r>
      <w:r>
        <w:rPr>
          <w:rFonts w:ascii="宋体" w:hAnsi="宋体" w:cs="宋体"/>
          <w:color w:val="auto"/>
          <w:spacing w:val="-63"/>
          <w:sz w:val="24"/>
        </w:rPr>
        <w:t>）：</w:t>
      </w:r>
      <w:r>
        <w:rPr>
          <w:rFonts w:ascii="宋体" w:hAnsi="宋体" w:cs="宋体"/>
          <w:color w:val="auto"/>
          <w:sz w:val="24"/>
        </w:rPr>
        <w:t>按照专用合同条款约定，指承包人在本计量周期内已完成采购的数</w:t>
      </w:r>
      <w:r>
        <w:rPr>
          <w:rFonts w:ascii="宋体" w:hAnsi="宋体" w:cs="宋体"/>
          <w:color w:val="auto"/>
          <w:spacing w:val="1"/>
          <w:sz w:val="24"/>
        </w:rPr>
        <w:t>量，或指以承包人在本计量周期内已完成计量支付的实体</w:t>
      </w:r>
      <w:r>
        <w:rPr>
          <w:rFonts w:ascii="宋体" w:hAnsi="宋体" w:cs="宋体"/>
          <w:color w:val="auto"/>
          <w:sz w:val="24"/>
        </w:rPr>
        <w:t>工程量为基础，按照专用</w:t>
      </w:r>
      <w:r>
        <w:rPr>
          <w:rFonts w:ascii="宋体" w:hAnsi="宋体" w:cs="宋体"/>
          <w:color w:val="auto"/>
          <w:spacing w:val="-1"/>
          <w:sz w:val="24"/>
        </w:rPr>
        <w:t>合同条款约定的单位用量的标准计算得出调价数量。</w:t>
      </w:r>
    </w:p>
    <w:p w14:paraId="4B915FC4">
      <w:pPr>
        <w:spacing w:before="1" w:line="307" w:lineRule="auto"/>
        <w:ind w:left="20" w:right="2" w:firstLine="461"/>
        <w:rPr>
          <w:rFonts w:ascii="宋体" w:hAnsi="宋体" w:cs="宋体"/>
          <w:color w:val="auto"/>
          <w:sz w:val="24"/>
        </w:rPr>
      </w:pPr>
      <w:r>
        <w:rPr>
          <w:rFonts w:ascii="宋体" w:hAnsi="宋体" w:cs="宋体"/>
          <w:color w:val="auto"/>
          <w:sz w:val="24"/>
        </w:rPr>
        <w:t>风险幅度系数（</w:t>
      </w:r>
      <w:r>
        <w:rPr>
          <w:rFonts w:eastAsia="Times New Roman"/>
          <w:i/>
          <w:iCs/>
          <w:color w:val="auto"/>
          <w:sz w:val="24"/>
        </w:rPr>
        <w:t>r</w:t>
      </w:r>
      <w:r>
        <w:rPr>
          <w:rFonts w:ascii="宋体" w:hAnsi="宋体" w:cs="宋体"/>
          <w:color w:val="auto"/>
          <w:spacing w:val="-35"/>
          <w:sz w:val="24"/>
        </w:rPr>
        <w:t>％）：</w:t>
      </w:r>
      <w:r>
        <w:rPr>
          <w:rFonts w:ascii="宋体" w:hAnsi="宋体" w:cs="宋体"/>
          <w:color w:val="auto"/>
          <w:sz w:val="24"/>
        </w:rPr>
        <w:t>基准价（</w:t>
      </w:r>
      <w:r>
        <w:rPr>
          <w:rFonts w:eastAsia="Times New Roman"/>
          <w:i/>
          <w:iCs/>
          <w:color w:val="auto"/>
          <w:sz w:val="24"/>
        </w:rPr>
        <w:t>C</w:t>
      </w:r>
      <w:r>
        <w:rPr>
          <w:rFonts w:eastAsia="Times New Roman"/>
          <w:color w:val="auto"/>
          <w:position w:val="-1"/>
          <w:sz w:val="15"/>
          <w:szCs w:val="15"/>
        </w:rPr>
        <w:t xml:space="preserve">o </w:t>
      </w:r>
      <w:r>
        <w:rPr>
          <w:rFonts w:ascii="宋体" w:hAnsi="宋体" w:cs="宋体"/>
          <w:color w:val="auto"/>
          <w:sz w:val="24"/>
        </w:rPr>
        <w:t>）一定幅度内价差作为合同当事人共同承担</w:t>
      </w:r>
      <w:r>
        <w:rPr>
          <w:rFonts w:ascii="宋体" w:hAnsi="宋体" w:cs="宋体"/>
          <w:color w:val="auto"/>
          <w:spacing w:val="-1"/>
          <w:sz w:val="24"/>
        </w:rPr>
        <w:t>的风险，不予调差且不列入结算。风险幅度系数在专用合同条款中约定。</w:t>
      </w:r>
    </w:p>
    <w:p w14:paraId="107EC1A2">
      <w:pPr>
        <w:spacing w:before="1" w:line="308" w:lineRule="auto"/>
        <w:ind w:right="2" w:firstLine="498"/>
        <w:rPr>
          <w:rFonts w:ascii="宋体" w:hAnsi="宋体" w:cs="宋体"/>
          <w:color w:val="auto"/>
          <w:sz w:val="24"/>
        </w:rPr>
      </w:pPr>
      <w:r>
        <w:rPr>
          <w:rFonts w:eastAsia="Times New Roman"/>
          <w:color w:val="auto"/>
          <w:spacing w:val="1"/>
          <w:sz w:val="24"/>
        </w:rPr>
        <w:t>16.1.1.2</w:t>
      </w:r>
      <w:r>
        <w:rPr>
          <w:rFonts w:ascii="宋体" w:hAnsi="宋体" w:cs="宋体"/>
          <w:color w:val="auto"/>
          <w:spacing w:val="1"/>
          <w:sz w:val="24"/>
        </w:rPr>
        <w:t>由于上述合同价格调整所产生的增</w:t>
      </w:r>
      <w:r>
        <w:rPr>
          <w:rFonts w:ascii="宋体" w:hAnsi="宋体" w:cs="宋体"/>
          <w:color w:val="auto"/>
          <w:sz w:val="24"/>
        </w:rPr>
        <w:t>值税和其他税费的增减额由发包人</w:t>
      </w:r>
      <w:r>
        <w:rPr>
          <w:rFonts w:ascii="宋体" w:hAnsi="宋体" w:cs="宋体"/>
          <w:color w:val="auto"/>
          <w:spacing w:val="-4"/>
          <w:sz w:val="24"/>
        </w:rPr>
        <w:t>承担。</w:t>
      </w:r>
    </w:p>
    <w:p w14:paraId="19B85696">
      <w:pPr>
        <w:spacing w:before="1" w:line="217" w:lineRule="auto"/>
        <w:ind w:left="499"/>
        <w:rPr>
          <w:rFonts w:ascii="宋体" w:hAnsi="宋体" w:cs="宋体"/>
          <w:color w:val="auto"/>
          <w:sz w:val="24"/>
        </w:rPr>
      </w:pPr>
      <w:r>
        <w:rPr>
          <w:rFonts w:eastAsia="Times New Roman"/>
          <w:color w:val="auto"/>
          <w:spacing w:val="-2"/>
          <w:sz w:val="24"/>
        </w:rPr>
        <w:t xml:space="preserve">16.1.2  </w:t>
      </w:r>
      <w:r>
        <w:rPr>
          <w:rFonts w:ascii="宋体" w:hAnsi="宋体" w:cs="宋体"/>
          <w:color w:val="auto"/>
          <w:spacing w:val="-2"/>
          <w:sz w:val="24"/>
        </w:rPr>
        <w:t>采用其他方式调整价格差额</w:t>
      </w:r>
    </w:p>
    <w:p w14:paraId="18AC6D8C">
      <w:pPr>
        <w:spacing w:before="280" w:line="218" w:lineRule="auto"/>
        <w:ind w:left="480"/>
        <w:rPr>
          <w:rFonts w:ascii="宋体" w:hAnsi="宋体" w:cs="宋体"/>
          <w:color w:val="auto"/>
          <w:sz w:val="24"/>
        </w:rPr>
      </w:pPr>
      <w:bookmarkStart w:id="157" w:name="bookmark221"/>
      <w:bookmarkEnd w:id="157"/>
      <w:r>
        <w:rPr>
          <w:rFonts w:ascii="宋体" w:hAnsi="宋体" w:cs="宋体"/>
          <w:color w:val="auto"/>
          <w:spacing w:val="-1"/>
          <w:sz w:val="24"/>
        </w:rPr>
        <w:t>采用其他方式进行价格调整的，按专用合同条款的约定执行。</w:t>
      </w:r>
    </w:p>
    <w:p w14:paraId="4A516318">
      <w:pPr>
        <w:spacing w:before="117" w:line="218" w:lineRule="auto"/>
        <w:ind w:left="499"/>
        <w:rPr>
          <w:rFonts w:ascii="宋体" w:hAnsi="宋体" w:cs="宋体"/>
          <w:color w:val="auto"/>
          <w:sz w:val="24"/>
        </w:rPr>
      </w:pPr>
      <w:r>
        <w:rPr>
          <w:rFonts w:eastAsia="Times New Roman"/>
          <w:color w:val="auto"/>
          <w:spacing w:val="-2"/>
          <w:sz w:val="24"/>
        </w:rPr>
        <w:t xml:space="preserve">16.1.3  </w:t>
      </w:r>
      <w:r>
        <w:rPr>
          <w:rFonts w:ascii="宋体" w:hAnsi="宋体" w:cs="宋体"/>
          <w:color w:val="auto"/>
          <w:spacing w:val="-2"/>
          <w:sz w:val="24"/>
        </w:rPr>
        <w:t>不调整价格差额</w:t>
      </w:r>
    </w:p>
    <w:p w14:paraId="4272AF93">
      <w:pPr>
        <w:spacing w:before="114" w:line="305" w:lineRule="auto"/>
        <w:ind w:left="18" w:right="46" w:firstLine="461"/>
        <w:rPr>
          <w:rFonts w:ascii="宋体" w:hAnsi="宋体" w:cs="宋体"/>
          <w:color w:val="auto"/>
          <w:sz w:val="24"/>
        </w:rPr>
      </w:pPr>
      <w:r>
        <w:rPr>
          <w:rFonts w:ascii="宋体" w:hAnsi="宋体" w:cs="宋体"/>
          <w:color w:val="auto"/>
          <w:spacing w:val="3"/>
          <w:sz w:val="24"/>
        </w:rPr>
        <w:t>在合同履行期间（包括工期拖延期间</w:t>
      </w:r>
      <w:r>
        <w:rPr>
          <w:rFonts w:ascii="宋体" w:hAnsi="宋体" w:cs="宋体"/>
          <w:color w:val="auto"/>
          <w:spacing w:val="-35"/>
          <w:sz w:val="24"/>
        </w:rPr>
        <w:t>），</w:t>
      </w:r>
      <w:r>
        <w:rPr>
          <w:rFonts w:ascii="宋体" w:hAnsi="宋体" w:cs="宋体"/>
          <w:color w:val="auto"/>
          <w:spacing w:val="3"/>
          <w:sz w:val="24"/>
        </w:rPr>
        <w:t>由于人工、材料和设备价格的</w:t>
      </w:r>
      <w:r>
        <w:rPr>
          <w:rFonts w:ascii="宋体" w:hAnsi="宋体" w:cs="宋体"/>
          <w:color w:val="auto"/>
          <w:spacing w:val="2"/>
          <w:sz w:val="24"/>
        </w:rPr>
        <w:t>上涨而</w:t>
      </w:r>
      <w:r>
        <w:rPr>
          <w:rFonts w:ascii="宋体" w:hAnsi="宋体" w:cs="宋体"/>
          <w:color w:val="auto"/>
          <w:spacing w:val="-1"/>
          <w:sz w:val="24"/>
        </w:rPr>
        <w:t>引起养护成本增加的风险由承包人自行承担，合同价格不会因此而调整。</w:t>
      </w:r>
    </w:p>
    <w:p w14:paraId="53775664">
      <w:pPr>
        <w:spacing w:before="1" w:line="217" w:lineRule="auto"/>
        <w:ind w:left="487"/>
        <w:outlineLvl w:val="3"/>
        <w:rPr>
          <w:rFonts w:ascii="宋体" w:hAnsi="宋体" w:cs="宋体"/>
          <w:color w:val="auto"/>
          <w:sz w:val="24"/>
        </w:rPr>
      </w:pPr>
      <w:r>
        <w:rPr>
          <w:rFonts w:eastAsia="Times New Roman"/>
          <w:b/>
          <w:bCs/>
          <w:color w:val="auto"/>
          <w:spacing w:val="-2"/>
          <w:sz w:val="24"/>
        </w:rPr>
        <w:t xml:space="preserve">16.2  </w:t>
      </w:r>
      <w:r>
        <w:rPr>
          <w:rFonts w:ascii="宋体" w:hAnsi="宋体" w:cs="宋体"/>
          <w:b/>
          <w:bCs/>
          <w:color w:val="auto"/>
          <w:spacing w:val="-2"/>
          <w:sz w:val="24"/>
        </w:rPr>
        <w:t>法律、标准变化引起的价格调整</w:t>
      </w:r>
    </w:p>
    <w:p w14:paraId="010A8FB1">
      <w:pPr>
        <w:spacing w:before="123" w:line="308" w:lineRule="auto"/>
        <w:ind w:left="4" w:right="46" w:firstLine="475"/>
        <w:rPr>
          <w:rFonts w:ascii="宋体" w:hAnsi="宋体" w:cs="宋体"/>
          <w:color w:val="auto"/>
          <w:sz w:val="24"/>
        </w:rPr>
      </w:pPr>
      <w:r>
        <w:rPr>
          <w:rFonts w:ascii="宋体" w:hAnsi="宋体" w:cs="宋体"/>
          <w:color w:val="auto"/>
          <w:spacing w:val="1"/>
          <w:sz w:val="24"/>
        </w:rPr>
        <w:t>在基准日期后，因法律变化及</w:t>
      </w:r>
      <w:r>
        <w:rPr>
          <w:rFonts w:eastAsia="Times New Roman"/>
          <w:color w:val="auto"/>
          <w:spacing w:val="1"/>
          <w:sz w:val="24"/>
        </w:rPr>
        <w:t xml:space="preserve">1.4 </w:t>
      </w:r>
      <w:r>
        <w:rPr>
          <w:rFonts w:ascii="宋体" w:hAnsi="宋体" w:cs="宋体"/>
          <w:color w:val="auto"/>
          <w:spacing w:val="1"/>
          <w:sz w:val="24"/>
        </w:rPr>
        <w:t>款所指标准变化导致承包人在合同履行中所</w:t>
      </w:r>
      <w:r>
        <w:rPr>
          <w:rFonts w:ascii="宋体" w:hAnsi="宋体" w:cs="宋体"/>
          <w:color w:val="auto"/>
          <w:spacing w:val="4"/>
          <w:sz w:val="24"/>
        </w:rPr>
        <w:t>需要的养护费用发生除第</w:t>
      </w:r>
      <w:r>
        <w:rPr>
          <w:rFonts w:eastAsia="Times New Roman"/>
          <w:color w:val="auto"/>
          <w:spacing w:val="4"/>
          <w:sz w:val="24"/>
        </w:rPr>
        <w:t xml:space="preserve">16.1 </w:t>
      </w:r>
      <w:r>
        <w:rPr>
          <w:rFonts w:ascii="宋体" w:hAnsi="宋体" w:cs="宋体"/>
          <w:color w:val="auto"/>
          <w:spacing w:val="4"/>
          <w:sz w:val="24"/>
        </w:rPr>
        <w:t>款约定以外的增减时，咨询人应根据法律、国家或</w:t>
      </w:r>
      <w:r>
        <w:rPr>
          <w:rFonts w:ascii="宋体" w:hAnsi="宋体" w:cs="宋体"/>
          <w:color w:val="auto"/>
          <w:spacing w:val="-2"/>
          <w:sz w:val="24"/>
        </w:rPr>
        <w:t>省、自治区、直辖市有关部门的规定，按第</w:t>
      </w:r>
      <w:r>
        <w:rPr>
          <w:rFonts w:eastAsia="Times New Roman"/>
          <w:color w:val="auto"/>
          <w:spacing w:val="-2"/>
          <w:sz w:val="24"/>
        </w:rPr>
        <w:t xml:space="preserve">3.5 </w:t>
      </w:r>
      <w:r>
        <w:rPr>
          <w:rFonts w:ascii="宋体" w:hAnsi="宋体" w:cs="宋体"/>
          <w:color w:val="auto"/>
          <w:spacing w:val="-2"/>
          <w:sz w:val="24"/>
        </w:rPr>
        <w:t>款商定或确定需调整的合同价款。</w:t>
      </w:r>
    </w:p>
    <w:p w14:paraId="363DC3DE">
      <w:pPr>
        <w:spacing w:before="1" w:line="310" w:lineRule="auto"/>
        <w:ind w:right="44" w:firstLine="498"/>
        <w:rPr>
          <w:rFonts w:ascii="宋体" w:hAnsi="宋体" w:cs="宋体"/>
          <w:color w:val="auto"/>
          <w:sz w:val="24"/>
        </w:rPr>
      </w:pPr>
      <w:r>
        <w:rPr>
          <w:rFonts w:ascii="宋体" w:hAnsi="宋体" w:cs="宋体"/>
          <w:color w:val="auto"/>
          <w:sz w:val="24"/>
        </w:rPr>
        <w:t>因承包人原因造成工期延误，在工期延误期间出现法律、标准变化的，由此增</w:t>
      </w:r>
      <w:r>
        <w:rPr>
          <w:rFonts w:ascii="宋体" w:hAnsi="宋体" w:cs="宋体"/>
          <w:color w:val="auto"/>
          <w:spacing w:val="-1"/>
          <w:sz w:val="24"/>
        </w:rPr>
        <w:t>加的费用和（或）工期延误由承包人承担。</w:t>
      </w:r>
    </w:p>
    <w:p w14:paraId="4CB51A93">
      <w:pPr>
        <w:spacing w:before="304" w:line="219" w:lineRule="auto"/>
        <w:ind w:left="487"/>
        <w:outlineLvl w:val="2"/>
        <w:rPr>
          <w:rFonts w:ascii="宋体" w:hAnsi="宋体" w:cs="宋体"/>
          <w:color w:val="auto"/>
          <w:sz w:val="24"/>
        </w:rPr>
      </w:pPr>
      <w:bookmarkStart w:id="158" w:name="bookmark39"/>
      <w:bookmarkEnd w:id="158"/>
      <w:bookmarkStart w:id="159" w:name="bookmark40"/>
      <w:bookmarkEnd w:id="159"/>
      <w:r>
        <w:rPr>
          <w:rFonts w:eastAsia="Times New Roman"/>
          <w:b/>
          <w:bCs/>
          <w:color w:val="auto"/>
          <w:spacing w:val="-3"/>
          <w:sz w:val="24"/>
        </w:rPr>
        <w:t xml:space="preserve">17.  </w:t>
      </w:r>
      <w:r>
        <w:rPr>
          <w:rFonts w:ascii="宋体" w:hAnsi="宋体" w:cs="宋体"/>
          <w:b/>
          <w:bCs/>
          <w:color w:val="auto"/>
          <w:spacing w:val="-3"/>
          <w:sz w:val="24"/>
        </w:rPr>
        <w:t>计量与支付</w:t>
      </w:r>
    </w:p>
    <w:p w14:paraId="6F6ACBEE">
      <w:pPr>
        <w:spacing w:before="260" w:line="221" w:lineRule="auto"/>
        <w:ind w:left="487"/>
        <w:outlineLvl w:val="3"/>
        <w:rPr>
          <w:rFonts w:ascii="宋体" w:hAnsi="宋体" w:cs="宋体"/>
          <w:color w:val="auto"/>
          <w:sz w:val="24"/>
        </w:rPr>
      </w:pPr>
      <w:r>
        <w:rPr>
          <w:rFonts w:eastAsia="Times New Roman"/>
          <w:b/>
          <w:bCs/>
          <w:color w:val="auto"/>
          <w:spacing w:val="-6"/>
          <w:sz w:val="24"/>
        </w:rPr>
        <w:t>17.1</w:t>
      </w:r>
      <w:r>
        <w:rPr>
          <w:rFonts w:ascii="宋体" w:hAnsi="宋体" w:cs="宋体"/>
          <w:b/>
          <w:bCs/>
          <w:color w:val="auto"/>
          <w:spacing w:val="-6"/>
          <w:sz w:val="24"/>
        </w:rPr>
        <w:t>计量</w:t>
      </w:r>
    </w:p>
    <w:p w14:paraId="46ECA21F">
      <w:pPr>
        <w:spacing w:before="123" w:line="220" w:lineRule="auto"/>
        <w:ind w:left="499"/>
        <w:rPr>
          <w:rFonts w:ascii="宋体" w:hAnsi="宋体" w:cs="宋体"/>
          <w:color w:val="auto"/>
          <w:sz w:val="24"/>
        </w:rPr>
      </w:pPr>
      <w:r>
        <w:rPr>
          <w:rFonts w:eastAsia="Times New Roman"/>
          <w:color w:val="auto"/>
          <w:spacing w:val="-3"/>
          <w:sz w:val="24"/>
        </w:rPr>
        <w:t xml:space="preserve">17.1.1  </w:t>
      </w:r>
      <w:r>
        <w:rPr>
          <w:rFonts w:ascii="宋体" w:hAnsi="宋体" w:cs="宋体"/>
          <w:color w:val="auto"/>
          <w:spacing w:val="-3"/>
          <w:sz w:val="24"/>
        </w:rPr>
        <w:t>计量单位</w:t>
      </w:r>
    </w:p>
    <w:p w14:paraId="3190AED0">
      <w:pPr>
        <w:spacing w:before="114" w:line="219" w:lineRule="auto"/>
        <w:ind w:left="480"/>
        <w:rPr>
          <w:rFonts w:ascii="宋体" w:hAnsi="宋体" w:cs="宋体"/>
          <w:color w:val="auto"/>
          <w:sz w:val="24"/>
        </w:rPr>
      </w:pPr>
      <w:r>
        <w:rPr>
          <w:rFonts w:ascii="宋体" w:hAnsi="宋体" w:cs="宋体"/>
          <w:color w:val="auto"/>
          <w:spacing w:val="-1"/>
          <w:sz w:val="24"/>
        </w:rPr>
        <w:t>计量采用国家法定的计量单位。</w:t>
      </w:r>
    </w:p>
    <w:p w14:paraId="15D9D8E5">
      <w:pPr>
        <w:spacing w:before="117" w:line="221" w:lineRule="auto"/>
        <w:ind w:left="499"/>
        <w:rPr>
          <w:rFonts w:ascii="宋体" w:hAnsi="宋体" w:cs="宋体"/>
          <w:color w:val="auto"/>
          <w:sz w:val="24"/>
        </w:rPr>
      </w:pPr>
      <w:r>
        <w:rPr>
          <w:rFonts w:eastAsia="Times New Roman"/>
          <w:color w:val="auto"/>
          <w:spacing w:val="-3"/>
          <w:sz w:val="24"/>
        </w:rPr>
        <w:t xml:space="preserve">17.1.2  </w:t>
      </w:r>
      <w:r>
        <w:rPr>
          <w:rFonts w:ascii="宋体" w:hAnsi="宋体" w:cs="宋体"/>
          <w:color w:val="auto"/>
          <w:spacing w:val="-3"/>
          <w:sz w:val="24"/>
        </w:rPr>
        <w:t>计量方法</w:t>
      </w:r>
    </w:p>
    <w:p w14:paraId="449783F3">
      <w:pPr>
        <w:spacing w:before="112" w:line="308" w:lineRule="auto"/>
        <w:ind w:left="23" w:right="44" w:firstLine="471"/>
        <w:rPr>
          <w:rFonts w:ascii="宋体" w:hAnsi="宋体" w:cs="宋体"/>
          <w:color w:val="auto"/>
          <w:sz w:val="24"/>
        </w:rPr>
      </w:pPr>
      <w:r>
        <w:rPr>
          <w:rFonts w:ascii="宋体" w:hAnsi="宋体" w:cs="宋体"/>
          <w:color w:val="auto"/>
          <w:sz w:val="24"/>
        </w:rPr>
        <w:t>除专用合同条款另有约定外，工程量的计算应以合同文件工程量清单计量规则</w:t>
      </w:r>
      <w:r>
        <w:rPr>
          <w:rFonts w:ascii="宋体" w:hAnsi="宋体" w:cs="宋体"/>
          <w:color w:val="auto"/>
          <w:spacing w:val="-3"/>
          <w:sz w:val="24"/>
        </w:rPr>
        <w:t>中约定的工程量计量方法为准。</w:t>
      </w:r>
    </w:p>
    <w:p w14:paraId="511DDE33">
      <w:pPr>
        <w:spacing w:line="220" w:lineRule="auto"/>
        <w:ind w:left="499"/>
        <w:rPr>
          <w:rFonts w:ascii="宋体" w:hAnsi="宋体" w:cs="宋体"/>
          <w:color w:val="auto"/>
          <w:sz w:val="24"/>
        </w:rPr>
      </w:pPr>
      <w:r>
        <w:rPr>
          <w:rFonts w:eastAsia="Times New Roman"/>
          <w:color w:val="auto"/>
          <w:spacing w:val="-3"/>
          <w:sz w:val="24"/>
        </w:rPr>
        <w:t xml:space="preserve">17.1.3  </w:t>
      </w:r>
      <w:r>
        <w:rPr>
          <w:rFonts w:ascii="宋体" w:hAnsi="宋体" w:cs="宋体"/>
          <w:color w:val="auto"/>
          <w:spacing w:val="-3"/>
          <w:sz w:val="24"/>
        </w:rPr>
        <w:t>计量周期</w:t>
      </w:r>
    </w:p>
    <w:p w14:paraId="281D527E">
      <w:pPr>
        <w:spacing w:before="112" w:line="218" w:lineRule="auto"/>
        <w:ind w:left="492"/>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1</w:t>
      </w:r>
      <w:r>
        <w:rPr>
          <w:rFonts w:ascii="宋体" w:hAnsi="宋体" w:cs="宋体"/>
          <w:color w:val="auto"/>
          <w:spacing w:val="-1"/>
          <w:sz w:val="24"/>
        </w:rPr>
        <w:t>）除专用合同条款另有约定外，单价子目已完成工程量按月计量。</w:t>
      </w:r>
    </w:p>
    <w:p w14:paraId="37205F6F">
      <w:pPr>
        <w:spacing w:before="117" w:line="264" w:lineRule="auto"/>
        <w:ind w:left="2" w:right="46" w:firstLine="489"/>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2</w:t>
      </w:r>
      <w:r>
        <w:rPr>
          <w:rFonts w:ascii="宋体" w:hAnsi="宋体" w:cs="宋体"/>
          <w:color w:val="auto"/>
          <w:spacing w:val="4"/>
          <w:sz w:val="24"/>
        </w:rPr>
        <w:t>）总价子目已完成工程量按月或按批准的支付分解表计量，由</w:t>
      </w:r>
      <w:r>
        <w:rPr>
          <w:rFonts w:ascii="宋体" w:hAnsi="宋体" w:cs="宋体"/>
          <w:color w:val="auto"/>
          <w:spacing w:val="3"/>
          <w:sz w:val="24"/>
        </w:rPr>
        <w:t>发包人在专</w:t>
      </w:r>
      <w:r>
        <w:rPr>
          <w:rFonts w:ascii="宋体" w:hAnsi="宋体" w:cs="宋体"/>
          <w:color w:val="auto"/>
          <w:spacing w:val="-2"/>
          <w:sz w:val="24"/>
        </w:rPr>
        <w:t>用合同条款中约定。</w:t>
      </w:r>
    </w:p>
    <w:p w14:paraId="1F291555">
      <w:pPr>
        <w:spacing w:before="113" w:line="218" w:lineRule="auto"/>
        <w:ind w:left="499"/>
        <w:rPr>
          <w:rFonts w:ascii="宋体" w:hAnsi="宋体" w:cs="宋体"/>
          <w:color w:val="auto"/>
          <w:sz w:val="24"/>
        </w:rPr>
      </w:pPr>
      <w:r>
        <w:rPr>
          <w:rFonts w:eastAsia="Times New Roman"/>
          <w:color w:val="auto"/>
          <w:spacing w:val="-2"/>
          <w:sz w:val="24"/>
        </w:rPr>
        <w:t xml:space="preserve">17.1.4  </w:t>
      </w:r>
      <w:r>
        <w:rPr>
          <w:rFonts w:ascii="宋体" w:hAnsi="宋体" w:cs="宋体"/>
          <w:color w:val="auto"/>
          <w:spacing w:val="-2"/>
          <w:sz w:val="24"/>
        </w:rPr>
        <w:t>单价子目的计量</w:t>
      </w:r>
    </w:p>
    <w:p w14:paraId="2C89E39F">
      <w:pPr>
        <w:spacing w:before="118" w:line="218" w:lineRule="auto"/>
        <w:ind w:left="495"/>
        <w:rPr>
          <w:rFonts w:ascii="宋体" w:hAnsi="宋体" w:cs="宋体"/>
          <w:color w:val="auto"/>
          <w:sz w:val="24"/>
        </w:rPr>
      </w:pPr>
      <w:r>
        <w:rPr>
          <w:rFonts w:ascii="宋体" w:hAnsi="宋体" w:cs="宋体"/>
          <w:color w:val="auto"/>
          <w:spacing w:val="-1"/>
          <w:sz w:val="24"/>
        </w:rPr>
        <w:t>除专用合同条款另有约定外，单价子目的计量按照下述约定进行：</w:t>
      </w:r>
    </w:p>
    <w:p w14:paraId="5D00D01B">
      <w:pPr>
        <w:spacing w:before="117" w:line="263" w:lineRule="auto"/>
        <w:ind w:right="44" w:firstLine="491"/>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1</w:t>
      </w:r>
      <w:r>
        <w:rPr>
          <w:rFonts w:ascii="宋体" w:hAnsi="宋体" w:cs="宋体"/>
          <w:color w:val="auto"/>
          <w:spacing w:val="4"/>
          <w:sz w:val="24"/>
        </w:rPr>
        <w:t>）已标价工程量清单中的单价子目工程量为估算工程量。结算工程量</w:t>
      </w:r>
      <w:r>
        <w:rPr>
          <w:rFonts w:ascii="宋体" w:hAnsi="宋体" w:cs="宋体"/>
          <w:color w:val="auto"/>
          <w:spacing w:val="3"/>
          <w:sz w:val="24"/>
        </w:rPr>
        <w:t>是承</w:t>
      </w:r>
      <w:r>
        <w:rPr>
          <w:rFonts w:ascii="宋体" w:hAnsi="宋体" w:cs="宋体"/>
          <w:color w:val="auto"/>
          <w:spacing w:val="-1"/>
          <w:sz w:val="24"/>
        </w:rPr>
        <w:t>包人实际完成的，并按合同约定的计量方法进行计量的工程量。</w:t>
      </w:r>
    </w:p>
    <w:p w14:paraId="5357CCAB">
      <w:pPr>
        <w:spacing w:before="115" w:line="264" w:lineRule="auto"/>
        <w:ind w:left="2" w:right="46" w:firstLine="489"/>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2</w:t>
      </w:r>
      <w:r>
        <w:rPr>
          <w:rFonts w:ascii="宋体" w:hAnsi="宋体" w:cs="宋体"/>
          <w:color w:val="auto"/>
          <w:spacing w:val="4"/>
          <w:sz w:val="24"/>
        </w:rPr>
        <w:t>）承包人对已完成的工程进行计量，向咨询人提交进度付款申</w:t>
      </w:r>
      <w:r>
        <w:rPr>
          <w:rFonts w:ascii="宋体" w:hAnsi="宋体" w:cs="宋体"/>
          <w:color w:val="auto"/>
          <w:spacing w:val="3"/>
          <w:sz w:val="24"/>
        </w:rPr>
        <w:t>请单、已完</w:t>
      </w:r>
      <w:r>
        <w:rPr>
          <w:rFonts w:ascii="宋体" w:hAnsi="宋体" w:cs="宋体"/>
          <w:color w:val="auto"/>
          <w:spacing w:val="-1"/>
          <w:sz w:val="24"/>
        </w:rPr>
        <w:t>成工程量报表和有关计量资料。</w:t>
      </w:r>
    </w:p>
    <w:p w14:paraId="64145308">
      <w:pPr>
        <w:spacing w:before="111" w:line="286" w:lineRule="auto"/>
        <w:ind w:firstLine="492"/>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3</w:t>
      </w:r>
      <w:r>
        <w:rPr>
          <w:rFonts w:ascii="宋体" w:hAnsi="宋体" w:cs="宋体"/>
          <w:color w:val="auto"/>
          <w:spacing w:val="-2"/>
          <w:sz w:val="24"/>
        </w:rPr>
        <w:t>）咨询人对承包人提交的工程量报表进行复核，以确定实际完成的工程量。</w:t>
      </w:r>
      <w:r>
        <w:rPr>
          <w:rFonts w:ascii="宋体" w:hAnsi="宋体" w:cs="宋体"/>
          <w:color w:val="auto"/>
          <w:spacing w:val="2"/>
          <w:sz w:val="24"/>
        </w:rPr>
        <w:t>对数量有异议的，可要求承包人按第</w:t>
      </w:r>
      <w:r>
        <w:rPr>
          <w:rFonts w:eastAsia="Times New Roman"/>
          <w:color w:val="auto"/>
          <w:spacing w:val="2"/>
          <w:sz w:val="24"/>
        </w:rPr>
        <w:t xml:space="preserve">8.2 </w:t>
      </w:r>
      <w:r>
        <w:rPr>
          <w:rFonts w:ascii="宋体" w:hAnsi="宋体" w:cs="宋体"/>
          <w:color w:val="auto"/>
          <w:spacing w:val="2"/>
          <w:sz w:val="24"/>
        </w:rPr>
        <w:t>款约定进行共同复核和抽</w:t>
      </w:r>
      <w:r>
        <w:rPr>
          <w:rFonts w:ascii="宋体" w:hAnsi="宋体" w:cs="宋体"/>
          <w:color w:val="auto"/>
          <w:spacing w:val="1"/>
          <w:sz w:val="24"/>
        </w:rPr>
        <w:t>样复测。承包人应协助咨询人进行复核并按咨询人要求提供补充计量资料。</w:t>
      </w:r>
      <w:r>
        <w:rPr>
          <w:rFonts w:ascii="宋体" w:hAnsi="宋体" w:cs="宋体"/>
          <w:color w:val="auto"/>
          <w:sz w:val="24"/>
        </w:rPr>
        <w:t>承包人未按咨询人要求参加复核，咨询人复核或修正的工程量视为承包</w:t>
      </w:r>
      <w:r>
        <w:rPr>
          <w:rFonts w:ascii="宋体" w:hAnsi="宋体" w:cs="宋体"/>
          <w:color w:val="auto"/>
          <w:spacing w:val="-1"/>
          <w:sz w:val="24"/>
        </w:rPr>
        <w:t>人实际完成的工程量。</w:t>
      </w:r>
    </w:p>
    <w:p w14:paraId="6EDA8FE1">
      <w:pPr>
        <w:spacing w:before="116" w:line="264" w:lineRule="auto"/>
        <w:ind w:right="44" w:firstLine="491"/>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4</w:t>
      </w:r>
      <w:r>
        <w:rPr>
          <w:rFonts w:ascii="宋体" w:hAnsi="宋体" w:cs="宋体"/>
          <w:color w:val="auto"/>
          <w:spacing w:val="4"/>
          <w:sz w:val="24"/>
        </w:rPr>
        <w:t>）咨询人认为有必要时，可通知承包人共同进行联合测量、计量，承</w:t>
      </w:r>
      <w:r>
        <w:rPr>
          <w:rFonts w:ascii="宋体" w:hAnsi="宋体" w:cs="宋体"/>
          <w:color w:val="auto"/>
          <w:spacing w:val="3"/>
          <w:sz w:val="24"/>
        </w:rPr>
        <w:t>包人</w:t>
      </w:r>
      <w:r>
        <w:rPr>
          <w:rFonts w:ascii="宋体" w:hAnsi="宋体" w:cs="宋体"/>
          <w:color w:val="auto"/>
          <w:spacing w:val="-2"/>
          <w:sz w:val="24"/>
        </w:rPr>
        <w:t>应遵照执行。</w:t>
      </w:r>
    </w:p>
    <w:p w14:paraId="2855E4EB">
      <w:pPr>
        <w:spacing w:before="282" w:line="290" w:lineRule="auto"/>
        <w:ind w:firstLine="492"/>
        <w:rPr>
          <w:rFonts w:ascii="宋体" w:hAnsi="宋体" w:cs="宋体"/>
          <w:color w:val="auto"/>
          <w:sz w:val="24"/>
        </w:rPr>
      </w:pPr>
      <w:bookmarkStart w:id="160" w:name="bookmark222"/>
      <w:bookmarkEnd w:id="160"/>
      <w:r>
        <w:rPr>
          <w:rFonts w:ascii="宋体" w:hAnsi="宋体" w:cs="宋体"/>
          <w:color w:val="auto"/>
          <w:spacing w:val="4"/>
          <w:sz w:val="24"/>
        </w:rPr>
        <w:t>（</w:t>
      </w:r>
      <w:r>
        <w:rPr>
          <w:rFonts w:eastAsia="Times New Roman"/>
          <w:color w:val="auto"/>
          <w:spacing w:val="4"/>
          <w:sz w:val="24"/>
        </w:rPr>
        <w:t>5</w:t>
      </w:r>
      <w:r>
        <w:rPr>
          <w:rFonts w:ascii="宋体" w:hAnsi="宋体" w:cs="宋体"/>
          <w:color w:val="auto"/>
          <w:spacing w:val="4"/>
          <w:sz w:val="24"/>
        </w:rPr>
        <w:t>）承包人完成工程量清单中每个子目的工程量后，咨询人应要求承包</w:t>
      </w:r>
      <w:r>
        <w:rPr>
          <w:rFonts w:ascii="宋体" w:hAnsi="宋体" w:cs="宋体"/>
          <w:color w:val="auto"/>
          <w:spacing w:val="3"/>
          <w:sz w:val="24"/>
        </w:rPr>
        <w:t>人派</w:t>
      </w:r>
      <w:r>
        <w:rPr>
          <w:rFonts w:ascii="宋体" w:hAnsi="宋体" w:cs="宋体"/>
          <w:color w:val="auto"/>
          <w:spacing w:val="1"/>
          <w:sz w:val="24"/>
        </w:rPr>
        <w:t>员共同对每个子目的历次计量报表进行汇总，以核实最终结</w:t>
      </w:r>
      <w:r>
        <w:rPr>
          <w:rFonts w:ascii="宋体" w:hAnsi="宋体" w:cs="宋体"/>
          <w:color w:val="auto"/>
          <w:sz w:val="24"/>
        </w:rPr>
        <w:t>算工程量。咨询人可要</w:t>
      </w:r>
      <w:r>
        <w:rPr>
          <w:rFonts w:ascii="宋体" w:hAnsi="宋体" w:cs="宋体"/>
          <w:color w:val="auto"/>
          <w:spacing w:val="1"/>
          <w:sz w:val="24"/>
        </w:rPr>
        <w:t>求承包人提供补充计量资料，以确定最后一次进度付款的准</w:t>
      </w:r>
      <w:r>
        <w:rPr>
          <w:rFonts w:ascii="宋体" w:hAnsi="宋体" w:cs="宋体"/>
          <w:color w:val="auto"/>
          <w:sz w:val="24"/>
        </w:rPr>
        <w:t>确工程量。承包人未按</w:t>
      </w:r>
      <w:r>
        <w:rPr>
          <w:rFonts w:ascii="宋体" w:hAnsi="宋体" w:cs="宋体"/>
          <w:color w:val="auto"/>
          <w:spacing w:val="1"/>
          <w:sz w:val="24"/>
        </w:rPr>
        <w:t>咨询人要求派员参加的，咨询人最终核实的工程量视为承包</w:t>
      </w:r>
      <w:r>
        <w:rPr>
          <w:rFonts w:ascii="宋体" w:hAnsi="宋体" w:cs="宋体"/>
          <w:color w:val="auto"/>
          <w:sz w:val="24"/>
        </w:rPr>
        <w:t>人完成该子目的准确工</w:t>
      </w:r>
      <w:r>
        <w:rPr>
          <w:rFonts w:ascii="宋体" w:hAnsi="宋体" w:cs="宋体"/>
          <w:color w:val="auto"/>
          <w:spacing w:val="-3"/>
          <w:sz w:val="24"/>
        </w:rPr>
        <w:t>程量。</w:t>
      </w:r>
    </w:p>
    <w:p w14:paraId="08FC3261">
      <w:pPr>
        <w:spacing w:before="112" w:line="278" w:lineRule="auto"/>
        <w:ind w:left="4" w:firstLine="487"/>
        <w:rPr>
          <w:rFonts w:ascii="宋体" w:hAnsi="宋体" w:cs="宋体"/>
          <w:color w:val="auto"/>
          <w:sz w:val="24"/>
        </w:rPr>
      </w:pPr>
      <w:r>
        <w:rPr>
          <w:rFonts w:ascii="宋体" w:hAnsi="宋体" w:cs="宋体"/>
          <w:color w:val="auto"/>
          <w:spacing w:val="3"/>
          <w:sz w:val="24"/>
        </w:rPr>
        <w:t>（</w:t>
      </w:r>
      <w:r>
        <w:rPr>
          <w:rFonts w:eastAsia="Times New Roman"/>
          <w:color w:val="auto"/>
          <w:spacing w:val="3"/>
          <w:sz w:val="24"/>
        </w:rPr>
        <w:t>6</w:t>
      </w:r>
      <w:r>
        <w:rPr>
          <w:rFonts w:ascii="宋体" w:hAnsi="宋体" w:cs="宋体"/>
          <w:color w:val="auto"/>
          <w:spacing w:val="3"/>
          <w:sz w:val="24"/>
        </w:rPr>
        <w:t>）咨询人应在收到承包人提交的工程量报表后的</w:t>
      </w:r>
      <w:r>
        <w:rPr>
          <w:rFonts w:eastAsia="Times New Roman"/>
          <w:color w:val="auto"/>
          <w:spacing w:val="3"/>
          <w:sz w:val="24"/>
        </w:rPr>
        <w:t>7</w:t>
      </w:r>
      <w:r>
        <w:rPr>
          <w:rFonts w:ascii="宋体" w:hAnsi="宋体" w:cs="宋体"/>
          <w:color w:val="auto"/>
          <w:spacing w:val="3"/>
          <w:sz w:val="24"/>
        </w:rPr>
        <w:t>天内进行复核，咨询人</w:t>
      </w:r>
      <w:r>
        <w:rPr>
          <w:rFonts w:ascii="宋体" w:hAnsi="宋体" w:cs="宋体"/>
          <w:color w:val="auto"/>
          <w:spacing w:val="1"/>
          <w:sz w:val="24"/>
        </w:rPr>
        <w:t>未在约定时间内复核的，承包人提交的工程量报</w:t>
      </w:r>
      <w:r>
        <w:rPr>
          <w:rFonts w:ascii="宋体" w:hAnsi="宋体" w:cs="宋体"/>
          <w:color w:val="auto"/>
          <w:sz w:val="24"/>
        </w:rPr>
        <w:t>表中的工程量视为承包人实际完成</w:t>
      </w:r>
      <w:r>
        <w:rPr>
          <w:rFonts w:ascii="宋体" w:hAnsi="宋体" w:cs="宋体"/>
          <w:color w:val="auto"/>
          <w:spacing w:val="-1"/>
          <w:sz w:val="24"/>
        </w:rPr>
        <w:t>的工程量，据此计算工程价款。</w:t>
      </w:r>
    </w:p>
    <w:p w14:paraId="6AF5D4E2">
      <w:pPr>
        <w:spacing w:before="115" w:line="263" w:lineRule="auto"/>
        <w:ind w:left="3" w:firstLine="488"/>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7</w:t>
      </w:r>
      <w:r>
        <w:rPr>
          <w:rFonts w:ascii="宋体" w:hAnsi="宋体" w:cs="宋体"/>
          <w:color w:val="auto"/>
          <w:spacing w:val="4"/>
          <w:sz w:val="24"/>
        </w:rPr>
        <w:t>）承包人未在已标价工程量清单中填入单价或总额价的工程子目，将</w:t>
      </w:r>
      <w:r>
        <w:rPr>
          <w:rFonts w:ascii="宋体" w:hAnsi="宋体" w:cs="宋体"/>
          <w:color w:val="auto"/>
          <w:spacing w:val="3"/>
          <w:sz w:val="24"/>
        </w:rPr>
        <w:t>被认</w:t>
      </w:r>
      <w:r>
        <w:rPr>
          <w:rFonts w:ascii="宋体" w:hAnsi="宋体" w:cs="宋体"/>
          <w:color w:val="auto"/>
          <w:sz w:val="24"/>
        </w:rPr>
        <w:t>为其已包含在本合同的其他子目的单价和总</w:t>
      </w:r>
      <w:r>
        <w:rPr>
          <w:rFonts w:ascii="宋体" w:hAnsi="宋体" w:cs="宋体"/>
          <w:color w:val="auto"/>
          <w:spacing w:val="-1"/>
          <w:sz w:val="24"/>
        </w:rPr>
        <w:t>额价中，发包人将不另行支付。</w:t>
      </w:r>
    </w:p>
    <w:p w14:paraId="413D733E">
      <w:pPr>
        <w:spacing w:before="117" w:line="218" w:lineRule="auto"/>
        <w:ind w:left="499"/>
        <w:rPr>
          <w:rFonts w:ascii="宋体" w:hAnsi="宋体" w:cs="宋体"/>
          <w:color w:val="auto"/>
          <w:sz w:val="24"/>
        </w:rPr>
      </w:pPr>
      <w:r>
        <w:rPr>
          <w:rFonts w:eastAsia="Times New Roman"/>
          <w:color w:val="auto"/>
          <w:spacing w:val="-2"/>
          <w:sz w:val="24"/>
        </w:rPr>
        <w:t xml:space="preserve">17.1.5  </w:t>
      </w:r>
      <w:r>
        <w:rPr>
          <w:rFonts w:ascii="宋体" w:hAnsi="宋体" w:cs="宋体"/>
          <w:color w:val="auto"/>
          <w:spacing w:val="-2"/>
          <w:sz w:val="24"/>
        </w:rPr>
        <w:t>总价子目的计量</w:t>
      </w:r>
    </w:p>
    <w:p w14:paraId="2D6EF5E8">
      <w:pPr>
        <w:spacing w:before="115" w:line="218" w:lineRule="auto"/>
        <w:ind w:left="495"/>
        <w:rPr>
          <w:rFonts w:ascii="宋体" w:hAnsi="宋体" w:cs="宋体"/>
          <w:color w:val="auto"/>
          <w:sz w:val="24"/>
        </w:rPr>
      </w:pPr>
      <w:r>
        <w:rPr>
          <w:rFonts w:ascii="宋体" w:hAnsi="宋体" w:cs="宋体"/>
          <w:color w:val="auto"/>
          <w:spacing w:val="-1"/>
          <w:sz w:val="24"/>
        </w:rPr>
        <w:t>除专用合同条款另有约定外，总价子目的分解和计量按照下述约定进行：</w:t>
      </w:r>
    </w:p>
    <w:p w14:paraId="40A84598">
      <w:pPr>
        <w:spacing w:before="119" w:line="263" w:lineRule="auto"/>
        <w:ind w:left="2" w:firstLine="489"/>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1</w:t>
      </w:r>
      <w:r>
        <w:rPr>
          <w:rFonts w:ascii="宋体" w:hAnsi="宋体" w:cs="宋体"/>
          <w:color w:val="auto"/>
          <w:spacing w:val="1"/>
          <w:sz w:val="24"/>
        </w:rPr>
        <w:t>）总价子目的计量和支付应以总价为基础，不因第</w:t>
      </w:r>
      <w:r>
        <w:rPr>
          <w:rFonts w:eastAsia="Times New Roman"/>
          <w:color w:val="auto"/>
          <w:spacing w:val="1"/>
          <w:sz w:val="24"/>
        </w:rPr>
        <w:t xml:space="preserve">16.1 </w:t>
      </w:r>
      <w:r>
        <w:rPr>
          <w:rFonts w:ascii="宋体" w:hAnsi="宋体" w:cs="宋体"/>
          <w:color w:val="auto"/>
          <w:spacing w:val="1"/>
          <w:sz w:val="24"/>
        </w:rPr>
        <w:t>款中的因素而进行</w:t>
      </w:r>
      <w:r>
        <w:rPr>
          <w:rFonts w:ascii="宋体" w:hAnsi="宋体" w:cs="宋体"/>
          <w:color w:val="auto"/>
          <w:sz w:val="24"/>
        </w:rPr>
        <w:t>调整。承包人实际完成的工程量，是进行养护目标</w:t>
      </w:r>
      <w:r>
        <w:rPr>
          <w:rFonts w:ascii="宋体" w:hAnsi="宋体" w:cs="宋体"/>
          <w:color w:val="auto"/>
          <w:spacing w:val="-1"/>
          <w:sz w:val="24"/>
        </w:rPr>
        <w:t>管理和控制进度支付的依据。</w:t>
      </w:r>
    </w:p>
    <w:p w14:paraId="3019AB17">
      <w:pPr>
        <w:spacing w:before="113" w:line="286" w:lineRule="auto"/>
        <w:ind w:left="1" w:firstLine="490"/>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2</w:t>
      </w:r>
      <w:r>
        <w:rPr>
          <w:rFonts w:ascii="宋体" w:hAnsi="宋体" w:cs="宋体"/>
          <w:color w:val="auto"/>
          <w:spacing w:val="4"/>
          <w:sz w:val="24"/>
        </w:rPr>
        <w:t>）承包人在合同约定的每个计量周期内，对已完成的工程进行计量，</w:t>
      </w:r>
      <w:r>
        <w:rPr>
          <w:rFonts w:ascii="宋体" w:hAnsi="宋体" w:cs="宋体"/>
          <w:color w:val="auto"/>
          <w:spacing w:val="3"/>
          <w:sz w:val="24"/>
        </w:rPr>
        <w:t>并向</w:t>
      </w:r>
      <w:r>
        <w:rPr>
          <w:rFonts w:ascii="宋体" w:hAnsi="宋体" w:cs="宋体"/>
          <w:color w:val="auto"/>
          <w:spacing w:val="1"/>
          <w:sz w:val="24"/>
        </w:rPr>
        <w:t>咨询人提交进度付款申请单、专用合同条款约定的合同</w:t>
      </w:r>
      <w:r>
        <w:rPr>
          <w:rFonts w:ascii="宋体" w:hAnsi="宋体" w:cs="宋体"/>
          <w:color w:val="auto"/>
          <w:sz w:val="24"/>
        </w:rPr>
        <w:t>总价支付分解表所表示的阶</w:t>
      </w:r>
      <w:r>
        <w:rPr>
          <w:rFonts w:ascii="宋体" w:hAnsi="宋体" w:cs="宋体"/>
          <w:color w:val="auto"/>
          <w:spacing w:val="1"/>
          <w:sz w:val="24"/>
        </w:rPr>
        <w:t>段性或分项计量的支持性资料，以及所达到工程形象目</w:t>
      </w:r>
      <w:r>
        <w:rPr>
          <w:rFonts w:ascii="宋体" w:hAnsi="宋体" w:cs="宋体"/>
          <w:color w:val="auto"/>
          <w:sz w:val="24"/>
        </w:rPr>
        <w:t>标或分阶段需完成的工程量</w:t>
      </w:r>
      <w:r>
        <w:rPr>
          <w:rFonts w:ascii="宋体" w:hAnsi="宋体" w:cs="宋体"/>
          <w:color w:val="auto"/>
          <w:spacing w:val="-2"/>
          <w:sz w:val="24"/>
        </w:rPr>
        <w:t>和有关计量资料。</w:t>
      </w:r>
    </w:p>
    <w:p w14:paraId="798298A0">
      <w:pPr>
        <w:spacing w:before="115" w:line="278" w:lineRule="auto"/>
        <w:ind w:firstLine="492"/>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3</w:t>
      </w:r>
      <w:r>
        <w:rPr>
          <w:rFonts w:ascii="宋体" w:hAnsi="宋体" w:cs="宋体"/>
          <w:color w:val="auto"/>
          <w:spacing w:val="4"/>
          <w:sz w:val="24"/>
        </w:rPr>
        <w:t>）咨询人对承包人提交的上述资料进行复核，以确定分阶段实际完成</w:t>
      </w:r>
      <w:r>
        <w:rPr>
          <w:rFonts w:ascii="宋体" w:hAnsi="宋体" w:cs="宋体"/>
          <w:color w:val="auto"/>
          <w:spacing w:val="3"/>
          <w:sz w:val="24"/>
        </w:rPr>
        <w:t>的工</w:t>
      </w:r>
      <w:r>
        <w:rPr>
          <w:rFonts w:ascii="宋体" w:hAnsi="宋体" w:cs="宋体"/>
          <w:color w:val="auto"/>
          <w:spacing w:val="2"/>
          <w:sz w:val="24"/>
        </w:rPr>
        <w:t>程量和工程形象目标。对其有异议的，可要求承包人按第</w:t>
      </w:r>
      <w:r>
        <w:rPr>
          <w:rFonts w:eastAsia="Times New Roman"/>
          <w:color w:val="auto"/>
          <w:spacing w:val="2"/>
          <w:sz w:val="24"/>
        </w:rPr>
        <w:t>8.2</w:t>
      </w:r>
      <w:r>
        <w:rPr>
          <w:rFonts w:ascii="宋体" w:hAnsi="宋体" w:cs="宋体"/>
          <w:color w:val="auto"/>
          <w:spacing w:val="1"/>
          <w:sz w:val="24"/>
        </w:rPr>
        <w:t>款约定进行共同复核</w:t>
      </w:r>
      <w:r>
        <w:rPr>
          <w:rFonts w:ascii="宋体" w:hAnsi="宋体" w:cs="宋体"/>
          <w:color w:val="auto"/>
          <w:spacing w:val="-2"/>
          <w:sz w:val="24"/>
        </w:rPr>
        <w:t>和抽样复测。</w:t>
      </w:r>
    </w:p>
    <w:p w14:paraId="53299845">
      <w:pPr>
        <w:spacing w:before="116" w:line="264" w:lineRule="auto"/>
        <w:ind w:left="4" w:right="2" w:firstLine="487"/>
        <w:rPr>
          <w:rFonts w:ascii="宋体" w:hAnsi="宋体" w:cs="宋体"/>
          <w:color w:val="auto"/>
          <w:sz w:val="24"/>
        </w:rPr>
      </w:pPr>
      <w:r>
        <w:rPr>
          <w:rFonts w:ascii="宋体" w:hAnsi="宋体" w:cs="宋体"/>
          <w:color w:val="auto"/>
          <w:sz w:val="24"/>
        </w:rPr>
        <w:t>（</w:t>
      </w:r>
      <w:r>
        <w:rPr>
          <w:rFonts w:eastAsia="Times New Roman"/>
          <w:color w:val="auto"/>
          <w:sz w:val="24"/>
        </w:rPr>
        <w:t>4</w:t>
      </w:r>
      <w:r>
        <w:rPr>
          <w:rFonts w:ascii="宋体" w:hAnsi="宋体" w:cs="宋体"/>
          <w:color w:val="auto"/>
          <w:sz w:val="24"/>
        </w:rPr>
        <w:t>）除按照第</w:t>
      </w:r>
      <w:r>
        <w:rPr>
          <w:rFonts w:eastAsia="Times New Roman"/>
          <w:color w:val="auto"/>
          <w:sz w:val="24"/>
        </w:rPr>
        <w:t xml:space="preserve">15 </w:t>
      </w:r>
      <w:r>
        <w:rPr>
          <w:rFonts w:ascii="宋体" w:hAnsi="宋体" w:cs="宋体"/>
          <w:color w:val="auto"/>
          <w:sz w:val="24"/>
        </w:rPr>
        <w:t>条约定的变更外，总</w:t>
      </w:r>
      <w:r>
        <w:rPr>
          <w:rFonts w:ascii="宋体" w:hAnsi="宋体" w:cs="宋体"/>
          <w:color w:val="auto"/>
          <w:spacing w:val="-1"/>
          <w:sz w:val="24"/>
        </w:rPr>
        <w:t>价子目的工程量是承包人用于结算的最</w:t>
      </w:r>
      <w:r>
        <w:rPr>
          <w:rFonts w:ascii="宋体" w:hAnsi="宋体" w:cs="宋体"/>
          <w:color w:val="auto"/>
          <w:spacing w:val="-3"/>
          <w:sz w:val="24"/>
        </w:rPr>
        <w:t>终工程量。</w:t>
      </w:r>
    </w:p>
    <w:p w14:paraId="02CC17C5">
      <w:pPr>
        <w:spacing w:before="112" w:line="264" w:lineRule="auto"/>
        <w:ind w:left="5" w:right="2" w:firstLine="486"/>
        <w:rPr>
          <w:rFonts w:ascii="宋体" w:hAnsi="宋体" w:cs="宋体"/>
          <w:color w:val="auto"/>
          <w:sz w:val="24"/>
        </w:rPr>
      </w:pPr>
      <w:r>
        <w:rPr>
          <w:rFonts w:ascii="宋体" w:hAnsi="宋体" w:cs="宋体"/>
          <w:color w:val="auto"/>
          <w:spacing w:val="3"/>
          <w:sz w:val="24"/>
        </w:rPr>
        <w:t>（</w:t>
      </w:r>
      <w:r>
        <w:rPr>
          <w:rFonts w:eastAsia="Times New Roman"/>
          <w:color w:val="auto"/>
          <w:spacing w:val="3"/>
          <w:sz w:val="24"/>
        </w:rPr>
        <w:t>5</w:t>
      </w:r>
      <w:r>
        <w:rPr>
          <w:rFonts w:ascii="宋体" w:hAnsi="宋体" w:cs="宋体"/>
          <w:color w:val="auto"/>
          <w:spacing w:val="3"/>
          <w:sz w:val="24"/>
        </w:rPr>
        <w:t>）工程量清单中要求承包人以“总额”方式报价的子目</w:t>
      </w:r>
      <w:r>
        <w:rPr>
          <w:rFonts w:ascii="宋体" w:hAnsi="宋体" w:cs="宋体"/>
          <w:color w:val="auto"/>
          <w:spacing w:val="2"/>
          <w:sz w:val="24"/>
        </w:rPr>
        <w:t>，各子目的支付原</w:t>
      </w:r>
      <w:r>
        <w:rPr>
          <w:rFonts w:ascii="宋体" w:hAnsi="宋体" w:cs="宋体"/>
          <w:color w:val="auto"/>
          <w:spacing w:val="-1"/>
          <w:sz w:val="24"/>
        </w:rPr>
        <w:t>则和支付进度按专用合同条款的约定执行。</w:t>
      </w:r>
    </w:p>
    <w:p w14:paraId="21175EC4">
      <w:pPr>
        <w:spacing w:before="106" w:line="219" w:lineRule="auto"/>
        <w:ind w:left="487"/>
        <w:outlineLvl w:val="3"/>
        <w:rPr>
          <w:rFonts w:ascii="宋体" w:hAnsi="宋体" w:cs="宋体"/>
          <w:color w:val="auto"/>
          <w:sz w:val="24"/>
        </w:rPr>
      </w:pPr>
      <w:r>
        <w:rPr>
          <w:rFonts w:eastAsia="Times New Roman"/>
          <w:b/>
          <w:bCs/>
          <w:color w:val="auto"/>
          <w:spacing w:val="-5"/>
          <w:sz w:val="24"/>
        </w:rPr>
        <w:t>17.2</w:t>
      </w:r>
      <w:r>
        <w:rPr>
          <w:rFonts w:ascii="宋体" w:hAnsi="宋体" w:cs="宋体"/>
          <w:b/>
          <w:bCs/>
          <w:color w:val="auto"/>
          <w:spacing w:val="-5"/>
          <w:sz w:val="24"/>
        </w:rPr>
        <w:t>预付款</w:t>
      </w:r>
    </w:p>
    <w:p w14:paraId="658736B6">
      <w:pPr>
        <w:spacing w:before="124" w:line="219" w:lineRule="auto"/>
        <w:ind w:left="499"/>
        <w:rPr>
          <w:rFonts w:ascii="宋体" w:hAnsi="宋体" w:cs="宋体"/>
          <w:color w:val="auto"/>
          <w:sz w:val="24"/>
        </w:rPr>
      </w:pPr>
      <w:r>
        <w:rPr>
          <w:rFonts w:eastAsia="Times New Roman"/>
          <w:color w:val="auto"/>
          <w:spacing w:val="-5"/>
          <w:sz w:val="24"/>
        </w:rPr>
        <w:t>17.2.1</w:t>
      </w:r>
      <w:r>
        <w:rPr>
          <w:rFonts w:ascii="宋体" w:hAnsi="宋体" w:cs="宋体"/>
          <w:color w:val="auto"/>
          <w:spacing w:val="-5"/>
          <w:sz w:val="24"/>
        </w:rPr>
        <w:t>预付款</w:t>
      </w:r>
    </w:p>
    <w:p w14:paraId="41CA267A">
      <w:pPr>
        <w:spacing w:before="116" w:line="307" w:lineRule="auto"/>
        <w:ind w:firstLine="482"/>
        <w:rPr>
          <w:rFonts w:ascii="宋体" w:hAnsi="宋体" w:cs="宋体"/>
          <w:color w:val="auto"/>
          <w:sz w:val="24"/>
        </w:rPr>
      </w:pPr>
      <w:r>
        <w:rPr>
          <w:rFonts w:ascii="宋体" w:hAnsi="宋体" w:cs="宋体"/>
          <w:color w:val="auto"/>
          <w:spacing w:val="1"/>
          <w:sz w:val="24"/>
        </w:rPr>
        <w:t>预付款用于承包人为合同实施购置材料、设备、修建</w:t>
      </w:r>
      <w:r>
        <w:rPr>
          <w:rFonts w:ascii="宋体" w:hAnsi="宋体" w:cs="宋体"/>
          <w:color w:val="auto"/>
          <w:sz w:val="24"/>
        </w:rPr>
        <w:t>临时设施以及组织养护队</w:t>
      </w:r>
      <w:r>
        <w:rPr>
          <w:rFonts w:ascii="宋体" w:hAnsi="宋体" w:cs="宋体"/>
          <w:color w:val="auto"/>
          <w:spacing w:val="-2"/>
          <w:sz w:val="24"/>
        </w:rPr>
        <w:t>伍进场等。</w:t>
      </w:r>
    </w:p>
    <w:p w14:paraId="175AC04E">
      <w:pPr>
        <w:spacing w:before="1" w:line="218" w:lineRule="auto"/>
        <w:ind w:left="482"/>
        <w:rPr>
          <w:rFonts w:ascii="宋体" w:hAnsi="宋体" w:cs="宋体"/>
          <w:color w:val="auto"/>
          <w:sz w:val="24"/>
        </w:rPr>
      </w:pPr>
      <w:r>
        <w:rPr>
          <w:rFonts w:ascii="宋体" w:hAnsi="宋体" w:cs="宋体"/>
          <w:color w:val="auto"/>
          <w:sz w:val="24"/>
        </w:rPr>
        <w:t>预付款包括开工预付款和材料、设备预付款</w:t>
      </w:r>
      <w:r>
        <w:rPr>
          <w:rFonts w:ascii="宋体" w:hAnsi="宋体" w:cs="宋体"/>
          <w:color w:val="auto"/>
          <w:spacing w:val="-1"/>
          <w:sz w:val="24"/>
        </w:rPr>
        <w:t>。具体额度和预付办法如下：</w:t>
      </w:r>
    </w:p>
    <w:p w14:paraId="4135CB10">
      <w:pPr>
        <w:spacing w:before="116" w:line="308" w:lineRule="auto"/>
        <w:ind w:firstLine="491"/>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1</w:t>
      </w:r>
      <w:r>
        <w:rPr>
          <w:rFonts w:ascii="宋体" w:hAnsi="宋体" w:cs="宋体"/>
          <w:color w:val="auto"/>
          <w:spacing w:val="4"/>
          <w:sz w:val="24"/>
        </w:rPr>
        <w:t>）开工预付款的金额在专用合同条款数据表中约定。在承包人签订了</w:t>
      </w:r>
      <w:r>
        <w:rPr>
          <w:rFonts w:ascii="宋体" w:hAnsi="宋体" w:cs="宋体"/>
          <w:color w:val="auto"/>
          <w:spacing w:val="3"/>
          <w:sz w:val="24"/>
        </w:rPr>
        <w:t>合同</w:t>
      </w:r>
      <w:r>
        <w:rPr>
          <w:rFonts w:ascii="宋体" w:hAnsi="宋体" w:cs="宋体"/>
          <w:color w:val="auto"/>
          <w:spacing w:val="1"/>
          <w:sz w:val="24"/>
        </w:rPr>
        <w:t>协议书且承包人承诺的主要人员、设备进场后，咨询人应</w:t>
      </w:r>
      <w:r>
        <w:rPr>
          <w:rFonts w:ascii="宋体" w:hAnsi="宋体" w:cs="宋体"/>
          <w:color w:val="auto"/>
          <w:sz w:val="24"/>
        </w:rPr>
        <w:t>在当期进度付款证书中向</w:t>
      </w:r>
      <w:r>
        <w:rPr>
          <w:rFonts w:ascii="宋体" w:hAnsi="宋体" w:cs="宋体"/>
          <w:color w:val="auto"/>
          <w:spacing w:val="-1"/>
          <w:sz w:val="24"/>
        </w:rPr>
        <w:t>承包人支付开工预付款。</w:t>
      </w:r>
    </w:p>
    <w:p w14:paraId="5AF18ED8">
      <w:pPr>
        <w:spacing w:line="219" w:lineRule="auto"/>
        <w:ind w:firstLine="726" w:firstLineChars="300"/>
        <w:jc w:val="left"/>
        <w:rPr>
          <w:rFonts w:ascii="宋体" w:hAnsi="宋体" w:cs="宋体"/>
          <w:color w:val="auto"/>
          <w:sz w:val="24"/>
        </w:rPr>
      </w:pPr>
      <w:r>
        <w:rPr>
          <w:rFonts w:ascii="宋体" w:hAnsi="宋体" w:cs="宋体"/>
          <w:color w:val="auto"/>
          <w:spacing w:val="1"/>
          <w:sz w:val="24"/>
        </w:rPr>
        <w:t>承包人不得将该预付款用于与养护项目无关的支出，发包</w:t>
      </w:r>
      <w:r>
        <w:rPr>
          <w:rFonts w:ascii="宋体" w:hAnsi="宋体" w:cs="宋体"/>
          <w:color w:val="auto"/>
          <w:sz w:val="24"/>
        </w:rPr>
        <w:t>人、咨询人有权监督</w:t>
      </w:r>
      <w:r>
        <w:rPr>
          <w:rFonts w:ascii="宋体" w:hAnsi="宋体" w:cs="宋体"/>
          <w:color w:val="auto"/>
          <w:spacing w:val="1"/>
          <w:sz w:val="24"/>
        </w:rPr>
        <w:t>承包人对该项费用的使用，如经查实承包人滥用开工预付</w:t>
      </w:r>
      <w:r>
        <w:rPr>
          <w:rFonts w:ascii="宋体" w:hAnsi="宋体" w:cs="宋体"/>
          <w:color w:val="auto"/>
          <w:sz w:val="24"/>
        </w:rPr>
        <w:t>款，发包人有权立即索赔</w:t>
      </w:r>
      <w:r>
        <w:rPr>
          <w:rFonts w:ascii="宋体" w:hAnsi="宋体" w:cs="宋体"/>
          <w:color w:val="auto"/>
          <w:spacing w:val="-2"/>
          <w:sz w:val="24"/>
        </w:rPr>
        <w:t>履约保证金，并解除合同。</w:t>
      </w:r>
    </w:p>
    <w:p w14:paraId="3E204E3D">
      <w:pPr>
        <w:spacing w:before="2" w:line="307" w:lineRule="auto"/>
        <w:ind w:left="2" w:right="145" w:firstLine="490"/>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2</w:t>
      </w:r>
      <w:r>
        <w:rPr>
          <w:rFonts w:ascii="宋体" w:hAnsi="宋体" w:cs="宋体"/>
          <w:color w:val="auto"/>
          <w:spacing w:val="4"/>
          <w:sz w:val="24"/>
        </w:rPr>
        <w:t>）材料、设备预付款按专用合同条款数据表中所列主要材料、设备单</w:t>
      </w:r>
      <w:r>
        <w:rPr>
          <w:rFonts w:ascii="宋体" w:hAnsi="宋体" w:cs="宋体"/>
          <w:color w:val="auto"/>
          <w:spacing w:val="3"/>
          <w:sz w:val="24"/>
        </w:rPr>
        <w:t>据费</w:t>
      </w:r>
      <w:r>
        <w:rPr>
          <w:rFonts w:ascii="宋体" w:hAnsi="宋体" w:cs="宋体"/>
          <w:color w:val="auto"/>
          <w:spacing w:val="1"/>
          <w:sz w:val="24"/>
        </w:rPr>
        <w:t>用（进口的材料、设备为到岸价，国内采购的为出厂价</w:t>
      </w:r>
      <w:r>
        <w:rPr>
          <w:rFonts w:ascii="宋体" w:hAnsi="宋体" w:cs="宋体"/>
          <w:color w:val="auto"/>
          <w:sz w:val="24"/>
        </w:rPr>
        <w:t>或销售价，地方材料为堆场</w:t>
      </w:r>
      <w:r>
        <w:rPr>
          <w:rFonts w:ascii="宋体" w:hAnsi="宋体" w:cs="宋体"/>
          <w:color w:val="auto"/>
          <w:spacing w:val="-1"/>
          <w:sz w:val="24"/>
        </w:rPr>
        <w:t>价）的百分比支付。其预付条件为：</w:t>
      </w:r>
    </w:p>
    <w:p w14:paraId="2D313AEF">
      <w:pPr>
        <w:spacing w:line="218" w:lineRule="auto"/>
        <w:ind w:left="481"/>
        <w:rPr>
          <w:rFonts w:ascii="宋体" w:hAnsi="宋体" w:cs="宋体"/>
          <w:color w:val="auto"/>
          <w:sz w:val="24"/>
        </w:rPr>
      </w:pPr>
      <w:r>
        <w:rPr>
          <w:rFonts w:eastAsia="Times New Roman"/>
          <w:color w:val="auto"/>
          <w:spacing w:val="-1"/>
          <w:sz w:val="24"/>
        </w:rPr>
        <w:t xml:space="preserve">a.  </w:t>
      </w:r>
      <w:r>
        <w:rPr>
          <w:rFonts w:ascii="宋体" w:hAnsi="宋体" w:cs="宋体"/>
          <w:color w:val="auto"/>
          <w:spacing w:val="-1"/>
          <w:sz w:val="24"/>
        </w:rPr>
        <w:t>材料、设备符合规范要求并经咨询人认可；</w:t>
      </w:r>
    </w:p>
    <w:p w14:paraId="0C3D5003">
      <w:pPr>
        <w:spacing w:before="116" w:line="219" w:lineRule="auto"/>
        <w:ind w:left="472"/>
        <w:rPr>
          <w:rFonts w:ascii="宋体" w:hAnsi="宋体" w:cs="宋体"/>
          <w:color w:val="auto"/>
          <w:sz w:val="24"/>
        </w:rPr>
      </w:pPr>
      <w:r>
        <w:rPr>
          <w:rFonts w:eastAsia="Times New Roman"/>
          <w:color w:val="auto"/>
          <w:sz w:val="24"/>
        </w:rPr>
        <w:t xml:space="preserve">b.  </w:t>
      </w:r>
      <w:r>
        <w:rPr>
          <w:rFonts w:ascii="宋体" w:hAnsi="宋体" w:cs="宋体"/>
          <w:color w:val="auto"/>
          <w:sz w:val="24"/>
        </w:rPr>
        <w:t>承包人已出具材料、设备费用凭证或支付单据；</w:t>
      </w:r>
    </w:p>
    <w:p w14:paraId="0C2697A8">
      <w:pPr>
        <w:spacing w:before="116" w:line="263" w:lineRule="auto"/>
        <w:ind w:left="2" w:right="148" w:firstLine="477"/>
        <w:rPr>
          <w:rFonts w:ascii="宋体" w:hAnsi="宋体" w:cs="宋体"/>
          <w:color w:val="auto"/>
          <w:sz w:val="24"/>
        </w:rPr>
      </w:pPr>
      <w:r>
        <w:rPr>
          <w:rFonts w:eastAsia="Times New Roman"/>
          <w:color w:val="auto"/>
          <w:spacing w:val="6"/>
          <w:sz w:val="24"/>
        </w:rPr>
        <w:t xml:space="preserve">c.  </w:t>
      </w:r>
      <w:r>
        <w:rPr>
          <w:rFonts w:ascii="宋体" w:hAnsi="宋体" w:cs="宋体"/>
          <w:color w:val="auto"/>
          <w:spacing w:val="6"/>
          <w:sz w:val="24"/>
        </w:rPr>
        <w:t>材料、设备已在现场交货，且存储良好，咨询人认为材料、设备的存储方</w:t>
      </w:r>
      <w:r>
        <w:rPr>
          <w:rFonts w:ascii="宋体" w:hAnsi="宋体" w:cs="宋体"/>
          <w:color w:val="auto"/>
          <w:spacing w:val="-2"/>
          <w:sz w:val="24"/>
        </w:rPr>
        <w:t>法符合要求。</w:t>
      </w:r>
    </w:p>
    <w:p w14:paraId="5B50A773">
      <w:pPr>
        <w:spacing w:before="116" w:line="307" w:lineRule="auto"/>
        <w:ind w:right="185" w:firstLine="485"/>
        <w:rPr>
          <w:rFonts w:ascii="宋体" w:hAnsi="宋体" w:cs="宋体"/>
          <w:color w:val="auto"/>
          <w:sz w:val="24"/>
        </w:rPr>
      </w:pPr>
      <w:r>
        <w:rPr>
          <w:rFonts w:ascii="宋体" w:hAnsi="宋体" w:cs="宋体"/>
          <w:color w:val="auto"/>
          <w:spacing w:val="-1"/>
          <w:sz w:val="24"/>
        </w:rPr>
        <w:t>则咨询人应将此项金额作为材料、设备预付款计入下一次的进度付款证书中。在预计交工前</w:t>
      </w:r>
      <w:r>
        <w:rPr>
          <w:rFonts w:eastAsia="Times New Roman"/>
          <w:color w:val="auto"/>
          <w:spacing w:val="-1"/>
          <w:sz w:val="24"/>
        </w:rPr>
        <w:t xml:space="preserve">3 </w:t>
      </w:r>
      <w:r>
        <w:rPr>
          <w:rFonts w:ascii="宋体" w:hAnsi="宋体" w:cs="宋体"/>
          <w:color w:val="auto"/>
          <w:spacing w:val="-1"/>
          <w:sz w:val="24"/>
        </w:rPr>
        <w:t>个月，将不再支付材料、设备预付款。</w:t>
      </w:r>
    </w:p>
    <w:p w14:paraId="06B2AE84">
      <w:pPr>
        <w:spacing w:before="1" w:line="219" w:lineRule="auto"/>
        <w:ind w:left="500"/>
        <w:rPr>
          <w:rFonts w:ascii="宋体" w:hAnsi="宋体" w:cs="宋体"/>
          <w:color w:val="auto"/>
          <w:sz w:val="24"/>
        </w:rPr>
      </w:pPr>
      <w:r>
        <w:rPr>
          <w:rFonts w:eastAsia="Times New Roman"/>
          <w:color w:val="auto"/>
          <w:spacing w:val="-3"/>
          <w:sz w:val="24"/>
        </w:rPr>
        <w:t xml:space="preserve">17.2.2  </w:t>
      </w:r>
      <w:r>
        <w:rPr>
          <w:rFonts w:ascii="宋体" w:hAnsi="宋体" w:cs="宋体"/>
          <w:color w:val="auto"/>
          <w:spacing w:val="-3"/>
          <w:sz w:val="24"/>
        </w:rPr>
        <w:t>预付款的使用</w:t>
      </w:r>
    </w:p>
    <w:p w14:paraId="5488A7E1">
      <w:pPr>
        <w:spacing w:before="116" w:line="307" w:lineRule="auto"/>
        <w:ind w:left="6" w:right="147" w:firstLine="479"/>
        <w:rPr>
          <w:rFonts w:ascii="宋体" w:hAnsi="宋体" w:cs="宋体"/>
          <w:color w:val="auto"/>
          <w:sz w:val="24"/>
        </w:rPr>
      </w:pPr>
      <w:r>
        <w:rPr>
          <w:rFonts w:ascii="宋体" w:hAnsi="宋体" w:cs="宋体"/>
          <w:color w:val="auto"/>
          <w:sz w:val="24"/>
        </w:rPr>
        <w:t>发包人向承包人支付的预付款，应按照本合同第</w:t>
      </w:r>
      <w:r>
        <w:rPr>
          <w:rFonts w:eastAsia="Times New Roman"/>
          <w:color w:val="auto"/>
          <w:sz w:val="24"/>
        </w:rPr>
        <w:t>17.2.</w:t>
      </w:r>
      <w:r>
        <w:rPr>
          <w:rFonts w:eastAsia="Times New Roman"/>
          <w:color w:val="auto"/>
          <w:spacing w:val="-1"/>
          <w:sz w:val="24"/>
        </w:rPr>
        <w:t xml:space="preserve">1 </w:t>
      </w:r>
      <w:r>
        <w:rPr>
          <w:rFonts w:ascii="宋体" w:hAnsi="宋体" w:cs="宋体"/>
          <w:color w:val="auto"/>
          <w:spacing w:val="-1"/>
          <w:sz w:val="24"/>
        </w:rPr>
        <w:t>项约定使用，承包人提交的履约保证金对预付款的正常使用承担保证责任。</w:t>
      </w:r>
    </w:p>
    <w:p w14:paraId="008BB707">
      <w:pPr>
        <w:spacing w:before="1" w:line="219" w:lineRule="auto"/>
        <w:ind w:left="500"/>
        <w:rPr>
          <w:rFonts w:ascii="宋体" w:hAnsi="宋体" w:cs="宋体"/>
          <w:color w:val="auto"/>
          <w:sz w:val="24"/>
        </w:rPr>
      </w:pPr>
      <w:r>
        <w:rPr>
          <w:rFonts w:eastAsia="Times New Roman"/>
          <w:color w:val="auto"/>
          <w:spacing w:val="-2"/>
          <w:sz w:val="24"/>
        </w:rPr>
        <w:t xml:space="preserve">17.2.3  </w:t>
      </w:r>
      <w:r>
        <w:rPr>
          <w:rFonts w:ascii="宋体" w:hAnsi="宋体" w:cs="宋体"/>
          <w:color w:val="auto"/>
          <w:spacing w:val="-2"/>
          <w:sz w:val="24"/>
        </w:rPr>
        <w:t>预付款的扣回与还清</w:t>
      </w:r>
    </w:p>
    <w:p w14:paraId="2505DCA9">
      <w:pPr>
        <w:spacing w:before="117" w:line="285" w:lineRule="auto"/>
        <w:ind w:left="2" w:right="145" w:firstLine="490"/>
        <w:rPr>
          <w:rFonts w:ascii="宋体" w:hAnsi="宋体" w:cs="宋体"/>
          <w:color w:val="auto"/>
          <w:sz w:val="24"/>
        </w:rPr>
      </w:pPr>
      <w:r>
        <w:rPr>
          <w:rFonts w:ascii="宋体" w:hAnsi="宋体" w:cs="宋体"/>
          <w:color w:val="auto"/>
          <w:spacing w:val="3"/>
          <w:sz w:val="24"/>
        </w:rPr>
        <w:t>（</w:t>
      </w:r>
      <w:r>
        <w:rPr>
          <w:rFonts w:eastAsia="Times New Roman"/>
          <w:color w:val="auto"/>
          <w:spacing w:val="3"/>
          <w:sz w:val="24"/>
        </w:rPr>
        <w:t>1</w:t>
      </w:r>
      <w:r>
        <w:rPr>
          <w:rFonts w:ascii="宋体" w:hAnsi="宋体" w:cs="宋体"/>
          <w:color w:val="auto"/>
          <w:spacing w:val="3"/>
          <w:sz w:val="24"/>
        </w:rPr>
        <w:t>）开工预付款在进度付款证书的累计金额未达到签约合同价的</w:t>
      </w:r>
      <w:r>
        <w:rPr>
          <w:rFonts w:eastAsia="Times New Roman"/>
          <w:color w:val="auto"/>
          <w:spacing w:val="2"/>
          <w:sz w:val="24"/>
        </w:rPr>
        <w:t>30%</w:t>
      </w:r>
      <w:r>
        <w:rPr>
          <w:rFonts w:ascii="宋体" w:hAnsi="宋体" w:cs="宋体"/>
          <w:color w:val="auto"/>
          <w:spacing w:val="2"/>
          <w:sz w:val="24"/>
        </w:rPr>
        <w:t>之前不</w:t>
      </w:r>
      <w:r>
        <w:rPr>
          <w:rFonts w:ascii="宋体" w:hAnsi="宋体" w:cs="宋体"/>
          <w:color w:val="auto"/>
          <w:sz w:val="24"/>
        </w:rPr>
        <w:t>予扣回，在达到签约合同价</w:t>
      </w:r>
      <w:r>
        <w:rPr>
          <w:rFonts w:eastAsia="Times New Roman"/>
          <w:color w:val="auto"/>
          <w:sz w:val="24"/>
        </w:rPr>
        <w:t>30%</w:t>
      </w:r>
      <w:r>
        <w:rPr>
          <w:rFonts w:ascii="宋体" w:hAnsi="宋体" w:cs="宋体"/>
          <w:color w:val="auto"/>
          <w:sz w:val="24"/>
        </w:rPr>
        <w:t>之后，开始按工程进度以固定比</w:t>
      </w:r>
      <w:r>
        <w:rPr>
          <w:rFonts w:ascii="宋体" w:hAnsi="宋体" w:cs="宋体"/>
          <w:color w:val="auto"/>
          <w:spacing w:val="-1"/>
          <w:sz w:val="24"/>
        </w:rPr>
        <w:t>例（即每完成签约</w:t>
      </w:r>
      <w:r>
        <w:rPr>
          <w:rFonts w:ascii="宋体" w:hAnsi="宋体" w:cs="宋体"/>
          <w:color w:val="auto"/>
          <w:spacing w:val="4"/>
          <w:sz w:val="24"/>
        </w:rPr>
        <w:t>合同价的</w:t>
      </w:r>
      <w:r>
        <w:rPr>
          <w:rFonts w:eastAsia="Times New Roman"/>
          <w:color w:val="auto"/>
          <w:spacing w:val="4"/>
          <w:sz w:val="24"/>
        </w:rPr>
        <w:t>1%</w:t>
      </w:r>
      <w:r>
        <w:rPr>
          <w:rFonts w:ascii="宋体" w:hAnsi="宋体" w:cs="宋体"/>
          <w:color w:val="auto"/>
          <w:spacing w:val="4"/>
          <w:sz w:val="24"/>
        </w:rPr>
        <w:t>，扣回开工预付款的</w:t>
      </w:r>
      <w:r>
        <w:rPr>
          <w:rFonts w:eastAsia="Times New Roman"/>
          <w:color w:val="auto"/>
          <w:spacing w:val="4"/>
          <w:sz w:val="24"/>
        </w:rPr>
        <w:t>2%</w:t>
      </w:r>
      <w:r>
        <w:rPr>
          <w:rFonts w:ascii="宋体" w:hAnsi="宋体" w:cs="宋体"/>
          <w:color w:val="auto"/>
          <w:spacing w:val="4"/>
          <w:sz w:val="24"/>
        </w:rPr>
        <w:t>）分期从各月的进度付款证书中</w:t>
      </w:r>
      <w:r>
        <w:rPr>
          <w:rFonts w:ascii="宋体" w:hAnsi="宋体" w:cs="宋体"/>
          <w:color w:val="auto"/>
          <w:spacing w:val="3"/>
          <w:sz w:val="24"/>
        </w:rPr>
        <w:t>扣回，全部</w:t>
      </w:r>
      <w:r>
        <w:rPr>
          <w:rFonts w:ascii="宋体" w:hAnsi="宋体" w:cs="宋体"/>
          <w:color w:val="auto"/>
          <w:spacing w:val="-1"/>
          <w:sz w:val="24"/>
        </w:rPr>
        <w:t>金额在进度付款证书的累计金额达到签约合同价的</w:t>
      </w:r>
      <w:r>
        <w:rPr>
          <w:rFonts w:eastAsia="Times New Roman"/>
          <w:color w:val="auto"/>
          <w:spacing w:val="-1"/>
          <w:sz w:val="24"/>
        </w:rPr>
        <w:t>80%</w:t>
      </w:r>
      <w:r>
        <w:rPr>
          <w:rFonts w:ascii="宋体" w:hAnsi="宋体" w:cs="宋体"/>
          <w:color w:val="auto"/>
          <w:spacing w:val="-1"/>
          <w:sz w:val="24"/>
        </w:rPr>
        <w:t>时扣完。</w:t>
      </w:r>
    </w:p>
    <w:p w14:paraId="67B87A23">
      <w:pPr>
        <w:spacing w:before="117" w:line="278" w:lineRule="auto"/>
        <w:ind w:right="145" w:firstLine="493"/>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2</w:t>
      </w:r>
      <w:r>
        <w:rPr>
          <w:rFonts w:ascii="宋体" w:hAnsi="宋体" w:cs="宋体"/>
          <w:color w:val="auto"/>
          <w:spacing w:val="4"/>
          <w:sz w:val="24"/>
        </w:rPr>
        <w:t>）当材料、设备已用于或安装在养护工程之中时，材料、设备预付款</w:t>
      </w:r>
      <w:r>
        <w:rPr>
          <w:rFonts w:ascii="宋体" w:hAnsi="宋体" w:cs="宋体"/>
          <w:color w:val="auto"/>
          <w:spacing w:val="3"/>
          <w:sz w:val="24"/>
        </w:rPr>
        <w:t>应从</w:t>
      </w:r>
      <w:r>
        <w:rPr>
          <w:rFonts w:ascii="宋体" w:hAnsi="宋体" w:cs="宋体"/>
          <w:color w:val="auto"/>
          <w:sz w:val="24"/>
        </w:rPr>
        <w:t>进度付款证书中扣回，扣回期不超过</w:t>
      </w:r>
      <w:r>
        <w:rPr>
          <w:rFonts w:eastAsia="Times New Roman"/>
          <w:color w:val="auto"/>
          <w:sz w:val="24"/>
        </w:rPr>
        <w:t xml:space="preserve">3 </w:t>
      </w:r>
      <w:r>
        <w:rPr>
          <w:rFonts w:ascii="宋体" w:hAnsi="宋体" w:cs="宋体"/>
          <w:color w:val="auto"/>
          <w:sz w:val="24"/>
        </w:rPr>
        <w:t>个月。已经支付材料、设备预付款的材料、</w:t>
      </w:r>
      <w:r>
        <w:rPr>
          <w:rFonts w:ascii="宋体" w:hAnsi="宋体" w:cs="宋体"/>
          <w:color w:val="auto"/>
          <w:spacing w:val="-1"/>
          <w:sz w:val="24"/>
        </w:rPr>
        <w:t>设备的所有权应属于发包人。</w:t>
      </w:r>
    </w:p>
    <w:p w14:paraId="0EB132DD">
      <w:pPr>
        <w:spacing w:before="116" w:line="263" w:lineRule="auto"/>
        <w:ind w:left="29" w:right="145" w:firstLine="464"/>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3</w:t>
      </w:r>
      <w:r>
        <w:rPr>
          <w:rFonts w:ascii="宋体" w:hAnsi="宋体" w:cs="宋体"/>
          <w:color w:val="auto"/>
          <w:spacing w:val="4"/>
          <w:sz w:val="24"/>
        </w:rPr>
        <w:t>）在颁发交工验收证书前，由于不可抗力或其他原因解除合同时，预</w:t>
      </w:r>
      <w:r>
        <w:rPr>
          <w:rFonts w:ascii="宋体" w:hAnsi="宋体" w:cs="宋体"/>
          <w:color w:val="auto"/>
          <w:spacing w:val="3"/>
          <w:sz w:val="24"/>
        </w:rPr>
        <w:t>付款</w:t>
      </w:r>
      <w:r>
        <w:rPr>
          <w:rFonts w:ascii="宋体" w:hAnsi="宋体" w:cs="宋体"/>
          <w:color w:val="auto"/>
          <w:spacing w:val="-1"/>
          <w:sz w:val="24"/>
        </w:rPr>
        <w:t>尚未扣清的，尚未扣清的预付款余额应作为承</w:t>
      </w:r>
      <w:r>
        <w:rPr>
          <w:rFonts w:ascii="宋体" w:hAnsi="宋体" w:cs="宋体"/>
          <w:color w:val="auto"/>
          <w:spacing w:val="-2"/>
          <w:sz w:val="24"/>
        </w:rPr>
        <w:t>包人的到期应付款。</w:t>
      </w:r>
    </w:p>
    <w:p w14:paraId="1A3DEB93">
      <w:pPr>
        <w:spacing w:before="106" w:line="219" w:lineRule="auto"/>
        <w:ind w:left="488"/>
        <w:outlineLvl w:val="3"/>
        <w:rPr>
          <w:rFonts w:ascii="宋体" w:hAnsi="宋体" w:cs="宋体"/>
          <w:color w:val="auto"/>
          <w:sz w:val="24"/>
        </w:rPr>
      </w:pPr>
      <w:r>
        <w:rPr>
          <w:rFonts w:eastAsia="Times New Roman"/>
          <w:b/>
          <w:bCs/>
          <w:color w:val="auto"/>
          <w:spacing w:val="-3"/>
          <w:sz w:val="24"/>
        </w:rPr>
        <w:t xml:space="preserve">17.3  </w:t>
      </w:r>
      <w:r>
        <w:rPr>
          <w:rFonts w:ascii="宋体" w:hAnsi="宋体" w:cs="宋体"/>
          <w:b/>
          <w:bCs/>
          <w:color w:val="auto"/>
          <w:spacing w:val="-3"/>
          <w:sz w:val="24"/>
        </w:rPr>
        <w:t>工程进度付款</w:t>
      </w:r>
    </w:p>
    <w:p w14:paraId="3DB72E37">
      <w:pPr>
        <w:spacing w:before="126" w:line="219" w:lineRule="auto"/>
        <w:ind w:left="500"/>
        <w:rPr>
          <w:rFonts w:ascii="宋体" w:hAnsi="宋体" w:cs="宋体"/>
          <w:color w:val="auto"/>
          <w:sz w:val="24"/>
        </w:rPr>
      </w:pPr>
      <w:r>
        <w:rPr>
          <w:rFonts w:eastAsia="Times New Roman"/>
          <w:color w:val="auto"/>
          <w:spacing w:val="-3"/>
          <w:sz w:val="24"/>
        </w:rPr>
        <w:t xml:space="preserve">17.3.1  </w:t>
      </w:r>
      <w:r>
        <w:rPr>
          <w:rFonts w:ascii="宋体" w:hAnsi="宋体" w:cs="宋体"/>
          <w:color w:val="auto"/>
          <w:spacing w:val="-3"/>
          <w:sz w:val="24"/>
        </w:rPr>
        <w:t>付款周期</w:t>
      </w:r>
    </w:p>
    <w:p w14:paraId="4ED8B9EB">
      <w:pPr>
        <w:spacing w:before="114" w:line="219" w:lineRule="auto"/>
        <w:ind w:left="481"/>
        <w:rPr>
          <w:rFonts w:ascii="宋体" w:hAnsi="宋体" w:cs="宋体"/>
          <w:color w:val="auto"/>
          <w:sz w:val="24"/>
        </w:rPr>
      </w:pPr>
      <w:r>
        <w:rPr>
          <w:rFonts w:ascii="宋体" w:hAnsi="宋体" w:cs="宋体"/>
          <w:color w:val="auto"/>
          <w:spacing w:val="-1"/>
          <w:sz w:val="24"/>
        </w:rPr>
        <w:t>付款周期同计量周期。</w:t>
      </w:r>
    </w:p>
    <w:p w14:paraId="0B301F43">
      <w:pPr>
        <w:spacing w:before="116" w:line="219" w:lineRule="auto"/>
        <w:ind w:left="500"/>
        <w:rPr>
          <w:rFonts w:ascii="宋体" w:hAnsi="宋体" w:cs="宋体"/>
          <w:color w:val="auto"/>
          <w:sz w:val="24"/>
        </w:rPr>
      </w:pPr>
      <w:r>
        <w:rPr>
          <w:rFonts w:eastAsia="Times New Roman"/>
          <w:color w:val="auto"/>
          <w:spacing w:val="-2"/>
          <w:sz w:val="24"/>
        </w:rPr>
        <w:t xml:space="preserve">17.3.2  </w:t>
      </w:r>
      <w:r>
        <w:rPr>
          <w:rFonts w:ascii="宋体" w:hAnsi="宋体" w:cs="宋体"/>
          <w:color w:val="auto"/>
          <w:spacing w:val="-2"/>
          <w:sz w:val="24"/>
        </w:rPr>
        <w:t>进度付款申请单</w:t>
      </w:r>
    </w:p>
    <w:p w14:paraId="0990A01E">
      <w:pPr>
        <w:spacing w:before="114" w:line="308" w:lineRule="auto"/>
        <w:ind w:left="7" w:firstLine="474"/>
        <w:rPr>
          <w:rFonts w:ascii="宋体" w:hAnsi="宋体" w:cs="宋体"/>
          <w:color w:val="auto"/>
          <w:sz w:val="24"/>
        </w:rPr>
      </w:pPr>
      <w:r>
        <w:rPr>
          <w:rFonts w:ascii="宋体" w:hAnsi="宋体" w:cs="宋体"/>
          <w:color w:val="auto"/>
          <w:spacing w:val="-2"/>
          <w:sz w:val="24"/>
        </w:rPr>
        <w:t>承包人应在每个付款周期末，按咨询人批准的格式和专用合同条款约定的份数，</w:t>
      </w:r>
      <w:r>
        <w:rPr>
          <w:rFonts w:ascii="宋体" w:hAnsi="宋体" w:cs="宋体"/>
          <w:color w:val="auto"/>
          <w:spacing w:val="1"/>
          <w:sz w:val="24"/>
        </w:rPr>
        <w:t>向咨询人提交进度付款申请单，并附相应的</w:t>
      </w:r>
      <w:r>
        <w:rPr>
          <w:rFonts w:ascii="宋体" w:hAnsi="宋体" w:cs="宋体"/>
          <w:color w:val="auto"/>
          <w:sz w:val="24"/>
        </w:rPr>
        <w:t>支持性证明文件。除专用合同条款另有</w:t>
      </w:r>
      <w:r>
        <w:rPr>
          <w:rFonts w:ascii="宋体" w:hAnsi="宋体" w:cs="宋体"/>
          <w:color w:val="auto"/>
          <w:spacing w:val="-1"/>
          <w:sz w:val="24"/>
        </w:rPr>
        <w:t>约定外，进度付款申请单应包括下列内容：</w:t>
      </w:r>
    </w:p>
    <w:p w14:paraId="1971711F">
      <w:pPr>
        <w:spacing w:before="1" w:line="217" w:lineRule="auto"/>
        <w:ind w:left="493"/>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1</w:t>
      </w:r>
      <w:r>
        <w:rPr>
          <w:rFonts w:ascii="宋体" w:hAnsi="宋体" w:cs="宋体"/>
          <w:color w:val="auto"/>
          <w:spacing w:val="-1"/>
          <w:sz w:val="24"/>
        </w:rPr>
        <w:t>）截至本次付款周期末已实施养护作业的价款；</w:t>
      </w:r>
    </w:p>
    <w:p w14:paraId="0BD74662">
      <w:pPr>
        <w:spacing w:before="116" w:line="219" w:lineRule="auto"/>
        <w:ind w:left="493"/>
        <w:rPr>
          <w:rFonts w:ascii="宋体" w:hAnsi="宋体" w:cs="宋体"/>
          <w:color w:val="auto"/>
          <w:sz w:val="24"/>
        </w:rPr>
      </w:pPr>
      <w:r>
        <w:rPr>
          <w:rFonts w:ascii="宋体" w:hAnsi="宋体" w:cs="宋体"/>
          <w:color w:val="auto"/>
          <w:spacing w:val="-3"/>
          <w:sz w:val="24"/>
        </w:rPr>
        <w:t>（</w:t>
      </w:r>
      <w:r>
        <w:rPr>
          <w:rFonts w:eastAsia="Times New Roman"/>
          <w:color w:val="auto"/>
          <w:spacing w:val="-3"/>
          <w:sz w:val="24"/>
        </w:rPr>
        <w:t>2</w:t>
      </w:r>
      <w:r>
        <w:rPr>
          <w:rFonts w:ascii="宋体" w:hAnsi="宋体" w:cs="宋体"/>
          <w:color w:val="auto"/>
          <w:spacing w:val="-3"/>
          <w:sz w:val="24"/>
        </w:rPr>
        <w:t>）根据第</w:t>
      </w:r>
      <w:r>
        <w:rPr>
          <w:rFonts w:eastAsia="Times New Roman"/>
          <w:color w:val="auto"/>
          <w:spacing w:val="-3"/>
          <w:sz w:val="24"/>
        </w:rPr>
        <w:t xml:space="preserve">15 </w:t>
      </w:r>
      <w:r>
        <w:rPr>
          <w:rFonts w:ascii="宋体" w:hAnsi="宋体" w:cs="宋体"/>
          <w:color w:val="auto"/>
          <w:spacing w:val="-3"/>
          <w:sz w:val="24"/>
        </w:rPr>
        <w:t>条应增加和扣减的变更金额；</w:t>
      </w:r>
    </w:p>
    <w:p w14:paraId="09A3C0BD">
      <w:pPr>
        <w:spacing w:before="116" w:line="219" w:lineRule="auto"/>
        <w:ind w:left="493"/>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3</w:t>
      </w:r>
      <w:r>
        <w:rPr>
          <w:rFonts w:ascii="宋体" w:hAnsi="宋体" w:cs="宋体"/>
          <w:color w:val="auto"/>
          <w:spacing w:val="-2"/>
          <w:sz w:val="24"/>
        </w:rPr>
        <w:t>）根据第</w:t>
      </w:r>
      <w:r>
        <w:rPr>
          <w:rFonts w:eastAsia="Times New Roman"/>
          <w:color w:val="auto"/>
          <w:spacing w:val="-2"/>
          <w:sz w:val="24"/>
        </w:rPr>
        <w:t xml:space="preserve">23 </w:t>
      </w:r>
      <w:r>
        <w:rPr>
          <w:rFonts w:ascii="宋体" w:hAnsi="宋体" w:cs="宋体"/>
          <w:color w:val="auto"/>
          <w:spacing w:val="-2"/>
          <w:sz w:val="24"/>
        </w:rPr>
        <w:t>条应增加和扣减的索赔金额；</w:t>
      </w:r>
    </w:p>
    <w:p w14:paraId="50C48A20">
      <w:pPr>
        <w:spacing w:before="281" w:line="219" w:lineRule="auto"/>
        <w:ind w:left="492"/>
        <w:rPr>
          <w:rFonts w:ascii="宋体" w:hAnsi="宋体" w:cs="宋体"/>
          <w:color w:val="auto"/>
          <w:sz w:val="24"/>
        </w:rPr>
      </w:pPr>
      <w:bookmarkStart w:id="161" w:name="bookmark223"/>
      <w:bookmarkEnd w:id="161"/>
      <w:r>
        <w:rPr>
          <w:rFonts w:ascii="宋体" w:hAnsi="宋体" w:cs="宋体"/>
          <w:color w:val="auto"/>
          <w:spacing w:val="-2"/>
          <w:sz w:val="24"/>
        </w:rPr>
        <w:t>（</w:t>
      </w:r>
      <w:r>
        <w:rPr>
          <w:rFonts w:eastAsia="Times New Roman"/>
          <w:color w:val="auto"/>
          <w:spacing w:val="-2"/>
          <w:sz w:val="24"/>
        </w:rPr>
        <w:t>4</w:t>
      </w:r>
      <w:r>
        <w:rPr>
          <w:rFonts w:ascii="宋体" w:hAnsi="宋体" w:cs="宋体"/>
          <w:color w:val="auto"/>
          <w:spacing w:val="-2"/>
          <w:sz w:val="24"/>
        </w:rPr>
        <w:t>）根据第</w:t>
      </w:r>
      <w:r>
        <w:rPr>
          <w:rFonts w:eastAsia="Times New Roman"/>
          <w:color w:val="auto"/>
          <w:spacing w:val="-2"/>
          <w:sz w:val="24"/>
        </w:rPr>
        <w:t xml:space="preserve">17.2 </w:t>
      </w:r>
      <w:r>
        <w:rPr>
          <w:rFonts w:ascii="宋体" w:hAnsi="宋体" w:cs="宋体"/>
          <w:color w:val="auto"/>
          <w:spacing w:val="-2"/>
          <w:sz w:val="24"/>
        </w:rPr>
        <w:t>款约定应支付的预付款和扣减的返还预付款；</w:t>
      </w:r>
    </w:p>
    <w:p w14:paraId="71CA0C24">
      <w:pPr>
        <w:spacing w:before="116" w:line="219" w:lineRule="auto"/>
        <w:ind w:left="492"/>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5</w:t>
      </w:r>
      <w:r>
        <w:rPr>
          <w:rFonts w:ascii="宋体" w:hAnsi="宋体" w:cs="宋体"/>
          <w:color w:val="auto"/>
          <w:spacing w:val="-2"/>
          <w:sz w:val="24"/>
        </w:rPr>
        <w:t>）根据合同应增加和扣减的其他金额。</w:t>
      </w:r>
    </w:p>
    <w:p w14:paraId="3D53DE3C">
      <w:pPr>
        <w:spacing w:before="112" w:line="219" w:lineRule="auto"/>
        <w:ind w:left="499"/>
        <w:rPr>
          <w:rFonts w:ascii="宋体" w:hAnsi="宋体" w:cs="宋体"/>
          <w:color w:val="auto"/>
          <w:sz w:val="24"/>
        </w:rPr>
      </w:pPr>
      <w:r>
        <w:rPr>
          <w:rFonts w:eastAsia="Times New Roman"/>
          <w:color w:val="auto"/>
          <w:spacing w:val="-2"/>
          <w:sz w:val="24"/>
        </w:rPr>
        <w:t xml:space="preserve">17.3.3  </w:t>
      </w:r>
      <w:r>
        <w:rPr>
          <w:rFonts w:ascii="宋体" w:hAnsi="宋体" w:cs="宋体"/>
          <w:color w:val="auto"/>
          <w:spacing w:val="-2"/>
          <w:sz w:val="24"/>
        </w:rPr>
        <w:t>进度付款证书和支付时间</w:t>
      </w:r>
    </w:p>
    <w:p w14:paraId="53833C1C">
      <w:pPr>
        <w:spacing w:before="114" w:line="286" w:lineRule="auto"/>
        <w:ind w:left="1" w:right="145" w:firstLine="490"/>
        <w:rPr>
          <w:rFonts w:ascii="宋体" w:hAnsi="宋体" w:cs="宋体"/>
          <w:color w:val="auto"/>
          <w:sz w:val="24"/>
        </w:rPr>
      </w:pPr>
      <w:r>
        <w:rPr>
          <w:rFonts w:ascii="宋体" w:hAnsi="宋体" w:cs="宋体"/>
          <w:color w:val="auto"/>
          <w:spacing w:val="5"/>
          <w:sz w:val="24"/>
        </w:rPr>
        <w:t>（</w:t>
      </w:r>
      <w:r>
        <w:rPr>
          <w:rFonts w:eastAsia="Times New Roman"/>
          <w:color w:val="auto"/>
          <w:spacing w:val="5"/>
          <w:sz w:val="24"/>
        </w:rPr>
        <w:t>1</w:t>
      </w:r>
      <w:r>
        <w:rPr>
          <w:rFonts w:ascii="宋体" w:hAnsi="宋体" w:cs="宋体"/>
          <w:color w:val="auto"/>
          <w:spacing w:val="5"/>
          <w:sz w:val="24"/>
        </w:rPr>
        <w:t>）咨询人在收到承包人进度付款申请单以及相应的支持性证明文件后的</w:t>
      </w:r>
      <w:r>
        <w:rPr>
          <w:rFonts w:eastAsia="Times New Roman"/>
          <w:color w:val="auto"/>
          <w:spacing w:val="5"/>
          <w:sz w:val="24"/>
        </w:rPr>
        <w:t>7</w:t>
      </w:r>
      <w:r>
        <w:rPr>
          <w:rFonts w:ascii="宋体" w:hAnsi="宋体" w:cs="宋体"/>
          <w:color w:val="auto"/>
          <w:spacing w:val="1"/>
          <w:sz w:val="24"/>
        </w:rPr>
        <w:t>天内完成核查，提出发包人到期应支付给承包人的金额</w:t>
      </w:r>
      <w:r>
        <w:rPr>
          <w:rFonts w:ascii="宋体" w:hAnsi="宋体" w:cs="宋体"/>
          <w:color w:val="auto"/>
          <w:sz w:val="24"/>
        </w:rPr>
        <w:t>以及相应的支持性材料，经</w:t>
      </w:r>
      <w:r>
        <w:rPr>
          <w:rFonts w:ascii="宋体" w:hAnsi="宋体" w:cs="宋体"/>
          <w:color w:val="auto"/>
          <w:spacing w:val="1"/>
          <w:sz w:val="24"/>
        </w:rPr>
        <w:t>发包人审查同意后，由咨询人向承包人出具经发包人签</w:t>
      </w:r>
      <w:r>
        <w:rPr>
          <w:rFonts w:ascii="宋体" w:hAnsi="宋体" w:cs="宋体"/>
          <w:color w:val="auto"/>
          <w:sz w:val="24"/>
        </w:rPr>
        <w:t>认的进度付款证书。咨询人</w:t>
      </w:r>
      <w:r>
        <w:rPr>
          <w:rFonts w:ascii="宋体" w:hAnsi="宋体" w:cs="宋体"/>
          <w:color w:val="auto"/>
          <w:spacing w:val="-1"/>
          <w:sz w:val="24"/>
        </w:rPr>
        <w:t>有权扣除承包人未能按照合同要求履行任何工作或义务的相应金额。</w:t>
      </w:r>
    </w:p>
    <w:p w14:paraId="10346ED4">
      <w:pPr>
        <w:spacing w:before="115" w:line="263" w:lineRule="auto"/>
        <w:ind w:left="2" w:right="145" w:firstLine="489"/>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2</w:t>
      </w:r>
      <w:r>
        <w:rPr>
          <w:rFonts w:ascii="宋体" w:hAnsi="宋体" w:cs="宋体"/>
          <w:color w:val="auto"/>
          <w:spacing w:val="4"/>
          <w:sz w:val="24"/>
        </w:rPr>
        <w:t>）发包人应在咨询人收到进度付款申请单且承包人提交了合格的增值</w:t>
      </w:r>
      <w:r>
        <w:rPr>
          <w:rFonts w:ascii="宋体" w:hAnsi="宋体" w:cs="宋体"/>
          <w:color w:val="auto"/>
          <w:spacing w:val="3"/>
          <w:sz w:val="24"/>
        </w:rPr>
        <w:t>税发</w:t>
      </w:r>
      <w:r>
        <w:rPr>
          <w:rFonts w:ascii="宋体" w:hAnsi="宋体" w:cs="宋体"/>
          <w:color w:val="auto"/>
          <w:spacing w:val="-2"/>
          <w:sz w:val="24"/>
        </w:rPr>
        <w:t>票后的</w:t>
      </w:r>
      <w:r>
        <w:rPr>
          <w:rFonts w:eastAsia="Times New Roman"/>
          <w:color w:val="auto"/>
          <w:spacing w:val="-2"/>
          <w:sz w:val="24"/>
        </w:rPr>
        <w:t xml:space="preserve">14 </w:t>
      </w:r>
      <w:r>
        <w:rPr>
          <w:rFonts w:ascii="宋体" w:hAnsi="宋体" w:cs="宋体"/>
          <w:color w:val="auto"/>
          <w:spacing w:val="-2"/>
          <w:sz w:val="24"/>
        </w:rPr>
        <w:t>天内，将进度应付款支付给承包人。</w:t>
      </w:r>
    </w:p>
    <w:p w14:paraId="6152B67C">
      <w:pPr>
        <w:spacing w:before="114" w:line="308" w:lineRule="auto"/>
        <w:ind w:right="145" w:firstLine="483"/>
        <w:rPr>
          <w:rFonts w:ascii="宋体" w:hAnsi="宋体" w:cs="宋体"/>
          <w:color w:val="auto"/>
          <w:sz w:val="24"/>
        </w:rPr>
      </w:pPr>
      <w:r>
        <w:rPr>
          <w:rFonts w:ascii="宋体" w:hAnsi="宋体" w:cs="宋体"/>
          <w:color w:val="auto"/>
          <w:spacing w:val="1"/>
          <w:sz w:val="24"/>
        </w:rPr>
        <w:t>发包人不按期支付的，按专用合同条款数据表中</w:t>
      </w:r>
      <w:r>
        <w:rPr>
          <w:rFonts w:ascii="宋体" w:hAnsi="宋体" w:cs="宋体"/>
          <w:color w:val="auto"/>
          <w:sz w:val="24"/>
        </w:rPr>
        <w:t>约定的利率向承包人支付逾期</w:t>
      </w:r>
      <w:r>
        <w:rPr>
          <w:rFonts w:ascii="宋体" w:hAnsi="宋体" w:cs="宋体"/>
          <w:color w:val="auto"/>
          <w:spacing w:val="1"/>
          <w:sz w:val="24"/>
        </w:rPr>
        <w:t>付款违约金。违约金计算基数为发包人的全部未付款额，</w:t>
      </w:r>
      <w:r>
        <w:rPr>
          <w:rFonts w:ascii="宋体" w:hAnsi="宋体" w:cs="宋体"/>
          <w:color w:val="auto"/>
          <w:sz w:val="24"/>
        </w:rPr>
        <w:t>时间从应付而未付该款额</w:t>
      </w:r>
      <w:r>
        <w:rPr>
          <w:rFonts w:ascii="宋体" w:hAnsi="宋体" w:cs="宋体"/>
          <w:color w:val="auto"/>
          <w:spacing w:val="-9"/>
          <w:sz w:val="24"/>
        </w:rPr>
        <w:t>之日算起（不计复利）。</w:t>
      </w:r>
    </w:p>
    <w:p w14:paraId="3C58374C">
      <w:pPr>
        <w:spacing w:before="1" w:line="307" w:lineRule="auto"/>
        <w:ind w:left="2" w:right="145" w:firstLine="489"/>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3</w:t>
      </w:r>
      <w:r>
        <w:rPr>
          <w:rFonts w:ascii="宋体" w:hAnsi="宋体" w:cs="宋体"/>
          <w:color w:val="auto"/>
          <w:spacing w:val="4"/>
          <w:sz w:val="24"/>
        </w:rPr>
        <w:t>）咨询人出具进度付款证书，不应视为咨询人已同意、批准或接受了</w:t>
      </w:r>
      <w:r>
        <w:rPr>
          <w:rFonts w:ascii="宋体" w:hAnsi="宋体" w:cs="宋体"/>
          <w:color w:val="auto"/>
          <w:spacing w:val="3"/>
          <w:sz w:val="24"/>
        </w:rPr>
        <w:t>承包</w:t>
      </w:r>
      <w:r>
        <w:rPr>
          <w:rFonts w:ascii="宋体" w:hAnsi="宋体" w:cs="宋体"/>
          <w:color w:val="auto"/>
          <w:spacing w:val="-2"/>
          <w:sz w:val="24"/>
        </w:rPr>
        <w:t>人完成的该部分工作。</w:t>
      </w:r>
    </w:p>
    <w:p w14:paraId="6D12FE6E">
      <w:pPr>
        <w:spacing w:before="1" w:line="219" w:lineRule="auto"/>
        <w:ind w:left="499"/>
        <w:rPr>
          <w:rFonts w:ascii="宋体" w:hAnsi="宋体" w:cs="宋体"/>
          <w:color w:val="auto"/>
          <w:sz w:val="24"/>
        </w:rPr>
      </w:pPr>
      <w:r>
        <w:rPr>
          <w:rFonts w:eastAsia="Times New Roman"/>
          <w:color w:val="auto"/>
          <w:spacing w:val="-2"/>
          <w:sz w:val="24"/>
        </w:rPr>
        <w:t xml:space="preserve">17.3.4  </w:t>
      </w:r>
      <w:r>
        <w:rPr>
          <w:rFonts w:ascii="宋体" w:hAnsi="宋体" w:cs="宋体"/>
          <w:color w:val="auto"/>
          <w:spacing w:val="-2"/>
          <w:sz w:val="24"/>
        </w:rPr>
        <w:t>工程进度付款的修正</w:t>
      </w:r>
    </w:p>
    <w:p w14:paraId="04970444">
      <w:pPr>
        <w:spacing w:before="114" w:line="308" w:lineRule="auto"/>
        <w:ind w:left="1" w:right="145" w:firstLine="478"/>
        <w:rPr>
          <w:rFonts w:ascii="宋体" w:hAnsi="宋体" w:cs="宋体"/>
          <w:color w:val="auto"/>
          <w:sz w:val="24"/>
        </w:rPr>
      </w:pPr>
      <w:r>
        <w:rPr>
          <w:rFonts w:ascii="宋体" w:hAnsi="宋体" w:cs="宋体"/>
          <w:color w:val="auto"/>
          <w:spacing w:val="1"/>
          <w:sz w:val="24"/>
        </w:rPr>
        <w:t>在对以往历次已签发的进度付款证书进行汇总和复核中发现</w:t>
      </w:r>
      <w:r>
        <w:rPr>
          <w:rFonts w:ascii="宋体" w:hAnsi="宋体" w:cs="宋体"/>
          <w:color w:val="auto"/>
          <w:sz w:val="24"/>
        </w:rPr>
        <w:t>错、漏或重复的，</w:t>
      </w:r>
      <w:r>
        <w:rPr>
          <w:rFonts w:ascii="宋体" w:hAnsi="宋体" w:cs="宋体"/>
          <w:color w:val="auto"/>
          <w:spacing w:val="1"/>
          <w:sz w:val="24"/>
        </w:rPr>
        <w:t>咨询人有权予以修正，承包人也有权提出修正申请。经</w:t>
      </w:r>
      <w:r>
        <w:rPr>
          <w:rFonts w:ascii="宋体" w:hAnsi="宋体" w:cs="宋体"/>
          <w:color w:val="auto"/>
          <w:sz w:val="24"/>
        </w:rPr>
        <w:t>双方复核同意的修正，应在</w:t>
      </w:r>
      <w:r>
        <w:rPr>
          <w:rFonts w:ascii="宋体" w:hAnsi="宋体" w:cs="宋体"/>
          <w:color w:val="auto"/>
          <w:spacing w:val="-1"/>
          <w:sz w:val="24"/>
        </w:rPr>
        <w:t>本次进度付款中支付或扣除。</w:t>
      </w:r>
    </w:p>
    <w:p w14:paraId="621F4D8E">
      <w:pPr>
        <w:spacing w:before="1" w:line="219" w:lineRule="auto"/>
        <w:ind w:left="499"/>
        <w:rPr>
          <w:rFonts w:ascii="宋体" w:hAnsi="宋体" w:cs="宋体"/>
          <w:color w:val="auto"/>
          <w:sz w:val="24"/>
        </w:rPr>
      </w:pPr>
      <w:r>
        <w:rPr>
          <w:rFonts w:eastAsia="Times New Roman"/>
          <w:color w:val="auto"/>
          <w:spacing w:val="-2"/>
          <w:sz w:val="24"/>
        </w:rPr>
        <w:t xml:space="preserve">17.3.5  </w:t>
      </w:r>
      <w:r>
        <w:rPr>
          <w:rFonts w:ascii="宋体" w:hAnsi="宋体" w:cs="宋体"/>
          <w:color w:val="auto"/>
          <w:spacing w:val="-2"/>
          <w:sz w:val="24"/>
        </w:rPr>
        <w:t>农民工工资支付</w:t>
      </w:r>
    </w:p>
    <w:p w14:paraId="5C9AA7CE">
      <w:pPr>
        <w:spacing w:before="1" w:line="219" w:lineRule="auto"/>
        <w:ind w:left="499"/>
        <w:rPr>
          <w:rFonts w:eastAsia="Times New Roman"/>
          <w:color w:val="auto"/>
          <w:spacing w:val="-2"/>
          <w:sz w:val="24"/>
        </w:rPr>
      </w:pPr>
      <w:r>
        <w:rPr>
          <w:rFonts w:hint="eastAsia" w:eastAsia="Times New Roman"/>
          <w:color w:val="auto"/>
          <w:spacing w:val="-2"/>
          <w:sz w:val="24"/>
        </w:rPr>
        <w:t xml:space="preserve">17.3.5项补充： </w:t>
      </w:r>
    </w:p>
    <w:p w14:paraId="29E1C1C2">
      <w:pPr>
        <w:spacing w:before="1" w:line="360" w:lineRule="auto"/>
        <w:ind w:left="499"/>
        <w:rPr>
          <w:rFonts w:eastAsia="Times New Roman"/>
          <w:color w:val="auto"/>
          <w:spacing w:val="-2"/>
          <w:sz w:val="24"/>
        </w:rPr>
      </w:pPr>
      <w:r>
        <w:rPr>
          <w:rFonts w:hint="eastAsia" w:eastAsia="Times New Roman"/>
          <w:color w:val="auto"/>
          <w:spacing w:val="-2"/>
          <w:sz w:val="24"/>
        </w:rPr>
        <w:t xml:space="preserve">农民工工资保证金 </w:t>
      </w:r>
    </w:p>
    <w:p w14:paraId="116F95D6">
      <w:pPr>
        <w:spacing w:before="1" w:line="360" w:lineRule="auto"/>
        <w:ind w:left="499"/>
        <w:rPr>
          <w:rFonts w:eastAsia="Times New Roman"/>
          <w:color w:val="auto"/>
          <w:spacing w:val="-2"/>
          <w:sz w:val="24"/>
        </w:rPr>
      </w:pPr>
      <w:r>
        <w:rPr>
          <w:rFonts w:hint="eastAsia" w:eastAsia="Times New Roman"/>
          <w:color w:val="auto"/>
          <w:spacing w:val="-2"/>
          <w:sz w:val="24"/>
        </w:rPr>
        <w:t xml:space="preserve">农民工工资保证金的缴存时间：按照农民工工资保证金承诺书执行。 </w:t>
      </w:r>
    </w:p>
    <w:p w14:paraId="497BAA4B">
      <w:pPr>
        <w:spacing w:before="1" w:line="360" w:lineRule="auto"/>
        <w:ind w:left="499"/>
        <w:rPr>
          <w:rFonts w:eastAsia="Times New Roman"/>
          <w:color w:val="auto"/>
          <w:spacing w:val="-2"/>
          <w:sz w:val="24"/>
        </w:rPr>
      </w:pPr>
      <w:r>
        <w:rPr>
          <w:rFonts w:hint="eastAsia" w:eastAsia="Times New Roman"/>
          <w:color w:val="auto"/>
          <w:spacing w:val="-2"/>
          <w:sz w:val="24"/>
        </w:rPr>
        <w:t xml:space="preserve">农民工工资保证金的缴存金额：按《广西壮族自治区人力资源和社会保障厅广西壮族自治区住房和城乡建设厅广西壮族自治区交通运输厅广西壮族自治区水利厅中国银行保险监督管理委员会广西监管局关于印发广西壮族自治区工程建设领域农民工工资保证金规定实施办法的通知》（桂人社规〔2021〕16号）、（桂人社规〔2022〕5号）规定，详见第十三条。 </w:t>
      </w:r>
    </w:p>
    <w:p w14:paraId="124B9017">
      <w:pPr>
        <w:spacing w:before="1" w:line="360" w:lineRule="auto"/>
        <w:ind w:left="499"/>
        <w:rPr>
          <w:rFonts w:eastAsia="Times New Roman"/>
          <w:color w:val="auto"/>
          <w:spacing w:val="-2"/>
          <w:sz w:val="24"/>
        </w:rPr>
      </w:pPr>
      <w:r>
        <w:rPr>
          <w:rFonts w:hint="eastAsia" w:eastAsia="Times New Roman"/>
          <w:color w:val="auto"/>
          <w:spacing w:val="-2"/>
          <w:sz w:val="24"/>
        </w:rPr>
        <w:t xml:space="preserve">农民工工资保证金的扣留条件：按《广西壮族自治区人力资源和社会保障厅广西壮族自治区住房和城乡建设厅广西壮族自治区交通运输厅广西壮族自治区水利厅中国银行保险监督管理委员会广西监管局关于印发广西壮族自治区工程建设领域农民工工资保证金规定实施办法的通知》（桂人社规〔2021〕16号）、（桂人社规〔2022〕5号）规定。 </w:t>
      </w:r>
    </w:p>
    <w:p w14:paraId="04207EE7">
      <w:pPr>
        <w:spacing w:before="1" w:line="360" w:lineRule="auto"/>
        <w:ind w:left="499"/>
        <w:rPr>
          <w:rFonts w:eastAsia="Times New Roman"/>
          <w:color w:val="auto"/>
          <w:spacing w:val="-2"/>
          <w:sz w:val="24"/>
        </w:rPr>
      </w:pPr>
      <w:r>
        <w:rPr>
          <w:rFonts w:hint="eastAsia" w:eastAsia="Times New Roman"/>
          <w:color w:val="auto"/>
          <w:spacing w:val="-2"/>
          <w:sz w:val="24"/>
        </w:rPr>
        <w:t>农民工资保证金的返还时间：按《广西壮族自治区人力资源和社会保障厅广西壮族自治区住房和城乡建设厅广西壮族自治区交通运输厅广西壮族自治区水利厅中国银行保险监督管理委员会广西监管局关于印发广西壮族自治区工程建设领域农民工工资保证金规定实施办法的通知》（桂人社规〔2021〕16号）、（桂人社规〔2022〕5号）规定。</w:t>
      </w:r>
    </w:p>
    <w:p w14:paraId="07FADB90">
      <w:pPr>
        <w:spacing w:before="1" w:line="219" w:lineRule="auto"/>
        <w:ind w:left="499"/>
        <w:rPr>
          <w:rFonts w:eastAsia="Times New Roman"/>
          <w:color w:val="auto"/>
          <w:spacing w:val="-2"/>
          <w:sz w:val="24"/>
        </w:rPr>
      </w:pPr>
    </w:p>
    <w:p w14:paraId="2B7F9EEC">
      <w:pPr>
        <w:spacing w:before="1" w:line="219" w:lineRule="auto"/>
        <w:ind w:left="499"/>
        <w:rPr>
          <w:rFonts w:ascii="宋体" w:hAnsi="宋体" w:cs="宋体"/>
          <w:color w:val="auto"/>
          <w:sz w:val="24"/>
        </w:rPr>
      </w:pPr>
      <w:r>
        <w:rPr>
          <w:rFonts w:eastAsia="Times New Roman"/>
          <w:color w:val="auto"/>
          <w:spacing w:val="-2"/>
          <w:sz w:val="24"/>
        </w:rPr>
        <w:t xml:space="preserve">17.3.6  </w:t>
      </w:r>
      <w:r>
        <w:rPr>
          <w:rFonts w:ascii="宋体" w:hAnsi="宋体" w:cs="宋体"/>
          <w:color w:val="auto"/>
          <w:spacing w:val="-2"/>
          <w:sz w:val="24"/>
        </w:rPr>
        <w:t>安全生产费的支付</w:t>
      </w:r>
    </w:p>
    <w:p w14:paraId="09D79218">
      <w:pPr>
        <w:spacing w:before="115" w:line="304" w:lineRule="auto"/>
        <w:ind w:left="1" w:right="147" w:firstLine="483"/>
        <w:rPr>
          <w:rFonts w:ascii="宋体" w:hAnsi="宋体" w:cs="宋体"/>
          <w:color w:val="auto"/>
          <w:spacing w:val="-1"/>
          <w:sz w:val="24"/>
        </w:rPr>
      </w:pPr>
      <w:r>
        <w:rPr>
          <w:rFonts w:ascii="宋体" w:hAnsi="宋体" w:cs="宋体"/>
          <w:color w:val="auto"/>
          <w:spacing w:val="1"/>
          <w:sz w:val="24"/>
        </w:rPr>
        <w:t>发包人应按照专用合同条款约定的比例和条</w:t>
      </w:r>
      <w:r>
        <w:rPr>
          <w:rFonts w:ascii="宋体" w:hAnsi="宋体" w:cs="宋体"/>
          <w:color w:val="auto"/>
          <w:sz w:val="24"/>
        </w:rPr>
        <w:t>件支付安全生产费。在开工日期后</w:t>
      </w:r>
      <w:r>
        <w:rPr>
          <w:rFonts w:eastAsia="Times New Roman"/>
          <w:color w:val="auto"/>
          <w:spacing w:val="-1"/>
          <w:sz w:val="24"/>
        </w:rPr>
        <w:t xml:space="preserve">30 </w:t>
      </w:r>
      <w:r>
        <w:rPr>
          <w:rFonts w:ascii="宋体" w:hAnsi="宋体" w:cs="宋体"/>
          <w:color w:val="auto"/>
          <w:spacing w:val="-1"/>
          <w:sz w:val="24"/>
        </w:rPr>
        <w:t>天内，发包人向承包人支付的安全生产费不得少于安全生产费总额的</w:t>
      </w:r>
      <w:r>
        <w:rPr>
          <w:rFonts w:eastAsia="Times New Roman"/>
          <w:color w:val="auto"/>
          <w:spacing w:val="-1"/>
          <w:sz w:val="24"/>
        </w:rPr>
        <w:t>50%</w:t>
      </w:r>
      <w:r>
        <w:rPr>
          <w:rFonts w:ascii="宋体" w:hAnsi="宋体" w:cs="宋体"/>
          <w:color w:val="auto"/>
          <w:spacing w:val="-1"/>
          <w:sz w:val="24"/>
        </w:rPr>
        <w:t>。</w:t>
      </w:r>
    </w:p>
    <w:p w14:paraId="627173E1">
      <w:pPr>
        <w:spacing w:before="115" w:line="304" w:lineRule="auto"/>
        <w:ind w:left="1" w:right="147" w:firstLine="483"/>
        <w:rPr>
          <w:rFonts w:ascii="宋体" w:hAnsi="宋体" w:cs="宋体"/>
          <w:color w:val="auto"/>
          <w:sz w:val="24"/>
        </w:rPr>
      </w:pPr>
      <w:r>
        <w:rPr>
          <w:rFonts w:hint="eastAsia" w:ascii="宋体" w:hAnsi="宋体" w:cs="宋体"/>
          <w:color w:val="auto"/>
          <w:spacing w:val="-1"/>
          <w:sz w:val="24"/>
        </w:rPr>
        <w:t>安全生产费支付条件：承包人在发包人指定的银行开户，承包人相关人员已进场，已建安全费用管理制度与使用计划，经咨询人（监理人）审核，发包人批准。</w:t>
      </w:r>
    </w:p>
    <w:p w14:paraId="03E5835C">
      <w:pPr>
        <w:spacing w:line="220" w:lineRule="auto"/>
        <w:ind w:left="487"/>
        <w:outlineLvl w:val="3"/>
        <w:rPr>
          <w:rFonts w:ascii="宋体" w:hAnsi="宋体" w:cs="宋体"/>
          <w:color w:val="auto"/>
          <w:sz w:val="24"/>
        </w:rPr>
      </w:pPr>
      <w:r>
        <w:rPr>
          <w:rFonts w:eastAsia="Times New Roman"/>
          <w:b/>
          <w:bCs/>
          <w:color w:val="auto"/>
          <w:spacing w:val="-3"/>
          <w:sz w:val="24"/>
        </w:rPr>
        <w:t xml:space="preserve">17.4  </w:t>
      </w:r>
      <w:r>
        <w:rPr>
          <w:rFonts w:ascii="宋体" w:hAnsi="宋体" w:cs="宋体"/>
          <w:b/>
          <w:bCs/>
          <w:color w:val="auto"/>
          <w:spacing w:val="-3"/>
          <w:sz w:val="24"/>
        </w:rPr>
        <w:t>质量保证金</w:t>
      </w:r>
    </w:p>
    <w:p w14:paraId="2919EFBE">
      <w:pPr>
        <w:spacing w:before="121" w:line="308" w:lineRule="auto"/>
        <w:ind w:firstLine="498"/>
        <w:rPr>
          <w:rFonts w:ascii="宋体" w:hAnsi="宋体" w:cs="宋体"/>
          <w:color w:val="auto"/>
          <w:sz w:val="24"/>
        </w:rPr>
      </w:pPr>
      <w:r>
        <w:rPr>
          <w:rFonts w:eastAsia="Times New Roman"/>
          <w:color w:val="auto"/>
          <w:spacing w:val="3"/>
          <w:sz w:val="24"/>
        </w:rPr>
        <w:t>17.4.1</w:t>
      </w:r>
      <w:r>
        <w:rPr>
          <w:rFonts w:ascii="宋体" w:hAnsi="宋体" w:cs="宋体"/>
          <w:color w:val="auto"/>
          <w:spacing w:val="3"/>
          <w:sz w:val="24"/>
        </w:rPr>
        <w:t>交工验收证书签发后</w:t>
      </w:r>
      <w:r>
        <w:rPr>
          <w:rFonts w:eastAsia="Times New Roman"/>
          <w:color w:val="auto"/>
          <w:spacing w:val="3"/>
          <w:sz w:val="24"/>
        </w:rPr>
        <w:t>14</w:t>
      </w:r>
      <w:r>
        <w:rPr>
          <w:rFonts w:ascii="宋体" w:hAnsi="宋体" w:cs="宋体"/>
          <w:color w:val="auto"/>
          <w:spacing w:val="3"/>
          <w:sz w:val="24"/>
        </w:rPr>
        <w:t>天内，承包人应向发包人缴纳质量保证</w:t>
      </w:r>
      <w:r>
        <w:rPr>
          <w:rFonts w:ascii="宋体" w:hAnsi="宋体" w:cs="宋体"/>
          <w:color w:val="auto"/>
          <w:spacing w:val="2"/>
          <w:sz w:val="24"/>
        </w:rPr>
        <w:t>金。质</w:t>
      </w:r>
      <w:r>
        <w:rPr>
          <w:rFonts w:ascii="宋体" w:hAnsi="宋体" w:cs="宋体"/>
          <w:color w:val="auto"/>
          <w:spacing w:val="1"/>
          <w:sz w:val="24"/>
        </w:rPr>
        <w:t>量保证金可采用银行保函、现金、担保机构保函、保险公</w:t>
      </w:r>
      <w:r>
        <w:rPr>
          <w:rFonts w:ascii="宋体" w:hAnsi="宋体" w:cs="宋体"/>
          <w:color w:val="auto"/>
          <w:sz w:val="24"/>
        </w:rPr>
        <w:t>司保证保险以及专用合同</w:t>
      </w:r>
      <w:r>
        <w:rPr>
          <w:rFonts w:ascii="宋体" w:hAnsi="宋体" w:cs="宋体"/>
          <w:color w:val="auto"/>
          <w:spacing w:val="-2"/>
          <w:sz w:val="24"/>
        </w:rPr>
        <w:t>条款约定的其他形式，金额应符合专用合同条款数据表的规定。采用非现金形式时，</w:t>
      </w:r>
      <w:r>
        <w:rPr>
          <w:rFonts w:ascii="宋体" w:hAnsi="宋体" w:cs="宋体"/>
          <w:color w:val="auto"/>
          <w:spacing w:val="1"/>
          <w:sz w:val="24"/>
        </w:rPr>
        <w:t>出具担保的机构须具有相应担保能力，且按照发包人批准</w:t>
      </w:r>
      <w:r>
        <w:rPr>
          <w:rFonts w:ascii="宋体" w:hAnsi="宋体" w:cs="宋体"/>
          <w:color w:val="auto"/>
          <w:sz w:val="24"/>
        </w:rPr>
        <w:t>的格式出具，所需费用由</w:t>
      </w:r>
      <w:r>
        <w:rPr>
          <w:rFonts w:ascii="宋体" w:hAnsi="宋体" w:cs="宋体"/>
          <w:color w:val="auto"/>
          <w:spacing w:val="-2"/>
          <w:sz w:val="24"/>
        </w:rPr>
        <w:t>承包人承担。</w:t>
      </w:r>
    </w:p>
    <w:p w14:paraId="78698696">
      <w:pPr>
        <w:spacing w:before="1" w:line="307" w:lineRule="auto"/>
        <w:ind w:left="20" w:right="145" w:firstLine="461"/>
        <w:rPr>
          <w:rFonts w:ascii="宋体" w:hAnsi="宋体" w:cs="宋体"/>
          <w:color w:val="auto"/>
          <w:sz w:val="24"/>
        </w:rPr>
      </w:pPr>
      <w:r>
        <w:rPr>
          <w:rFonts w:ascii="宋体" w:hAnsi="宋体" w:cs="宋体"/>
          <w:color w:val="auto"/>
          <w:spacing w:val="1"/>
          <w:sz w:val="24"/>
        </w:rPr>
        <w:t>质量保证金采用现金形式提交的，发包人应在专用合同</w:t>
      </w:r>
      <w:r>
        <w:rPr>
          <w:rFonts w:ascii="宋体" w:hAnsi="宋体" w:cs="宋体"/>
          <w:color w:val="auto"/>
          <w:sz w:val="24"/>
        </w:rPr>
        <w:t>条款数据表中明确利息</w:t>
      </w:r>
      <w:r>
        <w:rPr>
          <w:rFonts w:ascii="宋体" w:hAnsi="宋体" w:cs="宋体"/>
          <w:color w:val="auto"/>
          <w:spacing w:val="-5"/>
          <w:sz w:val="24"/>
        </w:rPr>
        <w:t>的计算方式。</w:t>
      </w:r>
    </w:p>
    <w:p w14:paraId="62CB4FA1">
      <w:pPr>
        <w:spacing w:line="310" w:lineRule="auto"/>
        <w:ind w:right="145" w:firstLine="499"/>
        <w:rPr>
          <w:rFonts w:ascii="宋体" w:hAnsi="宋体" w:cs="宋体"/>
          <w:color w:val="auto"/>
          <w:sz w:val="24"/>
        </w:rPr>
      </w:pPr>
      <w:r>
        <w:rPr>
          <w:rFonts w:eastAsia="Times New Roman"/>
          <w:color w:val="auto"/>
          <w:spacing w:val="2"/>
          <w:sz w:val="24"/>
        </w:rPr>
        <w:t xml:space="preserve">17.4.2  </w:t>
      </w:r>
      <w:r>
        <w:rPr>
          <w:rFonts w:ascii="宋体" w:hAnsi="宋体" w:cs="宋体"/>
          <w:color w:val="auto"/>
          <w:spacing w:val="2"/>
          <w:sz w:val="24"/>
        </w:rPr>
        <w:t>在第</w:t>
      </w:r>
      <w:r>
        <w:rPr>
          <w:rFonts w:eastAsia="Times New Roman"/>
          <w:color w:val="auto"/>
          <w:spacing w:val="2"/>
          <w:sz w:val="24"/>
        </w:rPr>
        <w:t xml:space="preserve">1.1.4.5  </w:t>
      </w:r>
      <w:r>
        <w:rPr>
          <w:rFonts w:ascii="宋体" w:hAnsi="宋体" w:cs="宋体"/>
          <w:color w:val="auto"/>
          <w:spacing w:val="2"/>
          <w:sz w:val="24"/>
        </w:rPr>
        <w:t>目约定的缺陷责任期满时，承包人向发包人申请到期</w:t>
      </w:r>
      <w:r>
        <w:rPr>
          <w:rFonts w:ascii="宋体" w:hAnsi="宋体" w:cs="宋体"/>
          <w:color w:val="auto"/>
          <w:spacing w:val="1"/>
          <w:sz w:val="24"/>
        </w:rPr>
        <w:t>应返</w:t>
      </w:r>
      <w:r>
        <w:rPr>
          <w:rFonts w:ascii="宋体" w:hAnsi="宋体" w:cs="宋体"/>
          <w:color w:val="auto"/>
          <w:spacing w:val="3"/>
          <w:sz w:val="24"/>
        </w:rPr>
        <w:t>还承包人剩余的质量保证金金额，发包人应在</w:t>
      </w:r>
      <w:r>
        <w:rPr>
          <w:rFonts w:eastAsia="Times New Roman"/>
          <w:color w:val="auto"/>
          <w:spacing w:val="3"/>
          <w:sz w:val="24"/>
        </w:rPr>
        <w:t>14</w:t>
      </w:r>
      <w:r>
        <w:rPr>
          <w:rFonts w:ascii="宋体" w:hAnsi="宋体" w:cs="宋体"/>
          <w:color w:val="auto"/>
          <w:spacing w:val="2"/>
          <w:sz w:val="24"/>
        </w:rPr>
        <w:t>天内会同承包人按照合同约定的</w:t>
      </w:r>
      <w:bookmarkStart w:id="162" w:name="bookmark224"/>
      <w:bookmarkEnd w:id="162"/>
      <w:r>
        <w:rPr>
          <w:rFonts w:ascii="宋体" w:hAnsi="宋体" w:cs="宋体"/>
          <w:color w:val="auto"/>
          <w:sz w:val="24"/>
        </w:rPr>
        <w:t>内容核实承包人是否完成缺陷责任。如无异议，发包人应当在核实后将剩</w:t>
      </w:r>
      <w:r>
        <w:rPr>
          <w:rFonts w:ascii="宋体" w:hAnsi="宋体" w:cs="宋体"/>
          <w:color w:val="auto"/>
          <w:spacing w:val="-1"/>
          <w:sz w:val="24"/>
        </w:rPr>
        <w:t>余保证金</w:t>
      </w:r>
      <w:r>
        <w:rPr>
          <w:rFonts w:ascii="宋体" w:hAnsi="宋体" w:cs="宋体"/>
          <w:color w:val="auto"/>
          <w:spacing w:val="-2"/>
          <w:sz w:val="24"/>
        </w:rPr>
        <w:t>返还承包人。</w:t>
      </w:r>
    </w:p>
    <w:p w14:paraId="29BFCE36">
      <w:pPr>
        <w:spacing w:line="305" w:lineRule="auto"/>
        <w:ind w:firstLine="498"/>
        <w:rPr>
          <w:rFonts w:ascii="宋体" w:hAnsi="宋体" w:cs="宋体"/>
          <w:color w:val="auto"/>
          <w:sz w:val="24"/>
        </w:rPr>
      </w:pPr>
      <w:r>
        <w:rPr>
          <w:rFonts w:eastAsia="Times New Roman"/>
          <w:color w:val="auto"/>
          <w:spacing w:val="-2"/>
          <w:sz w:val="24"/>
        </w:rPr>
        <w:t xml:space="preserve">17.4.3 </w:t>
      </w:r>
      <w:r>
        <w:rPr>
          <w:rFonts w:ascii="宋体" w:hAnsi="宋体" w:cs="宋体"/>
          <w:color w:val="auto"/>
          <w:spacing w:val="-2"/>
          <w:sz w:val="24"/>
        </w:rPr>
        <w:t>在第</w:t>
      </w:r>
      <w:r>
        <w:rPr>
          <w:rFonts w:eastAsia="Times New Roman"/>
          <w:color w:val="auto"/>
          <w:spacing w:val="-2"/>
          <w:sz w:val="24"/>
        </w:rPr>
        <w:t xml:space="preserve">1.1.4.5  </w:t>
      </w:r>
      <w:r>
        <w:rPr>
          <w:rFonts w:ascii="宋体" w:hAnsi="宋体" w:cs="宋体"/>
          <w:color w:val="auto"/>
          <w:spacing w:val="-2"/>
          <w:sz w:val="24"/>
        </w:rPr>
        <w:t>目约定的缺陷责任期满时，承包人没有完成缺陷责任的，发</w:t>
      </w:r>
      <w:r>
        <w:rPr>
          <w:rFonts w:ascii="宋体" w:hAnsi="宋体" w:cs="宋体"/>
          <w:color w:val="auto"/>
          <w:spacing w:val="1"/>
          <w:sz w:val="24"/>
        </w:rPr>
        <w:t>包人有权扣留与未履行责任剩余工作所需金额相应的质量</w:t>
      </w:r>
      <w:r>
        <w:rPr>
          <w:rFonts w:ascii="宋体" w:hAnsi="宋体" w:cs="宋体"/>
          <w:color w:val="auto"/>
          <w:sz w:val="24"/>
        </w:rPr>
        <w:t>保证金余额，并有权根据</w:t>
      </w:r>
      <w:r>
        <w:rPr>
          <w:rFonts w:ascii="宋体" w:hAnsi="宋体" w:cs="宋体"/>
          <w:color w:val="auto"/>
          <w:spacing w:val="-1"/>
          <w:sz w:val="24"/>
        </w:rPr>
        <w:t>第</w:t>
      </w:r>
      <w:r>
        <w:rPr>
          <w:rFonts w:eastAsia="Times New Roman"/>
          <w:color w:val="auto"/>
          <w:spacing w:val="-1"/>
          <w:sz w:val="24"/>
        </w:rPr>
        <w:t xml:space="preserve">19.3 </w:t>
      </w:r>
      <w:r>
        <w:rPr>
          <w:rFonts w:ascii="宋体" w:hAnsi="宋体" w:cs="宋体"/>
          <w:color w:val="auto"/>
          <w:spacing w:val="-1"/>
          <w:sz w:val="24"/>
        </w:rPr>
        <w:t>款约定要求延长缺陷责任期，直至</w:t>
      </w:r>
      <w:r>
        <w:rPr>
          <w:rFonts w:ascii="宋体" w:hAnsi="宋体" w:cs="宋体"/>
          <w:color w:val="auto"/>
          <w:spacing w:val="-2"/>
          <w:sz w:val="24"/>
        </w:rPr>
        <w:t>完成剩余工作为止。</w:t>
      </w:r>
    </w:p>
    <w:p w14:paraId="58BFD311">
      <w:pPr>
        <w:spacing w:line="219" w:lineRule="auto"/>
        <w:ind w:left="486"/>
        <w:outlineLvl w:val="3"/>
        <w:rPr>
          <w:rFonts w:ascii="宋体" w:hAnsi="宋体" w:cs="宋体"/>
          <w:color w:val="auto"/>
          <w:sz w:val="24"/>
        </w:rPr>
      </w:pPr>
      <w:r>
        <w:rPr>
          <w:rFonts w:eastAsia="Times New Roman"/>
          <w:b/>
          <w:bCs/>
          <w:color w:val="auto"/>
          <w:spacing w:val="-5"/>
          <w:sz w:val="24"/>
        </w:rPr>
        <w:t>17.5</w:t>
      </w:r>
      <w:r>
        <w:rPr>
          <w:rFonts w:ascii="宋体" w:hAnsi="宋体" w:cs="宋体"/>
          <w:b/>
          <w:bCs/>
          <w:color w:val="auto"/>
          <w:spacing w:val="-5"/>
          <w:sz w:val="24"/>
        </w:rPr>
        <w:t>交工结算</w:t>
      </w:r>
    </w:p>
    <w:p w14:paraId="7651FE33">
      <w:pPr>
        <w:spacing w:before="125" w:line="219" w:lineRule="auto"/>
        <w:ind w:left="498"/>
        <w:rPr>
          <w:rFonts w:ascii="宋体" w:hAnsi="宋体" w:cs="宋体"/>
          <w:color w:val="auto"/>
          <w:sz w:val="24"/>
        </w:rPr>
      </w:pPr>
      <w:r>
        <w:rPr>
          <w:rFonts w:eastAsia="Times New Roman"/>
          <w:color w:val="auto"/>
          <w:spacing w:val="-4"/>
          <w:sz w:val="24"/>
        </w:rPr>
        <w:t>17.5.1</w:t>
      </w:r>
      <w:r>
        <w:rPr>
          <w:rFonts w:ascii="宋体" w:hAnsi="宋体" w:cs="宋体"/>
          <w:color w:val="auto"/>
          <w:spacing w:val="-4"/>
          <w:sz w:val="24"/>
        </w:rPr>
        <w:t>交工付款申请单</w:t>
      </w:r>
    </w:p>
    <w:p w14:paraId="2AA5189E">
      <w:pPr>
        <w:spacing w:before="116" w:line="285" w:lineRule="auto"/>
        <w:ind w:right="2" w:firstLine="491"/>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1</w:t>
      </w:r>
      <w:r>
        <w:rPr>
          <w:rFonts w:ascii="宋体" w:hAnsi="宋体" w:cs="宋体"/>
          <w:color w:val="auto"/>
          <w:spacing w:val="-1"/>
          <w:sz w:val="24"/>
        </w:rPr>
        <w:t>）承包人完成合同约定的全部养护项目并经咨询人验收合格</w:t>
      </w:r>
      <w:r>
        <w:rPr>
          <w:rFonts w:eastAsia="Times New Roman"/>
          <w:color w:val="auto"/>
          <w:spacing w:val="-1"/>
          <w:sz w:val="24"/>
        </w:rPr>
        <w:t xml:space="preserve">14 </w:t>
      </w:r>
      <w:r>
        <w:rPr>
          <w:rFonts w:ascii="宋体" w:hAnsi="宋体" w:cs="宋体"/>
          <w:color w:val="auto"/>
          <w:spacing w:val="-1"/>
          <w:sz w:val="24"/>
        </w:rPr>
        <w:t>天内，应按</w:t>
      </w:r>
      <w:r>
        <w:rPr>
          <w:rFonts w:ascii="宋体" w:hAnsi="宋体" w:cs="宋体"/>
          <w:color w:val="auto"/>
          <w:spacing w:val="1"/>
          <w:sz w:val="24"/>
        </w:rPr>
        <w:t>专用合同条款数据表约定的份数向咨询人提交交工付</w:t>
      </w:r>
      <w:r>
        <w:rPr>
          <w:rFonts w:ascii="宋体" w:hAnsi="宋体" w:cs="宋体"/>
          <w:color w:val="auto"/>
          <w:sz w:val="24"/>
        </w:rPr>
        <w:t>款申请单，并提供相关证明材</w:t>
      </w:r>
      <w:r>
        <w:rPr>
          <w:rFonts w:ascii="宋体" w:hAnsi="宋体" w:cs="宋体"/>
          <w:color w:val="auto"/>
          <w:spacing w:val="1"/>
          <w:sz w:val="24"/>
        </w:rPr>
        <w:t>料。除专用合同条款另有约定外，交工付款申请单应</w:t>
      </w:r>
      <w:r>
        <w:rPr>
          <w:rFonts w:ascii="宋体" w:hAnsi="宋体" w:cs="宋体"/>
          <w:color w:val="auto"/>
          <w:sz w:val="24"/>
        </w:rPr>
        <w:t>包括下列内容：交工结算合同</w:t>
      </w:r>
      <w:r>
        <w:rPr>
          <w:rFonts w:ascii="宋体" w:hAnsi="宋体" w:cs="宋体"/>
          <w:color w:val="auto"/>
          <w:spacing w:val="-1"/>
          <w:sz w:val="24"/>
        </w:rPr>
        <w:t>总价、发包人已支付承包人的合同价款、应支付的交工付款金额。</w:t>
      </w:r>
    </w:p>
    <w:p w14:paraId="252CD180">
      <w:pPr>
        <w:spacing w:before="115" w:line="279" w:lineRule="auto"/>
        <w:ind w:left="1" w:firstLine="489"/>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2</w:t>
      </w:r>
      <w:r>
        <w:rPr>
          <w:rFonts w:ascii="宋体" w:hAnsi="宋体" w:cs="宋体"/>
          <w:color w:val="auto"/>
          <w:spacing w:val="4"/>
          <w:sz w:val="24"/>
        </w:rPr>
        <w:t>）咨询人对交工付款申请单有异议的，有权要求承包人进行修正和提</w:t>
      </w:r>
      <w:r>
        <w:rPr>
          <w:rFonts w:ascii="宋体" w:hAnsi="宋体" w:cs="宋体"/>
          <w:color w:val="auto"/>
          <w:spacing w:val="3"/>
          <w:sz w:val="24"/>
        </w:rPr>
        <w:t>供补</w:t>
      </w:r>
      <w:r>
        <w:rPr>
          <w:rFonts w:ascii="宋体" w:hAnsi="宋体" w:cs="宋体"/>
          <w:color w:val="auto"/>
          <w:spacing w:val="1"/>
          <w:sz w:val="24"/>
        </w:rPr>
        <w:t>充资料。经咨询人和承包人协商后，由承包人向咨询</w:t>
      </w:r>
      <w:r>
        <w:rPr>
          <w:rFonts w:ascii="宋体" w:hAnsi="宋体" w:cs="宋体"/>
          <w:color w:val="auto"/>
          <w:sz w:val="24"/>
        </w:rPr>
        <w:t>人提交修正后的交工付款申请</w:t>
      </w:r>
      <w:r>
        <w:rPr>
          <w:rFonts w:ascii="宋体" w:hAnsi="宋体" w:cs="宋体"/>
          <w:color w:val="auto"/>
          <w:spacing w:val="-6"/>
          <w:sz w:val="24"/>
        </w:rPr>
        <w:t>单。</w:t>
      </w:r>
    </w:p>
    <w:p w14:paraId="239F7D9E">
      <w:pPr>
        <w:spacing w:before="112" w:line="219" w:lineRule="auto"/>
        <w:ind w:left="498"/>
        <w:rPr>
          <w:rFonts w:ascii="宋体" w:hAnsi="宋体" w:cs="宋体"/>
          <w:color w:val="auto"/>
          <w:sz w:val="24"/>
        </w:rPr>
      </w:pPr>
      <w:r>
        <w:rPr>
          <w:rFonts w:eastAsia="Times New Roman"/>
          <w:color w:val="auto"/>
          <w:spacing w:val="-2"/>
          <w:sz w:val="24"/>
        </w:rPr>
        <w:t xml:space="preserve">17.5.2  </w:t>
      </w:r>
      <w:r>
        <w:rPr>
          <w:rFonts w:ascii="宋体" w:hAnsi="宋体" w:cs="宋体"/>
          <w:color w:val="auto"/>
          <w:spacing w:val="-2"/>
          <w:sz w:val="24"/>
        </w:rPr>
        <w:t>交工付款证书及支付时间</w:t>
      </w:r>
    </w:p>
    <w:p w14:paraId="71CE693C">
      <w:pPr>
        <w:spacing w:before="114" w:line="293" w:lineRule="auto"/>
        <w:ind w:left="1" w:firstLine="489"/>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1</w:t>
      </w:r>
      <w:r>
        <w:rPr>
          <w:rFonts w:ascii="宋体" w:hAnsi="宋体" w:cs="宋体"/>
          <w:color w:val="auto"/>
          <w:spacing w:val="-1"/>
          <w:sz w:val="24"/>
        </w:rPr>
        <w:t>）咨询人在收到承包人提交的交工付款申请单后的</w:t>
      </w:r>
      <w:r>
        <w:rPr>
          <w:rFonts w:eastAsia="Times New Roman"/>
          <w:color w:val="auto"/>
          <w:spacing w:val="-1"/>
          <w:sz w:val="24"/>
        </w:rPr>
        <w:t>14</w:t>
      </w:r>
      <w:r>
        <w:rPr>
          <w:rFonts w:ascii="宋体" w:hAnsi="宋体" w:cs="宋体"/>
          <w:color w:val="auto"/>
          <w:spacing w:val="-1"/>
          <w:sz w:val="24"/>
        </w:rPr>
        <w:t>天内完成核查，提出</w:t>
      </w:r>
      <w:r>
        <w:rPr>
          <w:rFonts w:ascii="宋体" w:hAnsi="宋体" w:cs="宋体"/>
          <w:color w:val="auto"/>
          <w:spacing w:val="1"/>
          <w:sz w:val="24"/>
        </w:rPr>
        <w:t>发包人到期应支付给承包人的价款送发包人审核并抄</w:t>
      </w:r>
      <w:r>
        <w:rPr>
          <w:rFonts w:ascii="宋体" w:hAnsi="宋体" w:cs="宋体"/>
          <w:color w:val="auto"/>
          <w:sz w:val="24"/>
        </w:rPr>
        <w:t>送承包人。发包人应在收到后</w:t>
      </w:r>
      <w:r>
        <w:rPr>
          <w:rFonts w:eastAsia="Times New Roman"/>
          <w:color w:val="auto"/>
          <w:spacing w:val="5"/>
          <w:sz w:val="24"/>
        </w:rPr>
        <w:t>14</w:t>
      </w:r>
      <w:r>
        <w:rPr>
          <w:rFonts w:ascii="宋体" w:hAnsi="宋体" w:cs="宋体"/>
          <w:color w:val="auto"/>
          <w:spacing w:val="5"/>
          <w:sz w:val="24"/>
        </w:rPr>
        <w:t>天内审核完毕，由咨询人向承包人出具经发包人签认的交工付款证书。咨询人</w:t>
      </w:r>
      <w:r>
        <w:rPr>
          <w:rFonts w:ascii="宋体" w:hAnsi="宋体" w:cs="宋体"/>
          <w:color w:val="auto"/>
          <w:spacing w:val="1"/>
          <w:sz w:val="24"/>
        </w:rPr>
        <w:t>未在约定时间内核查，又未提出具体意见的，视</w:t>
      </w:r>
      <w:r>
        <w:rPr>
          <w:rFonts w:ascii="宋体" w:hAnsi="宋体" w:cs="宋体"/>
          <w:color w:val="auto"/>
          <w:sz w:val="24"/>
        </w:rPr>
        <w:t>为承包人提交的交工付款申请单已</w:t>
      </w:r>
      <w:r>
        <w:rPr>
          <w:rFonts w:ascii="宋体" w:hAnsi="宋体" w:cs="宋体"/>
          <w:color w:val="auto"/>
          <w:spacing w:val="1"/>
          <w:sz w:val="24"/>
        </w:rPr>
        <w:t>经咨询人核查同意；发包人未在约定时间内审核又未</w:t>
      </w:r>
      <w:r>
        <w:rPr>
          <w:rFonts w:ascii="宋体" w:hAnsi="宋体" w:cs="宋体"/>
          <w:color w:val="auto"/>
          <w:sz w:val="24"/>
        </w:rPr>
        <w:t>提出具体意见的，咨询人提出</w:t>
      </w:r>
      <w:r>
        <w:rPr>
          <w:rFonts w:ascii="宋体" w:hAnsi="宋体" w:cs="宋体"/>
          <w:color w:val="auto"/>
          <w:spacing w:val="-1"/>
          <w:sz w:val="24"/>
        </w:rPr>
        <w:t>发包人到期应支付给承包人的价款视为已经发包人同意。</w:t>
      </w:r>
    </w:p>
    <w:p w14:paraId="0598B219">
      <w:pPr>
        <w:spacing w:before="117" w:line="278" w:lineRule="auto"/>
        <w:ind w:left="1" w:firstLine="489"/>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2</w:t>
      </w:r>
      <w:r>
        <w:rPr>
          <w:rFonts w:ascii="宋体" w:hAnsi="宋体" w:cs="宋体"/>
          <w:color w:val="auto"/>
          <w:spacing w:val="4"/>
          <w:sz w:val="24"/>
        </w:rPr>
        <w:t>）发包人应在咨询人出具交工付款证书且承包人提交了合格的增值税</w:t>
      </w:r>
      <w:r>
        <w:rPr>
          <w:rFonts w:ascii="宋体" w:hAnsi="宋体" w:cs="宋体"/>
          <w:color w:val="auto"/>
          <w:spacing w:val="3"/>
          <w:sz w:val="24"/>
        </w:rPr>
        <w:t>发票</w:t>
      </w:r>
      <w:r>
        <w:rPr>
          <w:rFonts w:ascii="宋体" w:hAnsi="宋体" w:cs="宋体"/>
          <w:color w:val="auto"/>
          <w:sz w:val="24"/>
        </w:rPr>
        <w:t>后的</w:t>
      </w:r>
      <w:r>
        <w:rPr>
          <w:rFonts w:eastAsia="Times New Roman"/>
          <w:color w:val="auto"/>
          <w:sz w:val="24"/>
        </w:rPr>
        <w:t>14</w:t>
      </w:r>
      <w:r>
        <w:rPr>
          <w:rFonts w:ascii="宋体" w:hAnsi="宋体" w:cs="宋体"/>
          <w:color w:val="auto"/>
          <w:sz w:val="24"/>
        </w:rPr>
        <w:t>天内，将应支付款支付给承包人。发包人不按期支付的，按第</w:t>
      </w:r>
      <w:r>
        <w:rPr>
          <w:rFonts w:eastAsia="Times New Roman"/>
          <w:color w:val="auto"/>
          <w:sz w:val="24"/>
        </w:rPr>
        <w:t>17.3.3</w:t>
      </w:r>
      <w:r>
        <w:rPr>
          <w:rFonts w:ascii="宋体" w:hAnsi="宋体" w:cs="宋体"/>
          <w:color w:val="auto"/>
          <w:sz w:val="24"/>
        </w:rPr>
        <w:t>（</w:t>
      </w:r>
      <w:r>
        <w:rPr>
          <w:rFonts w:eastAsia="Times New Roman"/>
          <w:color w:val="auto"/>
          <w:spacing w:val="-1"/>
          <w:sz w:val="24"/>
        </w:rPr>
        <w:t>2</w:t>
      </w:r>
      <w:r>
        <w:rPr>
          <w:rFonts w:ascii="宋体" w:hAnsi="宋体" w:cs="宋体"/>
          <w:color w:val="auto"/>
          <w:spacing w:val="-1"/>
          <w:sz w:val="24"/>
        </w:rPr>
        <w:t>）目的约定，将逾期付款违约金支付给承包人。</w:t>
      </w:r>
    </w:p>
    <w:p w14:paraId="1B879753">
      <w:pPr>
        <w:spacing w:before="116" w:line="278" w:lineRule="auto"/>
        <w:ind w:left="4" w:firstLine="486"/>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3</w:t>
      </w:r>
      <w:r>
        <w:rPr>
          <w:rFonts w:ascii="宋体" w:hAnsi="宋体" w:cs="宋体"/>
          <w:color w:val="auto"/>
          <w:spacing w:val="4"/>
          <w:sz w:val="24"/>
        </w:rPr>
        <w:t>）承包人对发包人签认的交工付款证书有异议的，发包人可出具交工</w:t>
      </w:r>
      <w:r>
        <w:rPr>
          <w:rFonts w:ascii="宋体" w:hAnsi="宋体" w:cs="宋体"/>
          <w:color w:val="auto"/>
          <w:spacing w:val="3"/>
          <w:sz w:val="24"/>
        </w:rPr>
        <w:t>付款</w:t>
      </w:r>
      <w:r>
        <w:rPr>
          <w:rFonts w:ascii="宋体" w:hAnsi="宋体" w:cs="宋体"/>
          <w:color w:val="auto"/>
          <w:spacing w:val="4"/>
          <w:sz w:val="24"/>
        </w:rPr>
        <w:t>申请单中承包人已同意部分的临时付款证书</w:t>
      </w:r>
      <w:r>
        <w:rPr>
          <w:rFonts w:ascii="宋体" w:hAnsi="宋体" w:cs="宋体"/>
          <w:color w:val="auto"/>
          <w:spacing w:val="3"/>
          <w:sz w:val="24"/>
        </w:rPr>
        <w:t>。存在争议的部分，按第</w:t>
      </w:r>
      <w:r>
        <w:rPr>
          <w:rFonts w:eastAsia="Times New Roman"/>
          <w:color w:val="auto"/>
          <w:spacing w:val="3"/>
          <w:sz w:val="24"/>
        </w:rPr>
        <w:t xml:space="preserve">24 </w:t>
      </w:r>
      <w:r>
        <w:rPr>
          <w:rFonts w:ascii="宋体" w:hAnsi="宋体" w:cs="宋体"/>
          <w:color w:val="auto"/>
          <w:spacing w:val="3"/>
          <w:sz w:val="24"/>
        </w:rPr>
        <w:t>条的约定</w:t>
      </w:r>
      <w:r>
        <w:rPr>
          <w:rFonts w:ascii="宋体" w:hAnsi="宋体" w:cs="宋体"/>
          <w:color w:val="auto"/>
          <w:spacing w:val="-5"/>
          <w:sz w:val="24"/>
        </w:rPr>
        <w:t>办理。</w:t>
      </w:r>
    </w:p>
    <w:p w14:paraId="737A5724">
      <w:pPr>
        <w:spacing w:before="107" w:line="219" w:lineRule="auto"/>
        <w:ind w:left="486"/>
        <w:outlineLvl w:val="3"/>
        <w:rPr>
          <w:rFonts w:ascii="宋体" w:hAnsi="宋体" w:cs="宋体"/>
          <w:color w:val="auto"/>
          <w:sz w:val="24"/>
        </w:rPr>
      </w:pPr>
      <w:r>
        <w:rPr>
          <w:rFonts w:eastAsia="Times New Roman"/>
          <w:b/>
          <w:bCs/>
          <w:color w:val="auto"/>
          <w:spacing w:val="-5"/>
          <w:sz w:val="24"/>
        </w:rPr>
        <w:t>17.6</w:t>
      </w:r>
      <w:r>
        <w:rPr>
          <w:rFonts w:ascii="宋体" w:hAnsi="宋体" w:cs="宋体"/>
          <w:b/>
          <w:bCs/>
          <w:color w:val="auto"/>
          <w:spacing w:val="-5"/>
          <w:sz w:val="24"/>
        </w:rPr>
        <w:t>最终结清</w:t>
      </w:r>
    </w:p>
    <w:p w14:paraId="1123D538">
      <w:pPr>
        <w:spacing w:before="125" w:line="219" w:lineRule="auto"/>
        <w:ind w:left="498"/>
        <w:rPr>
          <w:rFonts w:ascii="宋体" w:hAnsi="宋体" w:cs="宋体"/>
          <w:color w:val="auto"/>
          <w:sz w:val="24"/>
        </w:rPr>
      </w:pPr>
      <w:r>
        <w:rPr>
          <w:rFonts w:eastAsia="Times New Roman"/>
          <w:color w:val="auto"/>
          <w:spacing w:val="-2"/>
          <w:sz w:val="24"/>
        </w:rPr>
        <w:t xml:space="preserve">17.6.1  </w:t>
      </w:r>
      <w:r>
        <w:rPr>
          <w:rFonts w:ascii="宋体" w:hAnsi="宋体" w:cs="宋体"/>
          <w:color w:val="auto"/>
          <w:spacing w:val="-2"/>
          <w:sz w:val="24"/>
        </w:rPr>
        <w:t>最终结清申请单</w:t>
      </w:r>
    </w:p>
    <w:p w14:paraId="4AF21510">
      <w:pPr>
        <w:spacing w:before="112" w:line="279" w:lineRule="auto"/>
        <w:ind w:left="5" w:firstLine="485"/>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1</w:t>
      </w:r>
      <w:r>
        <w:rPr>
          <w:rFonts w:ascii="宋体" w:hAnsi="宋体" w:cs="宋体"/>
          <w:color w:val="auto"/>
          <w:spacing w:val="-1"/>
          <w:sz w:val="24"/>
        </w:rPr>
        <w:t>）缺陷责任期终止证书签发后</w:t>
      </w:r>
      <w:r>
        <w:rPr>
          <w:rFonts w:eastAsia="Times New Roman"/>
          <w:color w:val="auto"/>
          <w:spacing w:val="-1"/>
          <w:sz w:val="24"/>
        </w:rPr>
        <w:t>14</w:t>
      </w:r>
      <w:r>
        <w:rPr>
          <w:rFonts w:ascii="宋体" w:hAnsi="宋体" w:cs="宋体"/>
          <w:color w:val="auto"/>
          <w:spacing w:val="-1"/>
          <w:sz w:val="24"/>
        </w:rPr>
        <w:t>天内，承包人应按专用合同条款数据表约</w:t>
      </w:r>
      <w:r>
        <w:rPr>
          <w:rFonts w:ascii="宋体" w:hAnsi="宋体" w:cs="宋体"/>
          <w:color w:val="auto"/>
          <w:spacing w:val="1"/>
          <w:sz w:val="24"/>
        </w:rPr>
        <w:t>定的份数向咨询人提交最终结清申请单，并</w:t>
      </w:r>
      <w:r>
        <w:rPr>
          <w:rFonts w:ascii="宋体" w:hAnsi="宋体" w:cs="宋体"/>
          <w:color w:val="auto"/>
          <w:sz w:val="24"/>
        </w:rPr>
        <w:t>提供相关证明材料。最终结清申请单中</w:t>
      </w:r>
      <w:r>
        <w:rPr>
          <w:rFonts w:ascii="宋体" w:hAnsi="宋体" w:cs="宋体"/>
          <w:color w:val="auto"/>
          <w:spacing w:val="-1"/>
          <w:sz w:val="24"/>
        </w:rPr>
        <w:t>的总金额应认为是代表了根据合同约定应付给承包人的全部款项的最后结算。</w:t>
      </w:r>
    </w:p>
    <w:p w14:paraId="7C7505A1">
      <w:pPr>
        <w:spacing w:before="115" w:line="263" w:lineRule="auto"/>
        <w:ind w:firstLine="491"/>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2</w:t>
      </w:r>
      <w:r>
        <w:rPr>
          <w:rFonts w:ascii="宋体" w:hAnsi="宋体" w:cs="宋体"/>
          <w:color w:val="auto"/>
          <w:spacing w:val="4"/>
          <w:sz w:val="24"/>
        </w:rPr>
        <w:t>）发包人对最终结清申请单内容有异议的，有权要求承包人进行修正</w:t>
      </w:r>
      <w:r>
        <w:rPr>
          <w:rFonts w:ascii="宋体" w:hAnsi="宋体" w:cs="宋体"/>
          <w:color w:val="auto"/>
          <w:spacing w:val="3"/>
          <w:sz w:val="24"/>
        </w:rPr>
        <w:t>和提</w:t>
      </w:r>
      <w:r>
        <w:rPr>
          <w:rFonts w:ascii="宋体" w:hAnsi="宋体" w:cs="宋体"/>
          <w:color w:val="auto"/>
          <w:spacing w:val="-1"/>
          <w:sz w:val="24"/>
        </w:rPr>
        <w:t>供补充资料，由承包人向咨询人提交修正后的最终结清申请单。</w:t>
      </w:r>
    </w:p>
    <w:p w14:paraId="4A7F526B">
      <w:pPr>
        <w:spacing w:before="280" w:line="219" w:lineRule="auto"/>
        <w:ind w:left="498"/>
        <w:rPr>
          <w:rFonts w:ascii="宋体" w:hAnsi="宋体" w:cs="宋体"/>
          <w:color w:val="auto"/>
          <w:sz w:val="24"/>
        </w:rPr>
      </w:pPr>
      <w:r>
        <w:rPr>
          <w:rFonts w:eastAsia="Times New Roman"/>
          <w:color w:val="auto"/>
          <w:spacing w:val="-2"/>
          <w:sz w:val="24"/>
        </w:rPr>
        <w:t xml:space="preserve">17.6.2  </w:t>
      </w:r>
      <w:r>
        <w:rPr>
          <w:rFonts w:ascii="宋体" w:hAnsi="宋体" w:cs="宋体"/>
          <w:color w:val="auto"/>
          <w:spacing w:val="-2"/>
          <w:sz w:val="24"/>
        </w:rPr>
        <w:t>最终结清证书和支付时间</w:t>
      </w:r>
    </w:p>
    <w:p w14:paraId="5CC7411E">
      <w:pPr>
        <w:spacing w:before="113" w:line="293" w:lineRule="auto"/>
        <w:ind w:firstLine="491"/>
        <w:rPr>
          <w:rFonts w:ascii="宋体" w:hAnsi="宋体" w:cs="宋体"/>
          <w:color w:val="auto"/>
          <w:sz w:val="24"/>
        </w:rPr>
      </w:pPr>
      <w:r>
        <w:rPr>
          <w:rFonts w:ascii="宋体" w:hAnsi="宋体" w:cs="宋体"/>
          <w:color w:val="auto"/>
          <w:sz w:val="24"/>
        </w:rPr>
        <w:t>（</w:t>
      </w:r>
      <w:r>
        <w:rPr>
          <w:rFonts w:eastAsia="Times New Roman"/>
          <w:color w:val="auto"/>
          <w:sz w:val="24"/>
        </w:rPr>
        <w:t>1</w:t>
      </w:r>
      <w:r>
        <w:rPr>
          <w:rFonts w:ascii="宋体" w:hAnsi="宋体" w:cs="宋体"/>
          <w:color w:val="auto"/>
          <w:sz w:val="24"/>
        </w:rPr>
        <w:t>）咨询人收到承包人提交的最终结清申</w:t>
      </w:r>
      <w:r>
        <w:rPr>
          <w:rFonts w:ascii="宋体" w:hAnsi="宋体" w:cs="宋体"/>
          <w:color w:val="auto"/>
          <w:spacing w:val="-1"/>
          <w:sz w:val="24"/>
        </w:rPr>
        <w:t>请单后的</w:t>
      </w:r>
      <w:r>
        <w:rPr>
          <w:rFonts w:eastAsia="Times New Roman"/>
          <w:color w:val="auto"/>
          <w:spacing w:val="-1"/>
          <w:sz w:val="24"/>
        </w:rPr>
        <w:t xml:space="preserve">14 </w:t>
      </w:r>
      <w:r>
        <w:rPr>
          <w:rFonts w:ascii="宋体" w:hAnsi="宋体" w:cs="宋体"/>
          <w:color w:val="auto"/>
          <w:spacing w:val="-1"/>
          <w:sz w:val="24"/>
        </w:rPr>
        <w:t>天内，提出发包人应支</w:t>
      </w:r>
      <w:r>
        <w:rPr>
          <w:rFonts w:ascii="宋体" w:hAnsi="宋体" w:cs="宋体"/>
          <w:color w:val="auto"/>
          <w:spacing w:val="3"/>
          <w:sz w:val="24"/>
        </w:rPr>
        <w:t>付给承包人的价款送发包人审核并抄送承包人。</w:t>
      </w:r>
      <w:r>
        <w:rPr>
          <w:rFonts w:ascii="宋体" w:hAnsi="宋体" w:cs="宋体"/>
          <w:color w:val="auto"/>
          <w:spacing w:val="2"/>
          <w:sz w:val="24"/>
        </w:rPr>
        <w:t>发包人应在收到后</w:t>
      </w:r>
      <w:r>
        <w:rPr>
          <w:rFonts w:eastAsia="Times New Roman"/>
          <w:color w:val="auto"/>
          <w:spacing w:val="2"/>
          <w:sz w:val="24"/>
        </w:rPr>
        <w:t>14</w:t>
      </w:r>
      <w:r>
        <w:rPr>
          <w:rFonts w:ascii="宋体" w:hAnsi="宋体" w:cs="宋体"/>
          <w:color w:val="auto"/>
          <w:spacing w:val="2"/>
          <w:sz w:val="24"/>
        </w:rPr>
        <w:t>天内审核完</w:t>
      </w:r>
      <w:r>
        <w:rPr>
          <w:rFonts w:ascii="宋体" w:hAnsi="宋体" w:cs="宋体"/>
          <w:color w:val="auto"/>
          <w:spacing w:val="1"/>
          <w:sz w:val="24"/>
        </w:rPr>
        <w:t>毕，由咨询人向承包人出具经发包人签认的最终结清证书</w:t>
      </w:r>
      <w:r>
        <w:rPr>
          <w:rFonts w:ascii="宋体" w:hAnsi="宋体" w:cs="宋体"/>
          <w:color w:val="auto"/>
          <w:sz w:val="24"/>
        </w:rPr>
        <w:t>。咨询人未在约定时间内</w:t>
      </w:r>
      <w:r>
        <w:rPr>
          <w:rFonts w:ascii="宋体" w:hAnsi="宋体" w:cs="宋体"/>
          <w:color w:val="auto"/>
          <w:spacing w:val="1"/>
          <w:sz w:val="24"/>
        </w:rPr>
        <w:t>核查，又未提出具体意见的，视为承包人提交的最终结清</w:t>
      </w:r>
      <w:r>
        <w:rPr>
          <w:rFonts w:ascii="宋体" w:hAnsi="宋体" w:cs="宋体"/>
          <w:color w:val="auto"/>
          <w:sz w:val="24"/>
        </w:rPr>
        <w:t>申请单已经咨询人核查同</w:t>
      </w:r>
      <w:r>
        <w:rPr>
          <w:rFonts w:ascii="宋体" w:hAnsi="宋体" w:cs="宋体"/>
          <w:color w:val="auto"/>
          <w:spacing w:val="1"/>
          <w:sz w:val="24"/>
        </w:rPr>
        <w:t>意；发包人未在约定时间内审核又未提出具体意见的，咨</w:t>
      </w:r>
      <w:r>
        <w:rPr>
          <w:rFonts w:ascii="宋体" w:hAnsi="宋体" w:cs="宋体"/>
          <w:color w:val="auto"/>
          <w:sz w:val="24"/>
        </w:rPr>
        <w:t>询人提出应支付给承包人</w:t>
      </w:r>
      <w:r>
        <w:rPr>
          <w:rFonts w:ascii="宋体" w:hAnsi="宋体" w:cs="宋体"/>
          <w:color w:val="auto"/>
          <w:spacing w:val="-1"/>
          <w:sz w:val="24"/>
        </w:rPr>
        <w:t>的价款视为已经发包人同意。</w:t>
      </w:r>
    </w:p>
    <w:p w14:paraId="4303FE10">
      <w:pPr>
        <w:spacing w:before="117" w:line="278" w:lineRule="auto"/>
        <w:ind w:left="1" w:firstLine="489"/>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2</w:t>
      </w:r>
      <w:r>
        <w:rPr>
          <w:rFonts w:ascii="宋体" w:hAnsi="宋体" w:cs="宋体"/>
          <w:color w:val="auto"/>
          <w:spacing w:val="4"/>
          <w:sz w:val="24"/>
        </w:rPr>
        <w:t>）发包人应在咨询人出具最终结清证书且承包人提交了合格的增值税</w:t>
      </w:r>
      <w:r>
        <w:rPr>
          <w:rFonts w:ascii="宋体" w:hAnsi="宋体" w:cs="宋体"/>
          <w:color w:val="auto"/>
          <w:spacing w:val="3"/>
          <w:sz w:val="24"/>
        </w:rPr>
        <w:t>发票</w:t>
      </w:r>
      <w:r>
        <w:rPr>
          <w:rFonts w:ascii="宋体" w:hAnsi="宋体" w:cs="宋体"/>
          <w:color w:val="auto"/>
          <w:spacing w:val="1"/>
          <w:sz w:val="24"/>
        </w:rPr>
        <w:t>后的</w:t>
      </w:r>
      <w:r>
        <w:rPr>
          <w:rFonts w:eastAsia="Times New Roman"/>
          <w:color w:val="auto"/>
          <w:spacing w:val="1"/>
          <w:sz w:val="24"/>
        </w:rPr>
        <w:t>28</w:t>
      </w:r>
      <w:r>
        <w:rPr>
          <w:rFonts w:ascii="宋体" w:hAnsi="宋体" w:cs="宋体"/>
          <w:color w:val="auto"/>
          <w:spacing w:val="1"/>
          <w:sz w:val="24"/>
        </w:rPr>
        <w:t>天内，将应支付款支付给承包人。发包</w:t>
      </w:r>
      <w:r>
        <w:rPr>
          <w:rFonts w:ascii="宋体" w:hAnsi="宋体" w:cs="宋体"/>
          <w:color w:val="auto"/>
          <w:sz w:val="24"/>
        </w:rPr>
        <w:t>人不按期支付的，按第</w:t>
      </w:r>
      <w:r>
        <w:rPr>
          <w:rFonts w:eastAsia="Times New Roman"/>
          <w:color w:val="auto"/>
          <w:sz w:val="24"/>
        </w:rPr>
        <w:t>17.3.3</w:t>
      </w:r>
      <w:r>
        <w:rPr>
          <w:rFonts w:ascii="宋体" w:hAnsi="宋体" w:cs="宋体"/>
          <w:color w:val="auto"/>
          <w:sz w:val="24"/>
        </w:rPr>
        <w:t>（</w:t>
      </w:r>
      <w:r>
        <w:rPr>
          <w:rFonts w:eastAsia="Times New Roman"/>
          <w:color w:val="auto"/>
          <w:sz w:val="24"/>
        </w:rPr>
        <w:t>2</w:t>
      </w:r>
      <w:r>
        <w:rPr>
          <w:rFonts w:ascii="宋体" w:hAnsi="宋体" w:cs="宋体"/>
          <w:color w:val="auto"/>
          <w:sz w:val="24"/>
        </w:rPr>
        <w:t>）</w:t>
      </w:r>
      <w:r>
        <w:rPr>
          <w:rFonts w:ascii="宋体" w:hAnsi="宋体" w:cs="宋体"/>
          <w:color w:val="auto"/>
          <w:spacing w:val="-1"/>
          <w:sz w:val="24"/>
        </w:rPr>
        <w:t>目的约定，将逾期付款违约金支付给承包人。</w:t>
      </w:r>
    </w:p>
    <w:p w14:paraId="2C1CEE35">
      <w:pPr>
        <w:spacing w:before="115" w:line="219" w:lineRule="auto"/>
        <w:ind w:right="35"/>
        <w:jc w:val="center"/>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3</w:t>
      </w:r>
      <w:r>
        <w:rPr>
          <w:rFonts w:ascii="宋体" w:hAnsi="宋体" w:cs="宋体"/>
          <w:color w:val="auto"/>
          <w:spacing w:val="-1"/>
          <w:sz w:val="24"/>
        </w:rPr>
        <w:t>）承包人对发包人签认的最终结清证书有异议的，按第</w:t>
      </w:r>
      <w:r>
        <w:rPr>
          <w:rFonts w:eastAsia="Times New Roman"/>
          <w:color w:val="auto"/>
          <w:spacing w:val="-1"/>
          <w:sz w:val="24"/>
        </w:rPr>
        <w:t xml:space="preserve">24 </w:t>
      </w:r>
      <w:r>
        <w:rPr>
          <w:rFonts w:ascii="宋体" w:hAnsi="宋体" w:cs="宋体"/>
          <w:color w:val="auto"/>
          <w:spacing w:val="-1"/>
          <w:sz w:val="24"/>
        </w:rPr>
        <w:t>条的约定办理。</w:t>
      </w:r>
    </w:p>
    <w:p w14:paraId="20D42EC7">
      <w:pPr>
        <w:spacing w:before="105" w:line="219" w:lineRule="auto"/>
        <w:ind w:left="486"/>
        <w:outlineLvl w:val="3"/>
        <w:rPr>
          <w:rFonts w:ascii="宋体" w:hAnsi="宋体" w:cs="宋体"/>
          <w:color w:val="auto"/>
          <w:sz w:val="24"/>
        </w:rPr>
      </w:pPr>
      <w:r>
        <w:rPr>
          <w:rFonts w:eastAsia="Times New Roman"/>
          <w:b/>
          <w:bCs/>
          <w:color w:val="auto"/>
          <w:spacing w:val="-3"/>
          <w:sz w:val="24"/>
        </w:rPr>
        <w:t xml:space="preserve">17.7  </w:t>
      </w:r>
      <w:r>
        <w:rPr>
          <w:rFonts w:ascii="宋体" w:hAnsi="宋体" w:cs="宋体"/>
          <w:b/>
          <w:bCs/>
          <w:color w:val="auto"/>
          <w:spacing w:val="-3"/>
          <w:sz w:val="24"/>
        </w:rPr>
        <w:t>财政资金申请与支付</w:t>
      </w:r>
    </w:p>
    <w:p w14:paraId="49DAB1BF">
      <w:pPr>
        <w:spacing w:before="124" w:line="309" w:lineRule="auto"/>
        <w:ind w:right="2" w:firstLine="483"/>
        <w:rPr>
          <w:rFonts w:ascii="宋体" w:hAnsi="宋体" w:cs="宋体"/>
          <w:color w:val="auto"/>
          <w:spacing w:val="-2"/>
          <w:sz w:val="24"/>
        </w:rPr>
      </w:pPr>
      <w:r>
        <w:rPr>
          <w:rFonts w:ascii="宋体" w:hAnsi="宋体" w:cs="宋体"/>
          <w:color w:val="auto"/>
          <w:spacing w:val="2"/>
          <w:sz w:val="24"/>
        </w:rPr>
        <w:t>发包人应在专用合同条款中明确养护项目资金</w:t>
      </w:r>
      <w:r>
        <w:rPr>
          <w:rFonts w:ascii="宋体" w:hAnsi="宋体" w:cs="宋体"/>
          <w:color w:val="auto"/>
          <w:spacing w:val="1"/>
          <w:sz w:val="24"/>
        </w:rPr>
        <w:t>来源。第</w:t>
      </w:r>
      <w:r>
        <w:rPr>
          <w:rFonts w:eastAsia="Times New Roman"/>
          <w:color w:val="auto"/>
          <w:spacing w:val="1"/>
          <w:sz w:val="24"/>
        </w:rPr>
        <w:t>17.3</w:t>
      </w:r>
      <w:r>
        <w:rPr>
          <w:rFonts w:ascii="宋体" w:hAnsi="宋体" w:cs="宋体"/>
          <w:color w:val="auto"/>
          <w:spacing w:val="1"/>
          <w:sz w:val="24"/>
        </w:rPr>
        <w:t>款、第</w:t>
      </w:r>
      <w:r>
        <w:rPr>
          <w:rFonts w:eastAsia="Times New Roman"/>
          <w:color w:val="auto"/>
          <w:spacing w:val="1"/>
          <w:sz w:val="24"/>
        </w:rPr>
        <w:t xml:space="preserve">17.5 </w:t>
      </w:r>
      <w:r>
        <w:rPr>
          <w:rFonts w:ascii="宋体" w:hAnsi="宋体" w:cs="宋体"/>
          <w:color w:val="auto"/>
          <w:spacing w:val="1"/>
          <w:sz w:val="24"/>
        </w:rPr>
        <w:t>款和</w:t>
      </w:r>
      <w:r>
        <w:rPr>
          <w:rFonts w:ascii="宋体" w:hAnsi="宋体" w:cs="宋体"/>
          <w:color w:val="auto"/>
          <w:spacing w:val="4"/>
          <w:sz w:val="24"/>
        </w:rPr>
        <w:t>第</w:t>
      </w:r>
      <w:r>
        <w:rPr>
          <w:rFonts w:eastAsia="Times New Roman"/>
          <w:color w:val="auto"/>
          <w:spacing w:val="4"/>
          <w:sz w:val="24"/>
        </w:rPr>
        <w:t>17.6</w:t>
      </w:r>
      <w:r>
        <w:rPr>
          <w:rFonts w:ascii="宋体" w:hAnsi="宋体" w:cs="宋体"/>
          <w:color w:val="auto"/>
          <w:spacing w:val="4"/>
          <w:sz w:val="24"/>
        </w:rPr>
        <w:t>款约定的支付资金来源于财政资金的，应按照国库集中支付等国家相关规</w:t>
      </w:r>
      <w:r>
        <w:rPr>
          <w:rFonts w:ascii="宋体" w:hAnsi="宋体" w:cs="宋体"/>
          <w:color w:val="auto"/>
          <w:spacing w:val="-2"/>
          <w:sz w:val="24"/>
        </w:rPr>
        <w:t>定办理申请与支付。</w:t>
      </w:r>
      <w:bookmarkStart w:id="163" w:name="bookmark42"/>
      <w:bookmarkEnd w:id="163"/>
      <w:bookmarkStart w:id="164" w:name="bookmark41"/>
      <w:bookmarkEnd w:id="164"/>
    </w:p>
    <w:p w14:paraId="161BB7DA">
      <w:pPr>
        <w:spacing w:before="124" w:line="309" w:lineRule="auto"/>
        <w:ind w:right="2" w:firstLine="483"/>
        <w:rPr>
          <w:rFonts w:ascii="宋体" w:hAnsi="宋体" w:cs="宋体"/>
          <w:color w:val="auto"/>
          <w:sz w:val="24"/>
        </w:rPr>
      </w:pPr>
      <w:r>
        <w:rPr>
          <w:rFonts w:eastAsia="Times New Roman"/>
          <w:b/>
          <w:bCs/>
          <w:color w:val="auto"/>
          <w:spacing w:val="-6"/>
          <w:sz w:val="24"/>
        </w:rPr>
        <w:t>18.</w:t>
      </w:r>
      <w:r>
        <w:rPr>
          <w:rFonts w:ascii="宋体" w:hAnsi="宋体" w:cs="宋体"/>
          <w:b/>
          <w:bCs/>
          <w:color w:val="auto"/>
          <w:spacing w:val="-6"/>
          <w:sz w:val="24"/>
        </w:rPr>
        <w:t>工程验收</w:t>
      </w:r>
    </w:p>
    <w:p w14:paraId="0EDAC2DA">
      <w:pPr>
        <w:spacing w:before="260" w:line="219" w:lineRule="auto"/>
        <w:ind w:left="486"/>
        <w:outlineLvl w:val="3"/>
        <w:rPr>
          <w:rFonts w:ascii="宋体" w:hAnsi="宋体" w:cs="宋体"/>
          <w:color w:val="auto"/>
          <w:sz w:val="24"/>
        </w:rPr>
      </w:pPr>
      <w:r>
        <w:rPr>
          <w:rFonts w:eastAsia="Times New Roman"/>
          <w:b/>
          <w:bCs/>
          <w:color w:val="auto"/>
          <w:spacing w:val="-3"/>
          <w:sz w:val="24"/>
        </w:rPr>
        <w:t xml:space="preserve">18.1  </w:t>
      </w:r>
      <w:r>
        <w:rPr>
          <w:rFonts w:ascii="宋体" w:hAnsi="宋体" w:cs="宋体"/>
          <w:b/>
          <w:bCs/>
          <w:color w:val="auto"/>
          <w:spacing w:val="-3"/>
          <w:sz w:val="24"/>
        </w:rPr>
        <w:t>工程验收的含义</w:t>
      </w:r>
    </w:p>
    <w:p w14:paraId="5EDE549D">
      <w:pPr>
        <w:spacing w:before="125" w:line="263" w:lineRule="auto"/>
        <w:ind w:left="1" w:right="2" w:firstLine="496"/>
        <w:rPr>
          <w:rFonts w:ascii="宋体" w:hAnsi="宋体" w:cs="宋体"/>
          <w:color w:val="auto"/>
          <w:sz w:val="24"/>
        </w:rPr>
      </w:pPr>
      <w:r>
        <w:rPr>
          <w:rFonts w:eastAsia="Times New Roman"/>
          <w:color w:val="auto"/>
          <w:sz w:val="24"/>
        </w:rPr>
        <w:t xml:space="preserve">18.1.1  </w:t>
      </w:r>
      <w:r>
        <w:rPr>
          <w:rFonts w:ascii="宋体" w:hAnsi="宋体" w:cs="宋体"/>
          <w:color w:val="auto"/>
          <w:sz w:val="24"/>
        </w:rPr>
        <w:t>工程验收指养护工程全部工作完成后，由专用合同条款约定的验收单位</w:t>
      </w:r>
      <w:r>
        <w:rPr>
          <w:rFonts w:ascii="宋体" w:hAnsi="宋体" w:cs="宋体"/>
          <w:color w:val="auto"/>
          <w:spacing w:val="-1"/>
          <w:sz w:val="24"/>
        </w:rPr>
        <w:t>按合同要求进行的验收，但不包括日常养护的验收。</w:t>
      </w:r>
    </w:p>
    <w:p w14:paraId="2E97DAE8">
      <w:pPr>
        <w:spacing w:before="115" w:line="264" w:lineRule="auto"/>
        <w:ind w:left="11" w:right="2" w:firstLine="487"/>
        <w:rPr>
          <w:rFonts w:ascii="宋体" w:hAnsi="宋体" w:cs="宋体"/>
          <w:color w:val="auto"/>
          <w:sz w:val="24"/>
        </w:rPr>
      </w:pPr>
      <w:r>
        <w:rPr>
          <w:rFonts w:eastAsia="Times New Roman"/>
          <w:color w:val="auto"/>
          <w:sz w:val="24"/>
        </w:rPr>
        <w:t xml:space="preserve">18.1.2  </w:t>
      </w:r>
      <w:r>
        <w:rPr>
          <w:rFonts w:ascii="宋体" w:hAnsi="宋体" w:cs="宋体"/>
          <w:color w:val="auto"/>
          <w:sz w:val="24"/>
        </w:rPr>
        <w:t>养护工程的验收可采用一阶段或两阶段验收。工程验收方式和组织验收</w:t>
      </w:r>
      <w:r>
        <w:rPr>
          <w:rFonts w:ascii="宋体" w:hAnsi="宋体" w:cs="宋体"/>
          <w:color w:val="auto"/>
          <w:spacing w:val="-2"/>
          <w:sz w:val="24"/>
        </w:rPr>
        <w:t>时间在专用合同条款中约定。</w:t>
      </w:r>
    </w:p>
    <w:p w14:paraId="62F44DE0">
      <w:pPr>
        <w:spacing w:before="105" w:line="219" w:lineRule="auto"/>
        <w:ind w:left="486"/>
        <w:outlineLvl w:val="3"/>
        <w:rPr>
          <w:rFonts w:ascii="宋体" w:hAnsi="宋体" w:cs="宋体"/>
          <w:color w:val="auto"/>
          <w:sz w:val="24"/>
        </w:rPr>
      </w:pPr>
      <w:r>
        <w:rPr>
          <w:rFonts w:eastAsia="Times New Roman"/>
          <w:b/>
          <w:bCs/>
          <w:color w:val="auto"/>
          <w:spacing w:val="-3"/>
          <w:sz w:val="24"/>
        </w:rPr>
        <w:t xml:space="preserve">18.2  </w:t>
      </w:r>
      <w:r>
        <w:rPr>
          <w:rFonts w:ascii="宋体" w:hAnsi="宋体" w:cs="宋体"/>
          <w:b/>
          <w:bCs/>
          <w:color w:val="auto"/>
          <w:spacing w:val="-3"/>
          <w:sz w:val="24"/>
        </w:rPr>
        <w:t>验收条件</w:t>
      </w:r>
    </w:p>
    <w:p w14:paraId="5AC8A28F">
      <w:pPr>
        <w:spacing w:before="125" w:line="219" w:lineRule="auto"/>
        <w:ind w:left="495"/>
        <w:rPr>
          <w:rFonts w:ascii="宋体" w:hAnsi="宋体" w:cs="宋体"/>
          <w:color w:val="auto"/>
          <w:sz w:val="24"/>
        </w:rPr>
      </w:pPr>
      <w:r>
        <w:rPr>
          <w:rFonts w:ascii="宋体" w:hAnsi="宋体" w:cs="宋体"/>
          <w:color w:val="auto"/>
          <w:spacing w:val="-1"/>
          <w:sz w:val="24"/>
        </w:rPr>
        <w:t>当养护工程具备以下条件时，应当及时组织工程验</w:t>
      </w:r>
      <w:r>
        <w:rPr>
          <w:rFonts w:ascii="宋体" w:hAnsi="宋体" w:cs="宋体"/>
          <w:color w:val="auto"/>
          <w:spacing w:val="-2"/>
          <w:sz w:val="24"/>
        </w:rPr>
        <w:t>收：</w:t>
      </w:r>
    </w:p>
    <w:p w14:paraId="18EA11BD">
      <w:pPr>
        <w:spacing w:before="116" w:line="219" w:lineRule="auto"/>
        <w:ind w:left="491"/>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1</w:t>
      </w:r>
      <w:r>
        <w:rPr>
          <w:rFonts w:ascii="宋体" w:hAnsi="宋体" w:cs="宋体"/>
          <w:color w:val="auto"/>
          <w:spacing w:val="-2"/>
          <w:sz w:val="24"/>
        </w:rPr>
        <w:t>）完成设计文件和合同约定的各项内容；</w:t>
      </w:r>
    </w:p>
    <w:p w14:paraId="4784C498">
      <w:pPr>
        <w:spacing w:before="114" w:line="219" w:lineRule="auto"/>
        <w:ind w:left="491"/>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2</w:t>
      </w:r>
      <w:r>
        <w:rPr>
          <w:rFonts w:ascii="宋体" w:hAnsi="宋体" w:cs="宋体"/>
          <w:color w:val="auto"/>
          <w:spacing w:val="-1"/>
          <w:sz w:val="24"/>
        </w:rPr>
        <w:t>）完成全部技术档案和养护管理资料整理归档；</w:t>
      </w:r>
    </w:p>
    <w:p w14:paraId="60D58852">
      <w:pPr>
        <w:spacing w:before="116" w:line="219" w:lineRule="auto"/>
        <w:ind w:left="491"/>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3</w:t>
      </w:r>
      <w:r>
        <w:rPr>
          <w:rFonts w:ascii="宋体" w:hAnsi="宋体" w:cs="宋体"/>
          <w:color w:val="auto"/>
          <w:spacing w:val="-1"/>
          <w:sz w:val="24"/>
        </w:rPr>
        <w:t>）承包人按相关标准、规范和规定对养护质量自检合格；</w:t>
      </w:r>
    </w:p>
    <w:p w14:paraId="46785B54">
      <w:pPr>
        <w:spacing w:before="116" w:line="219" w:lineRule="auto"/>
        <w:ind w:left="491"/>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4</w:t>
      </w:r>
      <w:r>
        <w:rPr>
          <w:rFonts w:ascii="宋体" w:hAnsi="宋体" w:cs="宋体"/>
          <w:color w:val="auto"/>
          <w:spacing w:val="-2"/>
          <w:sz w:val="24"/>
        </w:rPr>
        <w:t>）养护质量缺陷问题已整改完毕；</w:t>
      </w:r>
    </w:p>
    <w:p w14:paraId="55EEFF91">
      <w:pPr>
        <w:spacing w:before="113" w:line="218" w:lineRule="auto"/>
        <w:ind w:left="491"/>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5</w:t>
      </w:r>
      <w:r>
        <w:rPr>
          <w:rFonts w:ascii="宋体" w:hAnsi="宋体" w:cs="宋体"/>
          <w:color w:val="auto"/>
          <w:spacing w:val="-1"/>
          <w:sz w:val="24"/>
        </w:rPr>
        <w:t>）参与养护工程的相关单位完成工作总结报告；</w:t>
      </w:r>
    </w:p>
    <w:p w14:paraId="222B9617">
      <w:pPr>
        <w:spacing w:before="118" w:line="219" w:lineRule="auto"/>
        <w:ind w:left="491"/>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6</w:t>
      </w:r>
      <w:r>
        <w:rPr>
          <w:rFonts w:ascii="宋体" w:hAnsi="宋体" w:cs="宋体"/>
          <w:color w:val="auto"/>
          <w:spacing w:val="-1"/>
          <w:sz w:val="24"/>
        </w:rPr>
        <w:t>）开展了监理咨询的，咨询人对工程质量评定为合格；</w:t>
      </w:r>
    </w:p>
    <w:p w14:paraId="5475FEEA">
      <w:pPr>
        <w:spacing w:before="116" w:line="262" w:lineRule="auto"/>
        <w:ind w:left="5" w:firstLine="485"/>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7</w:t>
      </w:r>
      <w:r>
        <w:rPr>
          <w:rFonts w:ascii="宋体" w:hAnsi="宋体" w:cs="宋体"/>
          <w:color w:val="auto"/>
          <w:spacing w:val="4"/>
          <w:sz w:val="24"/>
        </w:rPr>
        <w:t>）按规定需进行专业检测的，检测机构对工程质量鉴定完毕并出具检</w:t>
      </w:r>
      <w:r>
        <w:rPr>
          <w:rFonts w:ascii="宋体" w:hAnsi="宋体" w:cs="宋体"/>
          <w:color w:val="auto"/>
          <w:spacing w:val="3"/>
          <w:sz w:val="24"/>
        </w:rPr>
        <w:t>测报</w:t>
      </w:r>
      <w:r>
        <w:rPr>
          <w:rFonts w:ascii="宋体" w:hAnsi="宋体" w:cs="宋体"/>
          <w:color w:val="auto"/>
          <w:spacing w:val="-8"/>
          <w:sz w:val="24"/>
        </w:rPr>
        <w:t>告；</w:t>
      </w:r>
    </w:p>
    <w:p w14:paraId="00025633">
      <w:pPr>
        <w:spacing w:before="118" w:line="219" w:lineRule="auto"/>
        <w:ind w:left="491"/>
        <w:rPr>
          <w:rFonts w:ascii="宋体" w:hAnsi="宋体" w:cs="宋体"/>
          <w:color w:val="auto"/>
          <w:sz w:val="24"/>
        </w:rPr>
      </w:pPr>
      <w:r>
        <w:rPr>
          <w:rFonts w:ascii="宋体" w:hAnsi="宋体" w:cs="宋体"/>
          <w:color w:val="auto"/>
          <w:spacing w:val="-3"/>
          <w:sz w:val="24"/>
        </w:rPr>
        <w:t>（</w:t>
      </w:r>
      <w:r>
        <w:rPr>
          <w:rFonts w:eastAsia="Times New Roman"/>
          <w:color w:val="auto"/>
          <w:spacing w:val="-3"/>
          <w:sz w:val="24"/>
        </w:rPr>
        <w:t>8</w:t>
      </w:r>
      <w:r>
        <w:rPr>
          <w:rFonts w:ascii="宋体" w:hAnsi="宋体" w:cs="宋体"/>
          <w:color w:val="auto"/>
          <w:spacing w:val="-3"/>
          <w:sz w:val="24"/>
        </w:rPr>
        <w:t>）完成财务决算；</w:t>
      </w:r>
    </w:p>
    <w:p w14:paraId="41413393">
      <w:pPr>
        <w:spacing w:before="116" w:line="219" w:lineRule="auto"/>
        <w:ind w:left="491"/>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9</w:t>
      </w:r>
      <w:r>
        <w:rPr>
          <w:rFonts w:ascii="宋体" w:hAnsi="宋体" w:cs="宋体"/>
          <w:color w:val="auto"/>
          <w:spacing w:val="-2"/>
          <w:sz w:val="24"/>
        </w:rPr>
        <w:t>）法律、法规、规章规定的其他条件。</w:t>
      </w:r>
    </w:p>
    <w:p w14:paraId="2127E517">
      <w:pPr>
        <w:spacing w:before="271" w:line="219" w:lineRule="auto"/>
        <w:ind w:left="488"/>
        <w:outlineLvl w:val="3"/>
        <w:rPr>
          <w:rFonts w:ascii="宋体" w:hAnsi="宋体" w:cs="宋体"/>
          <w:color w:val="auto"/>
          <w:sz w:val="24"/>
        </w:rPr>
      </w:pPr>
      <w:r>
        <w:rPr>
          <w:rFonts w:eastAsia="Times New Roman"/>
          <w:b/>
          <w:bCs/>
          <w:color w:val="auto"/>
          <w:spacing w:val="-3"/>
          <w:sz w:val="24"/>
        </w:rPr>
        <w:t xml:space="preserve">18.3  </w:t>
      </w:r>
      <w:r>
        <w:rPr>
          <w:rFonts w:ascii="宋体" w:hAnsi="宋体" w:cs="宋体"/>
          <w:b/>
          <w:bCs/>
          <w:color w:val="auto"/>
          <w:spacing w:val="-3"/>
          <w:sz w:val="24"/>
        </w:rPr>
        <w:t>验收程序</w:t>
      </w:r>
    </w:p>
    <w:p w14:paraId="20EE4F97">
      <w:pPr>
        <w:spacing w:before="125" w:line="262" w:lineRule="auto"/>
        <w:ind w:left="3" w:right="166" w:firstLine="496"/>
        <w:rPr>
          <w:rFonts w:ascii="宋体" w:hAnsi="宋体" w:cs="宋体"/>
          <w:color w:val="auto"/>
          <w:sz w:val="24"/>
        </w:rPr>
      </w:pPr>
      <w:r>
        <w:rPr>
          <w:rFonts w:eastAsia="Times New Roman"/>
          <w:color w:val="auto"/>
          <w:spacing w:val="4"/>
          <w:sz w:val="24"/>
        </w:rPr>
        <w:t xml:space="preserve">18.3.1  </w:t>
      </w:r>
      <w:r>
        <w:rPr>
          <w:rFonts w:ascii="宋体" w:hAnsi="宋体" w:cs="宋体"/>
          <w:color w:val="auto"/>
          <w:spacing w:val="4"/>
          <w:sz w:val="24"/>
        </w:rPr>
        <w:t>养护工程具备第</w:t>
      </w:r>
      <w:r>
        <w:rPr>
          <w:rFonts w:eastAsia="Times New Roman"/>
          <w:color w:val="auto"/>
          <w:spacing w:val="4"/>
          <w:sz w:val="24"/>
        </w:rPr>
        <w:t xml:space="preserve">18.2 </w:t>
      </w:r>
      <w:r>
        <w:rPr>
          <w:rFonts w:ascii="宋体" w:hAnsi="宋体" w:cs="宋体"/>
          <w:color w:val="auto"/>
          <w:spacing w:val="4"/>
          <w:sz w:val="24"/>
        </w:rPr>
        <w:t>款所述验收</w:t>
      </w:r>
      <w:r>
        <w:rPr>
          <w:rFonts w:ascii="宋体" w:hAnsi="宋体" w:cs="宋体"/>
          <w:color w:val="auto"/>
          <w:spacing w:val="3"/>
          <w:sz w:val="24"/>
        </w:rPr>
        <w:t>条件后，承包人应按照专用合同条款</w:t>
      </w:r>
      <w:r>
        <w:rPr>
          <w:rFonts w:ascii="宋体" w:hAnsi="宋体" w:cs="宋体"/>
          <w:color w:val="auto"/>
          <w:spacing w:val="-1"/>
          <w:sz w:val="24"/>
        </w:rPr>
        <w:t>数据表中约定的期限和份数提供完整的工程验收资料及验收申请报告。</w:t>
      </w:r>
    </w:p>
    <w:p w14:paraId="79364CCB">
      <w:pPr>
        <w:spacing w:before="116" w:line="293" w:lineRule="auto"/>
        <w:ind w:right="164" w:firstLine="500"/>
        <w:rPr>
          <w:rFonts w:ascii="宋体" w:hAnsi="宋体" w:cs="宋体"/>
          <w:color w:val="auto"/>
          <w:sz w:val="24"/>
        </w:rPr>
      </w:pPr>
      <w:r>
        <w:rPr>
          <w:rFonts w:eastAsia="Times New Roman"/>
          <w:color w:val="auto"/>
          <w:sz w:val="24"/>
        </w:rPr>
        <w:t xml:space="preserve">18.3.2  </w:t>
      </w:r>
      <w:r>
        <w:rPr>
          <w:rFonts w:ascii="宋体" w:hAnsi="宋体" w:cs="宋体"/>
          <w:color w:val="auto"/>
          <w:sz w:val="24"/>
        </w:rPr>
        <w:t>咨询人审查后认为尚不具备工程验收条件的，应在收到工程验收申请报</w:t>
      </w:r>
      <w:r>
        <w:rPr>
          <w:rFonts w:ascii="宋体" w:hAnsi="宋体" w:cs="宋体"/>
          <w:color w:val="auto"/>
          <w:spacing w:val="3"/>
          <w:sz w:val="24"/>
        </w:rPr>
        <w:t>告后的</w:t>
      </w:r>
      <w:r>
        <w:rPr>
          <w:rFonts w:eastAsia="Times New Roman"/>
          <w:color w:val="auto"/>
          <w:spacing w:val="3"/>
          <w:sz w:val="24"/>
        </w:rPr>
        <w:t>14</w:t>
      </w:r>
      <w:r>
        <w:rPr>
          <w:rFonts w:ascii="宋体" w:hAnsi="宋体" w:cs="宋体"/>
          <w:color w:val="auto"/>
          <w:spacing w:val="3"/>
          <w:sz w:val="24"/>
        </w:rPr>
        <w:t>天内通知承包人，指出在颁发交工验收证</w:t>
      </w:r>
      <w:r>
        <w:rPr>
          <w:rFonts w:ascii="宋体" w:hAnsi="宋体" w:cs="宋体"/>
          <w:color w:val="auto"/>
          <w:spacing w:val="2"/>
          <w:sz w:val="24"/>
        </w:rPr>
        <w:t>书前承包人还需进行的工作内</w:t>
      </w:r>
      <w:r>
        <w:rPr>
          <w:rFonts w:ascii="宋体" w:hAnsi="宋体" w:cs="宋体"/>
          <w:color w:val="auto"/>
          <w:spacing w:val="1"/>
          <w:sz w:val="24"/>
        </w:rPr>
        <w:t>容。承包人完成咨询人通知的全部工作内容后，应再次提交工</w:t>
      </w:r>
      <w:r>
        <w:rPr>
          <w:rFonts w:ascii="宋体" w:hAnsi="宋体" w:cs="宋体"/>
          <w:color w:val="auto"/>
          <w:sz w:val="24"/>
        </w:rPr>
        <w:t>程验收申请报告，直</w:t>
      </w:r>
      <w:r>
        <w:rPr>
          <w:rFonts w:ascii="宋体" w:hAnsi="宋体" w:cs="宋体"/>
          <w:color w:val="auto"/>
          <w:spacing w:val="3"/>
          <w:sz w:val="24"/>
        </w:rPr>
        <w:t>至咨询人同意为止。咨询人收到工程验收申请报告后</w:t>
      </w:r>
      <w:r>
        <w:rPr>
          <w:rFonts w:eastAsia="Times New Roman"/>
          <w:color w:val="auto"/>
          <w:spacing w:val="2"/>
          <w:sz w:val="24"/>
        </w:rPr>
        <w:t>14</w:t>
      </w:r>
      <w:r>
        <w:rPr>
          <w:rFonts w:ascii="宋体" w:hAnsi="宋体" w:cs="宋体"/>
          <w:color w:val="auto"/>
          <w:spacing w:val="2"/>
          <w:sz w:val="24"/>
        </w:rPr>
        <w:t>天内不予答复的，视为同</w:t>
      </w:r>
      <w:r>
        <w:rPr>
          <w:rFonts w:ascii="宋体" w:hAnsi="宋体" w:cs="宋体"/>
          <w:color w:val="auto"/>
          <w:spacing w:val="3"/>
          <w:sz w:val="24"/>
        </w:rPr>
        <w:t>意承包人的工程验收申请，并应在收到工程验收</w:t>
      </w:r>
      <w:r>
        <w:rPr>
          <w:rFonts w:ascii="宋体" w:hAnsi="宋体" w:cs="宋体"/>
          <w:color w:val="auto"/>
          <w:spacing w:val="2"/>
          <w:sz w:val="24"/>
        </w:rPr>
        <w:t>申请报告后</w:t>
      </w:r>
      <w:r>
        <w:rPr>
          <w:rFonts w:eastAsia="Times New Roman"/>
          <w:color w:val="auto"/>
          <w:spacing w:val="2"/>
          <w:sz w:val="24"/>
        </w:rPr>
        <w:t>14</w:t>
      </w:r>
      <w:r>
        <w:rPr>
          <w:rFonts w:ascii="宋体" w:hAnsi="宋体" w:cs="宋体"/>
          <w:color w:val="auto"/>
          <w:spacing w:val="2"/>
          <w:sz w:val="24"/>
        </w:rPr>
        <w:t>天内提请验收单位</w:t>
      </w:r>
      <w:r>
        <w:rPr>
          <w:rFonts w:ascii="宋体" w:hAnsi="宋体" w:cs="宋体"/>
          <w:color w:val="auto"/>
          <w:spacing w:val="-2"/>
          <w:sz w:val="24"/>
        </w:rPr>
        <w:t>进行工程验收。</w:t>
      </w:r>
    </w:p>
    <w:p w14:paraId="66138D74">
      <w:pPr>
        <w:spacing w:before="115" w:line="264" w:lineRule="auto"/>
        <w:ind w:left="3" w:right="166" w:firstLine="496"/>
        <w:rPr>
          <w:rFonts w:ascii="宋体" w:hAnsi="宋体" w:cs="宋体"/>
          <w:color w:val="auto"/>
          <w:sz w:val="24"/>
        </w:rPr>
      </w:pPr>
      <w:r>
        <w:rPr>
          <w:rFonts w:eastAsia="Times New Roman"/>
          <w:color w:val="auto"/>
          <w:sz w:val="24"/>
        </w:rPr>
        <w:t xml:space="preserve">18.3.3  </w:t>
      </w:r>
      <w:r>
        <w:rPr>
          <w:rFonts w:ascii="宋体" w:hAnsi="宋体" w:cs="宋体"/>
          <w:color w:val="auto"/>
          <w:sz w:val="24"/>
        </w:rPr>
        <w:t>咨询人审查后认为已具备工程验收条件的，应在收到工程验收申请报告</w:t>
      </w:r>
      <w:r>
        <w:rPr>
          <w:rFonts w:ascii="宋体" w:hAnsi="宋体" w:cs="宋体"/>
          <w:color w:val="auto"/>
          <w:spacing w:val="-3"/>
          <w:sz w:val="24"/>
        </w:rPr>
        <w:t>后的</w:t>
      </w:r>
      <w:r>
        <w:rPr>
          <w:rFonts w:eastAsia="Times New Roman"/>
          <w:color w:val="auto"/>
          <w:spacing w:val="-3"/>
          <w:sz w:val="24"/>
        </w:rPr>
        <w:t xml:space="preserve">14 </w:t>
      </w:r>
      <w:r>
        <w:rPr>
          <w:rFonts w:ascii="宋体" w:hAnsi="宋体" w:cs="宋体"/>
          <w:color w:val="auto"/>
          <w:spacing w:val="-3"/>
          <w:sz w:val="24"/>
        </w:rPr>
        <w:t>天内提请验收单位组织验收。</w:t>
      </w:r>
    </w:p>
    <w:p w14:paraId="730FBD2B">
      <w:pPr>
        <w:spacing w:before="115" w:line="285" w:lineRule="auto"/>
        <w:ind w:left="3" w:right="18" w:firstLine="496"/>
        <w:rPr>
          <w:rFonts w:ascii="宋体" w:hAnsi="宋体" w:cs="宋体"/>
          <w:color w:val="auto"/>
          <w:sz w:val="24"/>
        </w:rPr>
      </w:pPr>
      <w:r>
        <w:rPr>
          <w:rFonts w:eastAsia="Times New Roman"/>
          <w:color w:val="auto"/>
          <w:sz w:val="24"/>
        </w:rPr>
        <w:t xml:space="preserve">18.3.4  </w:t>
      </w:r>
      <w:r>
        <w:rPr>
          <w:rFonts w:ascii="宋体" w:hAnsi="宋体" w:cs="宋体"/>
          <w:color w:val="auto"/>
          <w:sz w:val="24"/>
        </w:rPr>
        <w:t>养护工程通过验收的，由咨询人向承包人出具经验收单位签认的交工验</w:t>
      </w:r>
      <w:r>
        <w:rPr>
          <w:rFonts w:ascii="宋体" w:hAnsi="宋体" w:cs="宋体"/>
          <w:color w:val="auto"/>
          <w:spacing w:val="1"/>
          <w:sz w:val="24"/>
        </w:rPr>
        <w:t>收证书。未通过验收的，由承包人承担养护责任，验</w:t>
      </w:r>
      <w:r>
        <w:rPr>
          <w:rFonts w:ascii="宋体" w:hAnsi="宋体" w:cs="宋体"/>
          <w:color w:val="auto"/>
          <w:sz w:val="24"/>
        </w:rPr>
        <w:t>收不合格的，由承包人在限期</w:t>
      </w:r>
      <w:r>
        <w:rPr>
          <w:rFonts w:ascii="宋体" w:hAnsi="宋体" w:cs="宋体"/>
          <w:color w:val="auto"/>
          <w:spacing w:val="-2"/>
          <w:sz w:val="24"/>
        </w:rPr>
        <w:t>内返修，产生的返修费用由承包人承担。返修工作完成后，咨询人复查达到要求的，</w:t>
      </w:r>
      <w:r>
        <w:rPr>
          <w:rFonts w:ascii="宋体" w:hAnsi="宋体" w:cs="宋体"/>
          <w:color w:val="auto"/>
          <w:spacing w:val="-1"/>
          <w:sz w:val="24"/>
        </w:rPr>
        <w:t>经验收单位同意后，再向承包人出具交工验收证书。</w:t>
      </w:r>
    </w:p>
    <w:p w14:paraId="3FCF1C39">
      <w:pPr>
        <w:spacing w:before="117" w:line="263" w:lineRule="auto"/>
        <w:ind w:left="29" w:right="225" w:firstLine="471"/>
        <w:rPr>
          <w:rFonts w:ascii="宋体" w:hAnsi="宋体" w:cs="宋体"/>
          <w:color w:val="auto"/>
          <w:sz w:val="24"/>
        </w:rPr>
      </w:pPr>
      <w:r>
        <w:rPr>
          <w:rFonts w:eastAsia="Times New Roman"/>
          <w:color w:val="auto"/>
          <w:spacing w:val="-1"/>
          <w:sz w:val="24"/>
        </w:rPr>
        <w:t xml:space="preserve">18.3.5  </w:t>
      </w:r>
      <w:r>
        <w:rPr>
          <w:rFonts w:ascii="宋体" w:hAnsi="宋体" w:cs="宋体"/>
          <w:color w:val="auto"/>
          <w:spacing w:val="-1"/>
          <w:sz w:val="24"/>
        </w:rPr>
        <w:t>除专用合同条款另有约定外，经验</w:t>
      </w:r>
      <w:r>
        <w:rPr>
          <w:rFonts w:ascii="宋体" w:hAnsi="宋体" w:cs="宋体"/>
          <w:color w:val="auto"/>
          <w:spacing w:val="-2"/>
          <w:sz w:val="24"/>
        </w:rPr>
        <w:t>收合格工程的实际交（竣）工日期，以最终提交验收申请报告的日期为准，并在验收证书中写明。</w:t>
      </w:r>
    </w:p>
    <w:p w14:paraId="5E478B65">
      <w:pPr>
        <w:spacing w:before="116" w:line="278" w:lineRule="auto"/>
        <w:ind w:right="166" w:firstLine="500"/>
        <w:rPr>
          <w:rFonts w:ascii="宋体" w:hAnsi="宋体" w:cs="宋体"/>
          <w:color w:val="auto"/>
          <w:sz w:val="24"/>
        </w:rPr>
      </w:pPr>
      <w:r>
        <w:rPr>
          <w:rFonts w:eastAsia="Times New Roman"/>
          <w:color w:val="auto"/>
          <w:spacing w:val="3"/>
          <w:sz w:val="24"/>
        </w:rPr>
        <w:t xml:space="preserve">18.3.6 </w:t>
      </w:r>
      <w:r>
        <w:rPr>
          <w:rFonts w:ascii="宋体" w:hAnsi="宋体" w:cs="宋体"/>
          <w:color w:val="auto"/>
          <w:spacing w:val="3"/>
          <w:sz w:val="24"/>
        </w:rPr>
        <w:t>验收单位在收到承包人工程验收申请报告</w:t>
      </w:r>
      <w:r>
        <w:rPr>
          <w:rFonts w:eastAsia="Times New Roman"/>
          <w:color w:val="auto"/>
          <w:spacing w:val="3"/>
          <w:sz w:val="24"/>
        </w:rPr>
        <w:t>7</w:t>
      </w:r>
      <w:r>
        <w:rPr>
          <w:rFonts w:ascii="宋体" w:hAnsi="宋体" w:cs="宋体"/>
          <w:color w:val="auto"/>
          <w:spacing w:val="3"/>
          <w:sz w:val="24"/>
        </w:rPr>
        <w:t>天未进行验</w:t>
      </w:r>
      <w:r>
        <w:rPr>
          <w:rFonts w:ascii="宋体" w:hAnsi="宋体" w:cs="宋体"/>
          <w:color w:val="auto"/>
          <w:spacing w:val="2"/>
          <w:sz w:val="24"/>
        </w:rPr>
        <w:t>收的，或验收后</w:t>
      </w:r>
      <w:r>
        <w:rPr>
          <w:rFonts w:eastAsia="Times New Roman"/>
          <w:color w:val="auto"/>
          <w:spacing w:val="2"/>
          <w:sz w:val="24"/>
        </w:rPr>
        <w:t>7</w:t>
      </w:r>
      <w:r>
        <w:rPr>
          <w:rFonts w:ascii="宋体" w:hAnsi="宋体" w:cs="宋体"/>
          <w:color w:val="auto"/>
          <w:spacing w:val="2"/>
          <w:sz w:val="24"/>
        </w:rPr>
        <w:t>天内不提出修改意见，视为验收合格。实际交（竣）工日期以提交工程</w:t>
      </w:r>
      <w:r>
        <w:rPr>
          <w:rFonts w:ascii="宋体" w:hAnsi="宋体" w:cs="宋体"/>
          <w:color w:val="auto"/>
          <w:spacing w:val="1"/>
          <w:sz w:val="24"/>
        </w:rPr>
        <w:t>验收申请</w:t>
      </w:r>
      <w:r>
        <w:rPr>
          <w:rFonts w:ascii="宋体" w:hAnsi="宋体" w:cs="宋体"/>
          <w:color w:val="auto"/>
          <w:sz w:val="24"/>
        </w:rPr>
        <w:t>报告的日期为准，但验收单位由于不可抗力不</w:t>
      </w:r>
      <w:r>
        <w:rPr>
          <w:rFonts w:ascii="宋体" w:hAnsi="宋体" w:cs="宋体"/>
          <w:color w:val="auto"/>
          <w:spacing w:val="-1"/>
          <w:sz w:val="24"/>
        </w:rPr>
        <w:t>能进行验收的除外。</w:t>
      </w:r>
    </w:p>
    <w:p w14:paraId="759FBAF4">
      <w:pPr>
        <w:spacing w:before="115" w:line="264" w:lineRule="auto"/>
        <w:ind w:left="1" w:right="166" w:firstLine="498"/>
        <w:rPr>
          <w:rFonts w:ascii="宋体" w:hAnsi="宋体" w:cs="宋体"/>
          <w:color w:val="auto"/>
          <w:sz w:val="24"/>
        </w:rPr>
      </w:pPr>
      <w:r>
        <w:rPr>
          <w:rFonts w:eastAsia="Times New Roman"/>
          <w:color w:val="auto"/>
          <w:sz w:val="24"/>
        </w:rPr>
        <w:t xml:space="preserve">18.3.7  </w:t>
      </w:r>
      <w:r>
        <w:rPr>
          <w:rFonts w:ascii="宋体" w:hAnsi="宋体" w:cs="宋体"/>
          <w:color w:val="auto"/>
          <w:sz w:val="24"/>
        </w:rPr>
        <w:t>组织办理工程验收和签发交工验收证书的费用由验收单位承担。但按照</w:t>
      </w:r>
      <w:r>
        <w:rPr>
          <w:rFonts w:ascii="宋体" w:hAnsi="宋体" w:cs="宋体"/>
          <w:color w:val="auto"/>
          <w:spacing w:val="-1"/>
          <w:sz w:val="24"/>
        </w:rPr>
        <w:t>第</w:t>
      </w:r>
      <w:r>
        <w:rPr>
          <w:rFonts w:eastAsia="Times New Roman"/>
          <w:color w:val="auto"/>
          <w:spacing w:val="-1"/>
          <w:sz w:val="24"/>
        </w:rPr>
        <w:t xml:space="preserve">18.3.4 </w:t>
      </w:r>
      <w:r>
        <w:rPr>
          <w:rFonts w:ascii="宋体" w:hAnsi="宋体" w:cs="宋体"/>
          <w:color w:val="auto"/>
          <w:spacing w:val="-1"/>
          <w:sz w:val="24"/>
        </w:rPr>
        <w:t>项约定达不到合格标准的工程验收费用</w:t>
      </w:r>
      <w:r>
        <w:rPr>
          <w:rFonts w:ascii="宋体" w:hAnsi="宋体" w:cs="宋体"/>
          <w:color w:val="auto"/>
          <w:spacing w:val="-2"/>
          <w:sz w:val="24"/>
        </w:rPr>
        <w:t>由承包人承担。</w:t>
      </w:r>
    </w:p>
    <w:p w14:paraId="4D573CFE">
      <w:pPr>
        <w:spacing w:before="106" w:line="219" w:lineRule="auto"/>
        <w:ind w:left="488"/>
        <w:outlineLvl w:val="3"/>
        <w:rPr>
          <w:rFonts w:ascii="宋体" w:hAnsi="宋体" w:cs="宋体"/>
          <w:color w:val="auto"/>
          <w:sz w:val="24"/>
        </w:rPr>
      </w:pPr>
      <w:r>
        <w:rPr>
          <w:rFonts w:eastAsia="Times New Roman"/>
          <w:b/>
          <w:bCs/>
          <w:color w:val="auto"/>
          <w:spacing w:val="-3"/>
          <w:sz w:val="24"/>
        </w:rPr>
        <w:t xml:space="preserve">18.4  </w:t>
      </w:r>
      <w:r>
        <w:rPr>
          <w:rFonts w:ascii="宋体" w:hAnsi="宋体" w:cs="宋体"/>
          <w:b/>
          <w:bCs/>
          <w:color w:val="auto"/>
          <w:spacing w:val="-3"/>
          <w:sz w:val="24"/>
        </w:rPr>
        <w:t>单位养护工程验收</w:t>
      </w:r>
    </w:p>
    <w:p w14:paraId="06EF889A">
      <w:pPr>
        <w:spacing w:before="122" w:line="293" w:lineRule="auto"/>
        <w:ind w:right="164" w:firstLine="500"/>
        <w:rPr>
          <w:rFonts w:ascii="宋体" w:hAnsi="宋体" w:cs="宋体"/>
          <w:color w:val="auto"/>
          <w:sz w:val="24"/>
        </w:rPr>
      </w:pPr>
      <w:r>
        <w:rPr>
          <w:rFonts w:eastAsia="Times New Roman"/>
          <w:color w:val="auto"/>
          <w:sz w:val="24"/>
        </w:rPr>
        <w:t xml:space="preserve">18.4.1  </w:t>
      </w:r>
      <w:r>
        <w:rPr>
          <w:rFonts w:ascii="宋体" w:hAnsi="宋体" w:cs="宋体"/>
          <w:color w:val="auto"/>
          <w:sz w:val="24"/>
        </w:rPr>
        <w:t>发包人根据合同进度计划安排，在全部工程交工前需要使用已经交工的</w:t>
      </w:r>
      <w:r>
        <w:rPr>
          <w:rFonts w:ascii="宋体" w:hAnsi="宋体" w:cs="宋体"/>
          <w:color w:val="auto"/>
          <w:spacing w:val="1"/>
          <w:sz w:val="24"/>
        </w:rPr>
        <w:t>单位养护工程时，或承包人提出经发包人同意时，可进行</w:t>
      </w:r>
      <w:r>
        <w:rPr>
          <w:rFonts w:ascii="宋体" w:hAnsi="宋体" w:cs="宋体"/>
          <w:color w:val="auto"/>
          <w:sz w:val="24"/>
        </w:rPr>
        <w:t>单位养护工程验收。验收</w:t>
      </w:r>
      <w:r>
        <w:rPr>
          <w:rFonts w:ascii="宋体" w:hAnsi="宋体" w:cs="宋体"/>
          <w:color w:val="auto"/>
          <w:spacing w:val="4"/>
          <w:sz w:val="24"/>
        </w:rPr>
        <w:t>的程序可参照第</w:t>
      </w:r>
      <w:r>
        <w:rPr>
          <w:rFonts w:eastAsia="Times New Roman"/>
          <w:color w:val="auto"/>
          <w:spacing w:val="4"/>
          <w:sz w:val="24"/>
        </w:rPr>
        <w:t>18.3</w:t>
      </w:r>
      <w:r>
        <w:rPr>
          <w:rFonts w:ascii="宋体" w:hAnsi="宋体" w:cs="宋体"/>
          <w:color w:val="auto"/>
          <w:spacing w:val="4"/>
          <w:sz w:val="24"/>
        </w:rPr>
        <w:t>款的约定进行。验收合格后，由咨询人向承包人出具经发包</w:t>
      </w:r>
      <w:r>
        <w:rPr>
          <w:rFonts w:ascii="宋体" w:hAnsi="宋体" w:cs="宋体"/>
          <w:color w:val="auto"/>
          <w:spacing w:val="1"/>
          <w:sz w:val="24"/>
        </w:rPr>
        <w:t>人签认的单位养护工程交工验收证书。已签发单位养护工程交</w:t>
      </w:r>
      <w:r>
        <w:rPr>
          <w:rFonts w:ascii="宋体" w:hAnsi="宋体" w:cs="宋体"/>
          <w:color w:val="auto"/>
          <w:sz w:val="24"/>
        </w:rPr>
        <w:t>工验收证书的养护工</w:t>
      </w:r>
      <w:r>
        <w:rPr>
          <w:rFonts w:ascii="宋体" w:hAnsi="宋体" w:cs="宋体"/>
          <w:color w:val="auto"/>
          <w:spacing w:val="1"/>
          <w:sz w:val="24"/>
        </w:rPr>
        <w:t>程由发包人负责照管。单位养护工程的验收成果和结论作</w:t>
      </w:r>
      <w:r>
        <w:rPr>
          <w:rFonts w:ascii="宋体" w:hAnsi="宋体" w:cs="宋体"/>
          <w:color w:val="auto"/>
          <w:sz w:val="24"/>
        </w:rPr>
        <w:t>为全部养护工程验收申请</w:t>
      </w:r>
      <w:r>
        <w:rPr>
          <w:rFonts w:ascii="宋体" w:hAnsi="宋体" w:cs="宋体"/>
          <w:color w:val="auto"/>
          <w:spacing w:val="-2"/>
          <w:sz w:val="24"/>
        </w:rPr>
        <w:t>报告的附件。</w:t>
      </w:r>
    </w:p>
    <w:p w14:paraId="48FAB0A9">
      <w:pPr>
        <w:spacing w:before="115" w:line="264" w:lineRule="auto"/>
        <w:ind w:left="2" w:firstLine="497"/>
        <w:rPr>
          <w:rFonts w:ascii="宋体" w:hAnsi="宋体" w:cs="宋体"/>
          <w:color w:val="auto"/>
          <w:sz w:val="24"/>
        </w:rPr>
      </w:pPr>
      <w:r>
        <w:rPr>
          <w:rFonts w:eastAsia="Times New Roman"/>
          <w:color w:val="auto"/>
          <w:sz w:val="24"/>
        </w:rPr>
        <w:t xml:space="preserve">18.4.2  </w:t>
      </w:r>
      <w:r>
        <w:rPr>
          <w:rFonts w:ascii="宋体" w:hAnsi="宋体" w:cs="宋体"/>
          <w:color w:val="auto"/>
          <w:sz w:val="24"/>
        </w:rPr>
        <w:t>发包人在全部工程交工前，使用已接收的单位养护工程导致承包人费用</w:t>
      </w:r>
      <w:r>
        <w:rPr>
          <w:rFonts w:ascii="宋体" w:hAnsi="宋体" w:cs="宋体"/>
          <w:color w:val="auto"/>
          <w:spacing w:val="-1"/>
          <w:sz w:val="24"/>
        </w:rPr>
        <w:t>增加的，发包人应承担由此增加的费用和（或）工</w:t>
      </w:r>
      <w:r>
        <w:rPr>
          <w:rFonts w:ascii="宋体" w:hAnsi="宋体" w:cs="宋体"/>
          <w:color w:val="auto"/>
          <w:spacing w:val="-2"/>
          <w:sz w:val="24"/>
        </w:rPr>
        <w:t>期延误，并支付承包人合理利润。</w:t>
      </w:r>
    </w:p>
    <w:p w14:paraId="214EF3C1">
      <w:pPr>
        <w:spacing w:before="107" w:line="219" w:lineRule="auto"/>
        <w:ind w:left="488"/>
        <w:outlineLvl w:val="3"/>
        <w:rPr>
          <w:rFonts w:ascii="宋体" w:hAnsi="宋体" w:cs="宋体"/>
          <w:color w:val="auto"/>
          <w:sz w:val="24"/>
        </w:rPr>
      </w:pPr>
      <w:r>
        <w:rPr>
          <w:rFonts w:eastAsia="Times New Roman"/>
          <w:b/>
          <w:bCs/>
          <w:color w:val="auto"/>
          <w:spacing w:val="-3"/>
          <w:sz w:val="24"/>
        </w:rPr>
        <w:t xml:space="preserve">18.5  </w:t>
      </w:r>
      <w:r>
        <w:rPr>
          <w:rFonts w:ascii="宋体" w:hAnsi="宋体" w:cs="宋体"/>
          <w:b/>
          <w:bCs/>
          <w:color w:val="auto"/>
          <w:spacing w:val="-3"/>
          <w:sz w:val="24"/>
        </w:rPr>
        <w:t>交（竣）工清场</w:t>
      </w:r>
    </w:p>
    <w:p w14:paraId="6FA636B9">
      <w:pPr>
        <w:spacing w:before="123" w:line="310" w:lineRule="auto"/>
        <w:ind w:left="2" w:firstLine="497"/>
        <w:rPr>
          <w:rFonts w:ascii="宋体" w:hAnsi="宋体" w:cs="宋体"/>
          <w:color w:val="auto"/>
          <w:sz w:val="24"/>
        </w:rPr>
      </w:pPr>
      <w:r>
        <w:rPr>
          <w:rFonts w:eastAsia="Times New Roman"/>
          <w:color w:val="auto"/>
          <w:spacing w:val="1"/>
          <w:sz w:val="24"/>
        </w:rPr>
        <w:t>18.5.1</w:t>
      </w:r>
      <w:r>
        <w:rPr>
          <w:rFonts w:ascii="宋体" w:hAnsi="宋体" w:cs="宋体"/>
          <w:color w:val="auto"/>
          <w:spacing w:val="1"/>
          <w:sz w:val="24"/>
        </w:rPr>
        <w:t>除合同另有约定外，交工验收证书颁发后，承包人应按以下要求对养护</w:t>
      </w:r>
      <w:r>
        <w:rPr>
          <w:rFonts w:ascii="宋体" w:hAnsi="宋体" w:cs="宋体"/>
          <w:color w:val="auto"/>
          <w:spacing w:val="-1"/>
          <w:sz w:val="24"/>
        </w:rPr>
        <w:t>作业场地进行清理，直至咨询人检验合格为止。交</w:t>
      </w:r>
      <w:r>
        <w:rPr>
          <w:rFonts w:ascii="宋体" w:hAnsi="宋体" w:cs="宋体"/>
          <w:color w:val="auto"/>
          <w:spacing w:val="-2"/>
          <w:sz w:val="24"/>
        </w:rPr>
        <w:t>（竣）工清场费用由承包人承担。</w:t>
      </w:r>
    </w:p>
    <w:p w14:paraId="6C12C93A">
      <w:pPr>
        <w:spacing w:before="280" w:line="264" w:lineRule="auto"/>
        <w:ind w:left="21" w:firstLine="470"/>
        <w:rPr>
          <w:rFonts w:ascii="宋体" w:hAnsi="宋体" w:cs="宋体"/>
          <w:color w:val="auto"/>
          <w:sz w:val="24"/>
        </w:rPr>
      </w:pPr>
      <w:bookmarkStart w:id="165" w:name="bookmark225"/>
      <w:bookmarkEnd w:id="165"/>
      <w:r>
        <w:rPr>
          <w:rFonts w:ascii="宋体" w:hAnsi="宋体" w:cs="宋体"/>
          <w:color w:val="auto"/>
          <w:spacing w:val="4"/>
          <w:sz w:val="24"/>
        </w:rPr>
        <w:t>（</w:t>
      </w:r>
      <w:r>
        <w:rPr>
          <w:rFonts w:eastAsia="Times New Roman"/>
          <w:color w:val="auto"/>
          <w:spacing w:val="4"/>
          <w:sz w:val="24"/>
        </w:rPr>
        <w:t>1</w:t>
      </w:r>
      <w:r>
        <w:rPr>
          <w:rFonts w:ascii="宋体" w:hAnsi="宋体" w:cs="宋体"/>
          <w:color w:val="auto"/>
          <w:spacing w:val="4"/>
          <w:sz w:val="24"/>
        </w:rPr>
        <w:t>）养护作业场地内残留的垃圾及附近道路、河道的施工堆积物已全部</w:t>
      </w:r>
      <w:r>
        <w:rPr>
          <w:rFonts w:ascii="宋体" w:hAnsi="宋体" w:cs="宋体"/>
          <w:color w:val="auto"/>
          <w:spacing w:val="3"/>
          <w:sz w:val="24"/>
        </w:rPr>
        <w:t>清除</w:t>
      </w:r>
      <w:r>
        <w:rPr>
          <w:rFonts w:ascii="宋体" w:hAnsi="宋体" w:cs="宋体"/>
          <w:color w:val="auto"/>
          <w:spacing w:val="-4"/>
          <w:sz w:val="24"/>
        </w:rPr>
        <w:t>出场并妥善处置；</w:t>
      </w:r>
    </w:p>
    <w:p w14:paraId="3E44E359">
      <w:pPr>
        <w:spacing w:before="113" w:line="219" w:lineRule="auto"/>
        <w:ind w:left="492"/>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2</w:t>
      </w:r>
      <w:r>
        <w:rPr>
          <w:rFonts w:ascii="宋体" w:hAnsi="宋体" w:cs="宋体"/>
          <w:color w:val="auto"/>
          <w:spacing w:val="-1"/>
          <w:sz w:val="24"/>
        </w:rPr>
        <w:t>）临时工程已拆除，场地已按合同要求进行清理、平整或复原；</w:t>
      </w:r>
    </w:p>
    <w:p w14:paraId="7CA81560">
      <w:pPr>
        <w:spacing w:before="116" w:line="263" w:lineRule="auto"/>
        <w:ind w:left="3" w:firstLine="488"/>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3</w:t>
      </w:r>
      <w:r>
        <w:rPr>
          <w:rFonts w:ascii="宋体" w:hAnsi="宋体" w:cs="宋体"/>
          <w:color w:val="auto"/>
          <w:spacing w:val="4"/>
          <w:sz w:val="24"/>
        </w:rPr>
        <w:t>）按合同约定应撤离的承包人设备和剩余的材料，包括废弃的养护作</w:t>
      </w:r>
      <w:r>
        <w:rPr>
          <w:rFonts w:ascii="宋体" w:hAnsi="宋体" w:cs="宋体"/>
          <w:color w:val="auto"/>
          <w:spacing w:val="3"/>
          <w:sz w:val="24"/>
        </w:rPr>
        <w:t>业设</w:t>
      </w:r>
      <w:r>
        <w:rPr>
          <w:rFonts w:ascii="宋体" w:hAnsi="宋体" w:cs="宋体"/>
          <w:color w:val="auto"/>
          <w:spacing w:val="-1"/>
          <w:sz w:val="24"/>
        </w:rPr>
        <w:t>备和材料，已按计划撤离养护作业场地；</w:t>
      </w:r>
    </w:p>
    <w:p w14:paraId="1112D2A3">
      <w:pPr>
        <w:spacing w:before="114" w:line="219" w:lineRule="auto"/>
        <w:ind w:left="492"/>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4</w:t>
      </w:r>
      <w:r>
        <w:rPr>
          <w:rFonts w:ascii="宋体" w:hAnsi="宋体" w:cs="宋体"/>
          <w:color w:val="auto"/>
          <w:spacing w:val="-1"/>
          <w:sz w:val="24"/>
        </w:rPr>
        <w:t>）咨询人指示的其他场地清理工作已全部完成。</w:t>
      </w:r>
    </w:p>
    <w:p w14:paraId="0BC25F29">
      <w:pPr>
        <w:spacing w:before="117" w:line="305" w:lineRule="auto"/>
        <w:ind w:left="4" w:firstLine="494"/>
        <w:rPr>
          <w:rFonts w:ascii="宋体" w:hAnsi="宋体" w:cs="宋体"/>
          <w:color w:val="auto"/>
          <w:sz w:val="24"/>
        </w:rPr>
      </w:pPr>
      <w:r>
        <w:rPr>
          <w:rFonts w:eastAsia="Times New Roman"/>
          <w:color w:val="auto"/>
          <w:spacing w:val="2"/>
          <w:sz w:val="24"/>
        </w:rPr>
        <w:t xml:space="preserve">18.5.2 </w:t>
      </w:r>
      <w:r>
        <w:rPr>
          <w:rFonts w:ascii="宋体" w:hAnsi="宋体" w:cs="宋体"/>
          <w:color w:val="auto"/>
          <w:spacing w:val="2"/>
          <w:sz w:val="24"/>
        </w:rPr>
        <w:t>承包人未按咨询人的要求恢复临时占地，或</w:t>
      </w:r>
      <w:r>
        <w:rPr>
          <w:rFonts w:ascii="宋体" w:hAnsi="宋体" w:cs="宋体"/>
          <w:color w:val="auto"/>
          <w:spacing w:val="1"/>
          <w:sz w:val="24"/>
        </w:rPr>
        <w:t>者场地清理未达到合同约定的，发包人有权委托其他人恢复或清理，所发生</w:t>
      </w:r>
      <w:r>
        <w:rPr>
          <w:rFonts w:ascii="宋体" w:hAnsi="宋体" w:cs="宋体"/>
          <w:color w:val="auto"/>
          <w:sz w:val="24"/>
        </w:rPr>
        <w:t>的金额从拟支付给承包人的款项中</w:t>
      </w:r>
      <w:r>
        <w:rPr>
          <w:rFonts w:ascii="宋体" w:hAnsi="宋体" w:cs="宋体"/>
          <w:color w:val="auto"/>
          <w:spacing w:val="-5"/>
          <w:sz w:val="24"/>
        </w:rPr>
        <w:t>扣除。</w:t>
      </w:r>
    </w:p>
    <w:p w14:paraId="1BF9163A">
      <w:pPr>
        <w:spacing w:line="219" w:lineRule="auto"/>
        <w:ind w:left="487"/>
        <w:outlineLvl w:val="3"/>
        <w:rPr>
          <w:rFonts w:ascii="宋体" w:hAnsi="宋体" w:cs="宋体"/>
          <w:color w:val="auto"/>
          <w:sz w:val="24"/>
        </w:rPr>
      </w:pPr>
      <w:r>
        <w:rPr>
          <w:rFonts w:eastAsia="Times New Roman"/>
          <w:b/>
          <w:bCs/>
          <w:color w:val="auto"/>
          <w:spacing w:val="-3"/>
          <w:sz w:val="24"/>
        </w:rPr>
        <w:t xml:space="preserve">18.6  </w:t>
      </w:r>
      <w:r>
        <w:rPr>
          <w:rFonts w:ascii="宋体" w:hAnsi="宋体" w:cs="宋体"/>
          <w:b/>
          <w:bCs/>
          <w:color w:val="auto"/>
          <w:spacing w:val="-3"/>
          <w:sz w:val="24"/>
        </w:rPr>
        <w:t>养护队伍的撤离</w:t>
      </w:r>
    </w:p>
    <w:p w14:paraId="4215C10E">
      <w:pPr>
        <w:spacing w:before="124" w:line="309" w:lineRule="auto"/>
        <w:ind w:left="1" w:firstLine="483"/>
        <w:rPr>
          <w:rFonts w:ascii="宋体" w:hAnsi="宋体" w:cs="宋体"/>
          <w:color w:val="auto"/>
          <w:sz w:val="24"/>
        </w:rPr>
      </w:pPr>
      <w:r>
        <w:rPr>
          <w:rFonts w:ascii="宋体" w:hAnsi="宋体" w:cs="宋体"/>
          <w:color w:val="auto"/>
          <w:spacing w:val="3"/>
          <w:sz w:val="24"/>
        </w:rPr>
        <w:t>交工验收证书颁发后</w:t>
      </w:r>
      <w:r>
        <w:rPr>
          <w:rFonts w:eastAsia="Times New Roman"/>
          <w:color w:val="auto"/>
          <w:spacing w:val="3"/>
          <w:sz w:val="24"/>
        </w:rPr>
        <w:t>28</w:t>
      </w:r>
      <w:r>
        <w:rPr>
          <w:rFonts w:ascii="宋体" w:hAnsi="宋体" w:cs="宋体"/>
          <w:color w:val="auto"/>
          <w:spacing w:val="3"/>
          <w:sz w:val="24"/>
        </w:rPr>
        <w:t>天内，除经咨询人同意需在缺陷责任期内继续工作和</w:t>
      </w:r>
      <w:r>
        <w:rPr>
          <w:rFonts w:ascii="宋体" w:hAnsi="宋体" w:cs="宋体"/>
          <w:color w:val="auto"/>
          <w:spacing w:val="1"/>
          <w:sz w:val="24"/>
        </w:rPr>
        <w:t>使用的人员、养护作业设备和临时工程外，其余的人员</w:t>
      </w:r>
      <w:r>
        <w:rPr>
          <w:rFonts w:ascii="宋体" w:hAnsi="宋体" w:cs="宋体"/>
          <w:color w:val="auto"/>
          <w:sz w:val="24"/>
        </w:rPr>
        <w:t>、养护作业设备和临时工程</w:t>
      </w:r>
      <w:r>
        <w:rPr>
          <w:rFonts w:ascii="宋体" w:hAnsi="宋体" w:cs="宋体"/>
          <w:color w:val="auto"/>
          <w:spacing w:val="1"/>
          <w:sz w:val="24"/>
        </w:rPr>
        <w:t>均应撤离养护作业场地或拆除。除合同另有约定外，缺</w:t>
      </w:r>
      <w:r>
        <w:rPr>
          <w:rFonts w:ascii="宋体" w:hAnsi="宋体" w:cs="宋体"/>
          <w:color w:val="auto"/>
          <w:sz w:val="24"/>
        </w:rPr>
        <w:t>陷责任期满时，承包人的人</w:t>
      </w:r>
      <w:r>
        <w:rPr>
          <w:rFonts w:ascii="宋体" w:hAnsi="宋体" w:cs="宋体"/>
          <w:color w:val="auto"/>
          <w:spacing w:val="-1"/>
          <w:sz w:val="24"/>
        </w:rPr>
        <w:t>员和养护作业设备应全部撤离养护作业场地。</w:t>
      </w:r>
    </w:p>
    <w:p w14:paraId="298028AE">
      <w:pPr>
        <w:spacing w:before="306" w:line="219" w:lineRule="auto"/>
        <w:ind w:left="487"/>
        <w:outlineLvl w:val="2"/>
        <w:rPr>
          <w:rFonts w:ascii="宋体" w:hAnsi="宋体" w:cs="宋体"/>
          <w:color w:val="auto"/>
          <w:sz w:val="24"/>
        </w:rPr>
      </w:pPr>
      <w:bookmarkStart w:id="166" w:name="bookmark44"/>
      <w:bookmarkEnd w:id="166"/>
      <w:bookmarkStart w:id="167" w:name="bookmark43"/>
      <w:bookmarkEnd w:id="167"/>
      <w:r>
        <w:rPr>
          <w:rFonts w:eastAsia="Times New Roman"/>
          <w:b/>
          <w:bCs/>
          <w:color w:val="auto"/>
          <w:spacing w:val="-3"/>
          <w:sz w:val="24"/>
        </w:rPr>
        <w:t xml:space="preserve">19.  </w:t>
      </w:r>
      <w:r>
        <w:rPr>
          <w:rFonts w:ascii="宋体" w:hAnsi="宋体" w:cs="宋体"/>
          <w:b/>
          <w:bCs/>
          <w:color w:val="auto"/>
          <w:spacing w:val="-3"/>
          <w:sz w:val="24"/>
        </w:rPr>
        <w:t>缺陷责任</w:t>
      </w:r>
    </w:p>
    <w:p w14:paraId="1F584003">
      <w:pPr>
        <w:spacing w:before="260" w:line="219" w:lineRule="auto"/>
        <w:ind w:left="487"/>
        <w:outlineLvl w:val="3"/>
        <w:rPr>
          <w:rFonts w:ascii="宋体" w:hAnsi="宋体" w:cs="宋体"/>
          <w:color w:val="auto"/>
          <w:sz w:val="24"/>
        </w:rPr>
      </w:pPr>
      <w:r>
        <w:rPr>
          <w:rFonts w:eastAsia="Times New Roman"/>
          <w:b/>
          <w:bCs/>
          <w:color w:val="auto"/>
          <w:spacing w:val="-3"/>
          <w:sz w:val="24"/>
        </w:rPr>
        <w:t xml:space="preserve">19.1  </w:t>
      </w:r>
      <w:r>
        <w:rPr>
          <w:rFonts w:ascii="宋体" w:hAnsi="宋体" w:cs="宋体"/>
          <w:b/>
          <w:bCs/>
          <w:color w:val="auto"/>
          <w:spacing w:val="-3"/>
          <w:sz w:val="24"/>
        </w:rPr>
        <w:t>缺陷责任期</w:t>
      </w:r>
    </w:p>
    <w:p w14:paraId="01C636E8">
      <w:pPr>
        <w:spacing w:before="124" w:line="264" w:lineRule="auto"/>
        <w:ind w:left="7" w:right="2" w:firstLine="492"/>
        <w:rPr>
          <w:rFonts w:ascii="宋体" w:hAnsi="宋体" w:cs="宋体"/>
          <w:color w:val="auto"/>
          <w:sz w:val="24"/>
        </w:rPr>
      </w:pPr>
      <w:r>
        <w:rPr>
          <w:rFonts w:eastAsia="Times New Roman"/>
          <w:color w:val="auto"/>
          <w:sz w:val="24"/>
        </w:rPr>
        <w:t xml:space="preserve">19.1.1  </w:t>
      </w:r>
      <w:r>
        <w:rPr>
          <w:rFonts w:ascii="宋体" w:hAnsi="宋体" w:cs="宋体"/>
          <w:color w:val="auto"/>
          <w:sz w:val="24"/>
        </w:rPr>
        <w:t>缺陷责任期内因承包人原因产生的质量缺陷，承包人应承担质量缺陷修</w:t>
      </w:r>
      <w:r>
        <w:rPr>
          <w:rFonts w:ascii="宋体" w:hAnsi="宋体" w:cs="宋体"/>
          <w:color w:val="auto"/>
          <w:spacing w:val="-3"/>
          <w:sz w:val="24"/>
        </w:rPr>
        <w:t>复责任义务。</w:t>
      </w:r>
    </w:p>
    <w:p w14:paraId="23B5F63D">
      <w:pPr>
        <w:spacing w:before="112" w:line="279" w:lineRule="auto"/>
        <w:ind w:right="2" w:firstLine="499"/>
        <w:rPr>
          <w:rFonts w:ascii="宋体" w:hAnsi="宋体" w:cs="宋体"/>
          <w:color w:val="auto"/>
          <w:sz w:val="24"/>
        </w:rPr>
      </w:pPr>
      <w:r>
        <w:rPr>
          <w:rFonts w:eastAsia="Times New Roman"/>
          <w:color w:val="auto"/>
          <w:sz w:val="24"/>
        </w:rPr>
        <w:t xml:space="preserve">19.1.2  </w:t>
      </w:r>
      <w:r>
        <w:rPr>
          <w:rFonts w:ascii="宋体" w:hAnsi="宋体" w:cs="宋体"/>
          <w:color w:val="auto"/>
          <w:sz w:val="24"/>
        </w:rPr>
        <w:t>养护工程的缺陷责任期自全部养护工程实际交工日期起计算，具体期限</w:t>
      </w:r>
      <w:r>
        <w:rPr>
          <w:rFonts w:ascii="宋体" w:hAnsi="宋体" w:cs="宋体"/>
          <w:color w:val="auto"/>
          <w:spacing w:val="3"/>
          <w:sz w:val="24"/>
        </w:rPr>
        <w:t>在专用合同条款中约定，但最长不超过</w:t>
      </w:r>
      <w:r>
        <w:rPr>
          <w:rFonts w:eastAsia="Times New Roman"/>
          <w:color w:val="auto"/>
          <w:spacing w:val="3"/>
          <w:sz w:val="24"/>
        </w:rPr>
        <w:t xml:space="preserve">12 </w:t>
      </w:r>
      <w:r>
        <w:rPr>
          <w:rFonts w:ascii="宋体" w:hAnsi="宋体" w:cs="宋体"/>
          <w:color w:val="auto"/>
          <w:spacing w:val="3"/>
          <w:sz w:val="24"/>
        </w:rPr>
        <w:t>个月。在全部工程交工验收前，已经发</w:t>
      </w:r>
      <w:r>
        <w:rPr>
          <w:rFonts w:ascii="宋体" w:hAnsi="宋体" w:cs="宋体"/>
          <w:color w:val="auto"/>
          <w:sz w:val="24"/>
        </w:rPr>
        <w:t>包人提前验收的单位养护工程，其缺陷责任期</w:t>
      </w:r>
      <w:r>
        <w:rPr>
          <w:rFonts w:ascii="宋体" w:hAnsi="宋体" w:cs="宋体"/>
          <w:color w:val="auto"/>
          <w:spacing w:val="-1"/>
          <w:sz w:val="24"/>
        </w:rPr>
        <w:t>的起算日期相应提前。</w:t>
      </w:r>
    </w:p>
    <w:p w14:paraId="62194AD3">
      <w:pPr>
        <w:spacing w:before="104" w:line="219" w:lineRule="auto"/>
        <w:ind w:left="487"/>
        <w:outlineLvl w:val="3"/>
        <w:rPr>
          <w:rFonts w:ascii="宋体" w:hAnsi="宋体" w:cs="宋体"/>
          <w:color w:val="auto"/>
          <w:sz w:val="24"/>
        </w:rPr>
      </w:pPr>
      <w:r>
        <w:rPr>
          <w:rFonts w:eastAsia="Times New Roman"/>
          <w:b/>
          <w:bCs/>
          <w:color w:val="auto"/>
          <w:spacing w:val="-3"/>
          <w:sz w:val="24"/>
        </w:rPr>
        <w:t xml:space="preserve">19.2  </w:t>
      </w:r>
      <w:r>
        <w:rPr>
          <w:rFonts w:ascii="宋体" w:hAnsi="宋体" w:cs="宋体"/>
          <w:b/>
          <w:bCs/>
          <w:color w:val="auto"/>
          <w:spacing w:val="-3"/>
          <w:sz w:val="24"/>
        </w:rPr>
        <w:t>缺陷责任</w:t>
      </w:r>
    </w:p>
    <w:p w14:paraId="0B0C6A1C">
      <w:pPr>
        <w:spacing w:before="126" w:line="219" w:lineRule="auto"/>
        <w:ind w:left="499"/>
        <w:rPr>
          <w:rFonts w:ascii="宋体" w:hAnsi="宋体" w:cs="宋体"/>
          <w:color w:val="auto"/>
          <w:sz w:val="24"/>
        </w:rPr>
      </w:pPr>
      <w:r>
        <w:rPr>
          <w:rFonts w:eastAsia="Times New Roman"/>
          <w:color w:val="auto"/>
          <w:spacing w:val="-1"/>
          <w:sz w:val="24"/>
        </w:rPr>
        <w:t xml:space="preserve">19.2.1  </w:t>
      </w:r>
      <w:r>
        <w:rPr>
          <w:rFonts w:ascii="宋体" w:hAnsi="宋体" w:cs="宋体"/>
          <w:color w:val="auto"/>
          <w:spacing w:val="-1"/>
          <w:sz w:val="24"/>
        </w:rPr>
        <w:t>承包人应在缺陷责任期内对已验收的养护项目承担缺陷责任。</w:t>
      </w:r>
    </w:p>
    <w:p w14:paraId="43F61E8C">
      <w:pPr>
        <w:spacing w:before="116" w:line="278" w:lineRule="auto"/>
        <w:ind w:firstLine="499"/>
        <w:rPr>
          <w:rFonts w:ascii="宋体" w:hAnsi="宋体" w:cs="宋体"/>
          <w:color w:val="auto"/>
          <w:sz w:val="24"/>
        </w:rPr>
      </w:pPr>
      <w:r>
        <w:rPr>
          <w:rFonts w:eastAsia="Times New Roman"/>
          <w:color w:val="auto"/>
          <w:sz w:val="24"/>
        </w:rPr>
        <w:t xml:space="preserve">19.2.2  </w:t>
      </w:r>
      <w:r>
        <w:rPr>
          <w:rFonts w:ascii="宋体" w:hAnsi="宋体" w:cs="宋体"/>
          <w:color w:val="auto"/>
          <w:sz w:val="24"/>
        </w:rPr>
        <w:t>缺陷责任期内，发包人对已验收的养护项目负责日常维护工作。发包人</w:t>
      </w:r>
      <w:r>
        <w:rPr>
          <w:rFonts w:ascii="宋体" w:hAnsi="宋体" w:cs="宋体"/>
          <w:color w:val="auto"/>
          <w:spacing w:val="1"/>
          <w:sz w:val="24"/>
        </w:rPr>
        <w:t>在使用过程中，发现已验收的养护项目存在新的缺陷或已修</w:t>
      </w:r>
      <w:r>
        <w:rPr>
          <w:rFonts w:ascii="宋体" w:hAnsi="宋体" w:cs="宋体"/>
          <w:color w:val="auto"/>
          <w:sz w:val="24"/>
        </w:rPr>
        <w:t>复的缺陷部位或部件又</w:t>
      </w:r>
      <w:r>
        <w:rPr>
          <w:rFonts w:ascii="宋体" w:hAnsi="宋体" w:cs="宋体"/>
          <w:color w:val="auto"/>
          <w:spacing w:val="-1"/>
          <w:sz w:val="24"/>
        </w:rPr>
        <w:t>遭损坏的，承包人应负责修复，直至检验合格为止。</w:t>
      </w:r>
    </w:p>
    <w:p w14:paraId="45A18F17">
      <w:pPr>
        <w:spacing w:before="117" w:line="307" w:lineRule="auto"/>
        <w:ind w:left="2" w:firstLine="477"/>
        <w:rPr>
          <w:rFonts w:ascii="宋体" w:hAnsi="宋体" w:cs="宋体"/>
          <w:color w:val="auto"/>
          <w:sz w:val="24"/>
        </w:rPr>
      </w:pPr>
      <w:r>
        <w:rPr>
          <w:rFonts w:ascii="宋体" w:hAnsi="宋体" w:cs="宋体"/>
          <w:color w:val="auto"/>
          <w:spacing w:val="1"/>
          <w:sz w:val="24"/>
        </w:rPr>
        <w:t>在缺陷责任期内，承包人应尽快完成在交工验收证书中写明</w:t>
      </w:r>
      <w:r>
        <w:rPr>
          <w:rFonts w:ascii="宋体" w:hAnsi="宋体" w:cs="宋体"/>
          <w:color w:val="auto"/>
          <w:sz w:val="24"/>
        </w:rPr>
        <w:t>的未完成工作，并</w:t>
      </w:r>
      <w:r>
        <w:rPr>
          <w:rFonts w:ascii="宋体" w:hAnsi="宋体" w:cs="宋体"/>
          <w:color w:val="auto"/>
          <w:spacing w:val="-1"/>
          <w:sz w:val="24"/>
        </w:rPr>
        <w:t>完成对养护项目缺陷的修复或咨询人指令的修补工作。</w:t>
      </w:r>
    </w:p>
    <w:p w14:paraId="20350FA6">
      <w:pPr>
        <w:spacing w:line="278" w:lineRule="auto"/>
        <w:ind w:firstLine="498"/>
        <w:rPr>
          <w:rFonts w:ascii="宋体" w:hAnsi="宋体" w:cs="宋体"/>
          <w:color w:val="auto"/>
          <w:sz w:val="24"/>
        </w:rPr>
      </w:pPr>
      <w:r>
        <w:rPr>
          <w:rFonts w:eastAsia="Times New Roman"/>
          <w:color w:val="auto"/>
          <w:sz w:val="24"/>
        </w:rPr>
        <w:t xml:space="preserve">19.2.3  </w:t>
      </w:r>
      <w:r>
        <w:rPr>
          <w:rFonts w:ascii="宋体" w:hAnsi="宋体" w:cs="宋体"/>
          <w:color w:val="auto"/>
          <w:sz w:val="24"/>
        </w:rPr>
        <w:t>咨询人和承包人应共同查清缺陷和（或）损坏的原因。经查明属承包人</w:t>
      </w:r>
      <w:r>
        <w:rPr>
          <w:rFonts w:ascii="宋体" w:hAnsi="宋体" w:cs="宋体"/>
          <w:color w:val="auto"/>
          <w:spacing w:val="1"/>
          <w:sz w:val="24"/>
        </w:rPr>
        <w:t>原因造成的，应由承包人承担修复和查验的费用。经查验</w:t>
      </w:r>
      <w:r>
        <w:rPr>
          <w:rFonts w:ascii="宋体" w:hAnsi="宋体" w:cs="宋体"/>
          <w:color w:val="auto"/>
          <w:sz w:val="24"/>
        </w:rPr>
        <w:t>属发包人原因造成的，发</w:t>
      </w:r>
      <w:r>
        <w:rPr>
          <w:rFonts w:ascii="宋体" w:hAnsi="宋体" w:cs="宋体"/>
          <w:color w:val="auto"/>
          <w:spacing w:val="-1"/>
          <w:sz w:val="24"/>
        </w:rPr>
        <w:t>包人应承担修复和查验的费用，并支付承包人合理利润。</w:t>
      </w:r>
    </w:p>
    <w:p w14:paraId="72B508DD">
      <w:pPr>
        <w:spacing w:before="115" w:line="264" w:lineRule="auto"/>
        <w:ind w:right="2" w:firstLine="498"/>
        <w:rPr>
          <w:rFonts w:ascii="宋体" w:hAnsi="宋体" w:cs="宋体"/>
          <w:color w:val="auto"/>
          <w:sz w:val="24"/>
        </w:rPr>
      </w:pPr>
      <w:r>
        <w:rPr>
          <w:rFonts w:eastAsia="Times New Roman"/>
          <w:color w:val="auto"/>
          <w:sz w:val="24"/>
        </w:rPr>
        <w:t xml:space="preserve">19.2.4  </w:t>
      </w:r>
      <w:r>
        <w:rPr>
          <w:rFonts w:ascii="宋体" w:hAnsi="宋体" w:cs="宋体"/>
          <w:color w:val="auto"/>
          <w:sz w:val="24"/>
        </w:rPr>
        <w:t>承包人不能在合理时间内修复缺陷的，发包人可自行修复或委托其他人</w:t>
      </w:r>
      <w:r>
        <w:rPr>
          <w:rFonts w:ascii="宋体" w:hAnsi="宋体" w:cs="宋体"/>
          <w:color w:val="auto"/>
          <w:spacing w:val="-1"/>
          <w:sz w:val="24"/>
        </w:rPr>
        <w:t>修复，所需费用和利润的承担，按第</w:t>
      </w:r>
      <w:r>
        <w:rPr>
          <w:rFonts w:eastAsia="Times New Roman"/>
          <w:color w:val="auto"/>
          <w:spacing w:val="-1"/>
          <w:sz w:val="24"/>
        </w:rPr>
        <w:t>19.</w:t>
      </w:r>
      <w:r>
        <w:rPr>
          <w:rFonts w:eastAsia="Times New Roman"/>
          <w:color w:val="auto"/>
          <w:spacing w:val="-2"/>
          <w:sz w:val="24"/>
        </w:rPr>
        <w:t xml:space="preserve">2.3 </w:t>
      </w:r>
      <w:r>
        <w:rPr>
          <w:rFonts w:ascii="宋体" w:hAnsi="宋体" w:cs="宋体"/>
          <w:color w:val="auto"/>
          <w:spacing w:val="-2"/>
          <w:sz w:val="24"/>
        </w:rPr>
        <w:t>项约定办理。</w:t>
      </w:r>
    </w:p>
    <w:p w14:paraId="3C88E404">
      <w:pPr>
        <w:spacing w:before="271" w:line="219" w:lineRule="auto"/>
        <w:ind w:left="486"/>
        <w:outlineLvl w:val="3"/>
        <w:rPr>
          <w:rFonts w:ascii="宋体" w:hAnsi="宋体" w:cs="宋体"/>
          <w:color w:val="auto"/>
          <w:sz w:val="24"/>
        </w:rPr>
      </w:pPr>
      <w:bookmarkStart w:id="168" w:name="bookmark226"/>
      <w:bookmarkEnd w:id="168"/>
      <w:r>
        <w:rPr>
          <w:rFonts w:eastAsia="Times New Roman"/>
          <w:b/>
          <w:bCs/>
          <w:color w:val="auto"/>
          <w:spacing w:val="-3"/>
          <w:sz w:val="24"/>
        </w:rPr>
        <w:t xml:space="preserve">19.3  </w:t>
      </w:r>
      <w:r>
        <w:rPr>
          <w:rFonts w:ascii="宋体" w:hAnsi="宋体" w:cs="宋体"/>
          <w:b/>
          <w:bCs/>
          <w:color w:val="auto"/>
          <w:spacing w:val="-3"/>
          <w:sz w:val="24"/>
        </w:rPr>
        <w:t>缺陷责任期的延长</w:t>
      </w:r>
    </w:p>
    <w:p w14:paraId="7319C9AF">
      <w:pPr>
        <w:spacing w:before="126" w:line="305" w:lineRule="auto"/>
        <w:ind w:right="25" w:firstLine="508"/>
        <w:rPr>
          <w:rFonts w:ascii="宋体" w:hAnsi="宋体" w:cs="宋体"/>
          <w:color w:val="auto"/>
          <w:sz w:val="24"/>
        </w:rPr>
      </w:pPr>
      <w:r>
        <w:rPr>
          <w:rFonts w:ascii="宋体" w:hAnsi="宋体" w:cs="宋体"/>
          <w:color w:val="auto"/>
          <w:sz w:val="24"/>
        </w:rPr>
        <w:t>由于承包人原因造成某项缺陷或损坏使某单位养护工程、养护单元或</w:t>
      </w:r>
      <w:r>
        <w:rPr>
          <w:rFonts w:ascii="宋体" w:hAnsi="宋体" w:cs="宋体"/>
          <w:color w:val="auto"/>
          <w:spacing w:val="-1"/>
          <w:sz w:val="24"/>
        </w:rPr>
        <w:t>工程设备</w:t>
      </w:r>
      <w:r>
        <w:rPr>
          <w:rFonts w:ascii="宋体" w:hAnsi="宋体" w:cs="宋体"/>
          <w:color w:val="auto"/>
          <w:spacing w:val="1"/>
          <w:sz w:val="24"/>
        </w:rPr>
        <w:t>不能按原定目标使用而需要再次检查、检验和修复的，</w:t>
      </w:r>
      <w:r>
        <w:rPr>
          <w:rFonts w:ascii="宋体" w:hAnsi="宋体" w:cs="宋体"/>
          <w:color w:val="auto"/>
          <w:sz w:val="24"/>
        </w:rPr>
        <w:t>发包人有权要求承包人相应</w:t>
      </w:r>
      <w:r>
        <w:rPr>
          <w:rFonts w:ascii="宋体" w:hAnsi="宋体" w:cs="宋体"/>
          <w:color w:val="auto"/>
          <w:spacing w:val="-2"/>
          <w:sz w:val="24"/>
        </w:rPr>
        <w:t>延长缺陷责任期，但缺陷责任期最长不超过</w:t>
      </w:r>
      <w:r>
        <w:rPr>
          <w:rFonts w:eastAsia="Times New Roman"/>
          <w:color w:val="auto"/>
          <w:spacing w:val="-2"/>
          <w:sz w:val="24"/>
        </w:rPr>
        <w:t xml:space="preserve">12 </w:t>
      </w:r>
      <w:r>
        <w:rPr>
          <w:rFonts w:ascii="宋体" w:hAnsi="宋体" w:cs="宋体"/>
          <w:color w:val="auto"/>
          <w:spacing w:val="-2"/>
          <w:sz w:val="24"/>
        </w:rPr>
        <w:t>个月。</w:t>
      </w:r>
    </w:p>
    <w:p w14:paraId="090E0A00">
      <w:pPr>
        <w:spacing w:line="219" w:lineRule="auto"/>
        <w:ind w:left="486"/>
        <w:outlineLvl w:val="3"/>
        <w:rPr>
          <w:rFonts w:ascii="宋体" w:hAnsi="宋体" w:cs="宋体"/>
          <w:color w:val="auto"/>
          <w:sz w:val="24"/>
        </w:rPr>
      </w:pPr>
      <w:r>
        <w:rPr>
          <w:rFonts w:eastAsia="Times New Roman"/>
          <w:b/>
          <w:bCs/>
          <w:color w:val="auto"/>
          <w:spacing w:val="-3"/>
          <w:sz w:val="24"/>
        </w:rPr>
        <w:t xml:space="preserve">19.4  </w:t>
      </w:r>
      <w:r>
        <w:rPr>
          <w:rFonts w:ascii="宋体" w:hAnsi="宋体" w:cs="宋体"/>
          <w:b/>
          <w:bCs/>
          <w:color w:val="auto"/>
          <w:spacing w:val="-3"/>
          <w:sz w:val="24"/>
        </w:rPr>
        <w:t>进一步试验</w:t>
      </w:r>
    </w:p>
    <w:p w14:paraId="5EC53365">
      <w:pPr>
        <w:spacing w:before="123" w:line="305" w:lineRule="auto"/>
        <w:ind w:left="2" w:right="25" w:firstLine="476"/>
        <w:rPr>
          <w:rFonts w:ascii="宋体" w:hAnsi="宋体" w:cs="宋体"/>
          <w:color w:val="auto"/>
          <w:sz w:val="24"/>
        </w:rPr>
      </w:pPr>
      <w:r>
        <w:rPr>
          <w:rFonts w:ascii="宋体" w:hAnsi="宋体" w:cs="宋体"/>
          <w:color w:val="auto"/>
          <w:spacing w:val="1"/>
          <w:sz w:val="24"/>
        </w:rPr>
        <w:t>任何一项缺陷或损坏修复后，经检查证明其影响了某单位养</w:t>
      </w:r>
      <w:r>
        <w:rPr>
          <w:rFonts w:ascii="宋体" w:hAnsi="宋体" w:cs="宋体"/>
          <w:color w:val="auto"/>
          <w:sz w:val="24"/>
        </w:rPr>
        <w:t>护工程、养护单元</w:t>
      </w:r>
      <w:r>
        <w:rPr>
          <w:rFonts w:ascii="宋体" w:hAnsi="宋体" w:cs="宋体"/>
          <w:color w:val="auto"/>
          <w:spacing w:val="1"/>
          <w:sz w:val="24"/>
        </w:rPr>
        <w:t>或工程设备的使用性能，承包人应重新进行合同约</w:t>
      </w:r>
      <w:r>
        <w:rPr>
          <w:rFonts w:ascii="宋体" w:hAnsi="宋体" w:cs="宋体"/>
          <w:color w:val="auto"/>
          <w:sz w:val="24"/>
        </w:rPr>
        <w:t>定的试验，试验的全部费用应由</w:t>
      </w:r>
      <w:r>
        <w:rPr>
          <w:rFonts w:ascii="宋体" w:hAnsi="宋体" w:cs="宋体"/>
          <w:color w:val="auto"/>
          <w:spacing w:val="-3"/>
          <w:sz w:val="24"/>
        </w:rPr>
        <w:t>责任方承担。</w:t>
      </w:r>
    </w:p>
    <w:p w14:paraId="4746A420">
      <w:pPr>
        <w:spacing w:line="219" w:lineRule="auto"/>
        <w:ind w:left="486"/>
        <w:outlineLvl w:val="3"/>
        <w:rPr>
          <w:rFonts w:ascii="宋体" w:hAnsi="宋体" w:cs="宋体"/>
          <w:color w:val="auto"/>
          <w:sz w:val="24"/>
        </w:rPr>
      </w:pPr>
      <w:r>
        <w:rPr>
          <w:rFonts w:eastAsia="Times New Roman"/>
          <w:b/>
          <w:bCs/>
          <w:color w:val="auto"/>
          <w:spacing w:val="-3"/>
          <w:sz w:val="24"/>
        </w:rPr>
        <w:t xml:space="preserve">19.5  </w:t>
      </w:r>
      <w:r>
        <w:rPr>
          <w:rFonts w:ascii="宋体" w:hAnsi="宋体" w:cs="宋体"/>
          <w:b/>
          <w:bCs/>
          <w:color w:val="auto"/>
          <w:spacing w:val="-3"/>
          <w:sz w:val="24"/>
        </w:rPr>
        <w:t>承包人的进入权</w:t>
      </w:r>
    </w:p>
    <w:p w14:paraId="2E5E222C">
      <w:pPr>
        <w:spacing w:before="126" w:line="307" w:lineRule="auto"/>
        <w:ind w:left="1" w:right="25" w:firstLine="478"/>
        <w:rPr>
          <w:rFonts w:ascii="宋体" w:hAnsi="宋体" w:cs="宋体"/>
          <w:color w:val="auto"/>
          <w:sz w:val="24"/>
        </w:rPr>
      </w:pPr>
      <w:r>
        <w:rPr>
          <w:rFonts w:ascii="宋体" w:hAnsi="宋体" w:cs="宋体"/>
          <w:color w:val="auto"/>
          <w:spacing w:val="1"/>
          <w:sz w:val="24"/>
        </w:rPr>
        <w:t>缺陷责任期内承包人为缺陷修复工作需要，有权进入养护</w:t>
      </w:r>
      <w:r>
        <w:rPr>
          <w:rFonts w:ascii="宋体" w:hAnsi="宋体" w:cs="宋体"/>
          <w:color w:val="auto"/>
          <w:sz w:val="24"/>
        </w:rPr>
        <w:t>路段，但应遵守发包</w:t>
      </w:r>
      <w:r>
        <w:rPr>
          <w:rFonts w:ascii="宋体" w:hAnsi="宋体" w:cs="宋体"/>
          <w:color w:val="auto"/>
          <w:spacing w:val="-2"/>
          <w:sz w:val="24"/>
        </w:rPr>
        <w:t>人的保安和保密规定。</w:t>
      </w:r>
    </w:p>
    <w:p w14:paraId="34A38AF3">
      <w:pPr>
        <w:spacing w:before="2" w:line="304" w:lineRule="auto"/>
        <w:ind w:left="1" w:right="25" w:firstLine="478"/>
        <w:rPr>
          <w:rFonts w:ascii="宋体" w:hAnsi="宋体" w:cs="宋体"/>
          <w:color w:val="auto"/>
          <w:sz w:val="24"/>
        </w:rPr>
      </w:pPr>
      <w:r>
        <w:rPr>
          <w:rFonts w:ascii="宋体" w:hAnsi="宋体" w:cs="宋体"/>
          <w:color w:val="auto"/>
          <w:spacing w:val="1"/>
          <w:sz w:val="24"/>
        </w:rPr>
        <w:t>承包人在缺陷修复施工过程中，应服从发包人的有关安全</w:t>
      </w:r>
      <w:r>
        <w:rPr>
          <w:rFonts w:ascii="宋体" w:hAnsi="宋体" w:cs="宋体"/>
          <w:color w:val="auto"/>
          <w:sz w:val="24"/>
        </w:rPr>
        <w:t>管理规定，由于承包人自身原因造成的人员伤亡、设备和材料的损毁</w:t>
      </w:r>
      <w:r>
        <w:rPr>
          <w:rFonts w:ascii="宋体" w:hAnsi="宋体" w:cs="宋体"/>
          <w:color w:val="auto"/>
          <w:spacing w:val="-1"/>
          <w:sz w:val="24"/>
        </w:rPr>
        <w:t>及罚款等责任由承包人自负。</w:t>
      </w:r>
    </w:p>
    <w:p w14:paraId="09025EBA">
      <w:pPr>
        <w:spacing w:before="1" w:line="218" w:lineRule="auto"/>
        <w:ind w:left="486"/>
        <w:outlineLvl w:val="3"/>
        <w:rPr>
          <w:rFonts w:ascii="宋体" w:hAnsi="宋体" w:cs="宋体"/>
          <w:color w:val="auto"/>
          <w:sz w:val="24"/>
        </w:rPr>
      </w:pPr>
      <w:r>
        <w:rPr>
          <w:rFonts w:eastAsia="Times New Roman"/>
          <w:b/>
          <w:bCs/>
          <w:color w:val="auto"/>
          <w:spacing w:val="-3"/>
          <w:sz w:val="24"/>
        </w:rPr>
        <w:t xml:space="preserve">19.6  </w:t>
      </w:r>
      <w:r>
        <w:rPr>
          <w:rFonts w:ascii="宋体" w:hAnsi="宋体" w:cs="宋体"/>
          <w:b/>
          <w:bCs/>
          <w:color w:val="auto"/>
          <w:spacing w:val="-3"/>
          <w:sz w:val="24"/>
        </w:rPr>
        <w:t>缺陷责任期终止证书</w:t>
      </w:r>
    </w:p>
    <w:p w14:paraId="1A5B6D2F">
      <w:pPr>
        <w:spacing w:before="123" w:line="310" w:lineRule="auto"/>
        <w:ind w:right="25" w:firstLine="479"/>
        <w:rPr>
          <w:rFonts w:ascii="宋体" w:hAnsi="宋体" w:cs="宋体"/>
          <w:color w:val="auto"/>
          <w:sz w:val="24"/>
        </w:rPr>
      </w:pPr>
      <w:r>
        <w:rPr>
          <w:rFonts w:ascii="宋体" w:hAnsi="宋体" w:cs="宋体"/>
          <w:color w:val="auto"/>
          <w:spacing w:val="-3"/>
          <w:sz w:val="24"/>
        </w:rPr>
        <w:t>在第</w:t>
      </w:r>
      <w:r>
        <w:rPr>
          <w:rFonts w:eastAsia="Times New Roman"/>
          <w:color w:val="auto"/>
          <w:spacing w:val="-3"/>
          <w:sz w:val="24"/>
        </w:rPr>
        <w:t>1.1.4.5</w:t>
      </w:r>
      <w:r>
        <w:rPr>
          <w:rFonts w:ascii="宋体" w:hAnsi="宋体" w:cs="宋体"/>
          <w:color w:val="auto"/>
          <w:spacing w:val="-3"/>
          <w:sz w:val="24"/>
        </w:rPr>
        <w:t>目约定的缺陷责任期，包括根据第</w:t>
      </w:r>
      <w:r>
        <w:rPr>
          <w:rFonts w:eastAsia="Times New Roman"/>
          <w:color w:val="auto"/>
          <w:spacing w:val="-3"/>
          <w:sz w:val="24"/>
        </w:rPr>
        <w:t xml:space="preserve">19.3 </w:t>
      </w:r>
      <w:r>
        <w:rPr>
          <w:rFonts w:ascii="宋体" w:hAnsi="宋体" w:cs="宋体"/>
          <w:color w:val="auto"/>
          <w:spacing w:val="-4"/>
          <w:sz w:val="24"/>
        </w:rPr>
        <w:t>款延长的期限终止后</w:t>
      </w:r>
      <w:r>
        <w:rPr>
          <w:rFonts w:eastAsia="Times New Roman"/>
          <w:color w:val="auto"/>
          <w:spacing w:val="-4"/>
          <w:sz w:val="24"/>
        </w:rPr>
        <w:t>14</w:t>
      </w:r>
      <w:r>
        <w:rPr>
          <w:rFonts w:ascii="宋体" w:hAnsi="宋体" w:cs="宋体"/>
          <w:color w:val="auto"/>
          <w:spacing w:val="-4"/>
          <w:sz w:val="24"/>
        </w:rPr>
        <w:t>天</w:t>
      </w:r>
      <w:r>
        <w:rPr>
          <w:rFonts w:ascii="宋体" w:hAnsi="宋体" w:cs="宋体"/>
          <w:color w:val="auto"/>
          <w:spacing w:val="1"/>
          <w:sz w:val="24"/>
        </w:rPr>
        <w:t>内，由咨询人向承包人出具经发包人签认的缺陷责任期终</w:t>
      </w:r>
      <w:r>
        <w:rPr>
          <w:rFonts w:ascii="宋体" w:hAnsi="宋体" w:cs="宋体"/>
          <w:color w:val="auto"/>
          <w:sz w:val="24"/>
        </w:rPr>
        <w:t>止证书，并退还剩余的质</w:t>
      </w:r>
      <w:r>
        <w:rPr>
          <w:rFonts w:ascii="宋体" w:hAnsi="宋体" w:cs="宋体"/>
          <w:color w:val="auto"/>
          <w:spacing w:val="-2"/>
          <w:sz w:val="24"/>
        </w:rPr>
        <w:t>量保证金。</w:t>
      </w:r>
    </w:p>
    <w:p w14:paraId="0DCA74D2">
      <w:pPr>
        <w:spacing w:before="304" w:line="220" w:lineRule="auto"/>
        <w:ind w:left="476"/>
        <w:outlineLvl w:val="2"/>
        <w:rPr>
          <w:rFonts w:ascii="宋体" w:hAnsi="宋体" w:cs="宋体"/>
          <w:color w:val="auto"/>
          <w:sz w:val="24"/>
        </w:rPr>
      </w:pPr>
      <w:bookmarkStart w:id="169" w:name="bookmark45"/>
      <w:bookmarkEnd w:id="169"/>
      <w:bookmarkStart w:id="170" w:name="bookmark46"/>
      <w:bookmarkEnd w:id="170"/>
      <w:r>
        <w:rPr>
          <w:rFonts w:eastAsia="Times New Roman"/>
          <w:b/>
          <w:bCs/>
          <w:color w:val="auto"/>
          <w:spacing w:val="-5"/>
          <w:sz w:val="24"/>
        </w:rPr>
        <w:t>20.</w:t>
      </w:r>
      <w:r>
        <w:rPr>
          <w:rFonts w:ascii="宋体" w:hAnsi="宋体" w:cs="宋体"/>
          <w:b/>
          <w:bCs/>
          <w:color w:val="auto"/>
          <w:spacing w:val="-5"/>
          <w:sz w:val="24"/>
        </w:rPr>
        <w:t>保险</w:t>
      </w:r>
    </w:p>
    <w:p w14:paraId="1C16A3B9">
      <w:pPr>
        <w:spacing w:before="259" w:line="219" w:lineRule="auto"/>
        <w:ind w:left="476"/>
        <w:outlineLvl w:val="3"/>
        <w:rPr>
          <w:rFonts w:ascii="宋体" w:hAnsi="宋体" w:cs="宋体"/>
          <w:color w:val="auto"/>
          <w:sz w:val="24"/>
        </w:rPr>
      </w:pPr>
      <w:r>
        <w:rPr>
          <w:rFonts w:eastAsia="Times New Roman"/>
          <w:b/>
          <w:bCs/>
          <w:color w:val="auto"/>
          <w:spacing w:val="-2"/>
          <w:sz w:val="24"/>
        </w:rPr>
        <w:t xml:space="preserve">20.1  </w:t>
      </w:r>
      <w:r>
        <w:rPr>
          <w:rFonts w:ascii="宋体" w:hAnsi="宋体" w:cs="宋体"/>
          <w:b/>
          <w:bCs/>
          <w:color w:val="auto"/>
          <w:spacing w:val="-2"/>
          <w:sz w:val="24"/>
        </w:rPr>
        <w:t>安全生产责任保险</w:t>
      </w:r>
    </w:p>
    <w:p w14:paraId="0AFB2745">
      <w:pPr>
        <w:spacing w:before="126" w:line="305" w:lineRule="auto"/>
        <w:ind w:right="27" w:firstLine="483"/>
        <w:rPr>
          <w:rFonts w:ascii="宋体" w:hAnsi="宋体" w:cs="宋体"/>
          <w:color w:val="auto"/>
          <w:sz w:val="24"/>
        </w:rPr>
      </w:pPr>
      <w:r>
        <w:rPr>
          <w:rFonts w:ascii="宋体" w:hAnsi="宋体" w:cs="宋体"/>
          <w:color w:val="auto"/>
          <w:spacing w:val="1"/>
          <w:sz w:val="24"/>
        </w:rPr>
        <w:t>发包人应依照有关法律规定在专用合同条款</w:t>
      </w:r>
      <w:r>
        <w:rPr>
          <w:rFonts w:ascii="宋体" w:hAnsi="宋体" w:cs="宋体"/>
          <w:color w:val="auto"/>
          <w:sz w:val="24"/>
        </w:rPr>
        <w:t>约定明确承包人是否需投保安全生</w:t>
      </w:r>
      <w:r>
        <w:rPr>
          <w:rFonts w:ascii="宋体" w:hAnsi="宋体" w:cs="宋体"/>
          <w:color w:val="auto"/>
          <w:spacing w:val="1"/>
          <w:sz w:val="24"/>
        </w:rPr>
        <w:t>产责任保险。承包人需投保安全生产责任保险的，具</w:t>
      </w:r>
      <w:r>
        <w:rPr>
          <w:rFonts w:ascii="宋体" w:hAnsi="宋体" w:cs="宋体"/>
          <w:color w:val="auto"/>
          <w:sz w:val="24"/>
        </w:rPr>
        <w:t>体的保险金额、保险期限等有</w:t>
      </w:r>
      <w:r>
        <w:rPr>
          <w:rFonts w:ascii="宋体" w:hAnsi="宋体" w:cs="宋体"/>
          <w:color w:val="auto"/>
          <w:spacing w:val="-1"/>
          <w:sz w:val="24"/>
        </w:rPr>
        <w:t>关内容在专用合同条款中约定。</w:t>
      </w:r>
    </w:p>
    <w:p w14:paraId="61CE8194">
      <w:pPr>
        <w:spacing w:line="219" w:lineRule="auto"/>
        <w:ind w:left="476"/>
        <w:outlineLvl w:val="3"/>
        <w:rPr>
          <w:rFonts w:ascii="宋体" w:hAnsi="宋体" w:cs="宋体"/>
          <w:color w:val="auto"/>
          <w:sz w:val="24"/>
        </w:rPr>
      </w:pPr>
      <w:r>
        <w:rPr>
          <w:rFonts w:eastAsia="Times New Roman"/>
          <w:b/>
          <w:bCs/>
          <w:color w:val="auto"/>
          <w:spacing w:val="-2"/>
          <w:sz w:val="24"/>
        </w:rPr>
        <w:t xml:space="preserve">20.2  </w:t>
      </w:r>
      <w:r>
        <w:rPr>
          <w:rFonts w:ascii="宋体" w:hAnsi="宋体" w:cs="宋体"/>
          <w:b/>
          <w:bCs/>
          <w:color w:val="auto"/>
          <w:spacing w:val="-2"/>
          <w:sz w:val="24"/>
        </w:rPr>
        <w:t>工程保险及第三者责任险</w:t>
      </w:r>
    </w:p>
    <w:p w14:paraId="470C8A0C">
      <w:pPr>
        <w:spacing w:before="99" w:line="360" w:lineRule="auto"/>
        <w:ind w:left="475"/>
        <w:rPr>
          <w:rFonts w:ascii="宋体" w:hAnsi="宋体" w:cs="宋体"/>
          <w:color w:val="auto"/>
          <w:sz w:val="24"/>
        </w:rPr>
      </w:pPr>
      <w:r>
        <w:rPr>
          <w:rFonts w:eastAsia="Times New Roman"/>
          <w:color w:val="auto"/>
          <w:spacing w:val="-1"/>
          <w:sz w:val="24"/>
        </w:rPr>
        <w:t xml:space="preserve">20.2.1  </w:t>
      </w:r>
      <w:r>
        <w:rPr>
          <w:rFonts w:ascii="宋体" w:hAnsi="宋体" w:cs="宋体"/>
          <w:color w:val="auto"/>
          <w:spacing w:val="-1"/>
          <w:sz w:val="24"/>
        </w:rPr>
        <w:t>工程保险</w:t>
      </w:r>
    </w:p>
    <w:p w14:paraId="17B3082F">
      <w:pPr>
        <w:spacing w:line="360" w:lineRule="auto"/>
        <w:ind w:left="475"/>
        <w:rPr>
          <w:rFonts w:eastAsia="Times New Roman"/>
          <w:color w:val="auto"/>
          <w:spacing w:val="-1"/>
          <w:sz w:val="24"/>
        </w:rPr>
      </w:pPr>
      <w:r>
        <w:rPr>
          <w:rFonts w:hint="eastAsia" w:eastAsia="Times New Roman"/>
          <w:color w:val="auto"/>
          <w:spacing w:val="-1"/>
          <w:sz w:val="24"/>
          <w:lang w:val="en-US" w:eastAsia="zh-CN"/>
        </w:rPr>
        <w:t>本项目取消建筑工程一切险。</w:t>
      </w:r>
    </w:p>
    <w:p w14:paraId="1EB695EB">
      <w:pPr>
        <w:spacing w:line="219" w:lineRule="auto"/>
        <w:ind w:left="475"/>
        <w:rPr>
          <w:rFonts w:ascii="宋体" w:hAnsi="宋体" w:cs="宋体"/>
          <w:color w:val="auto"/>
          <w:sz w:val="24"/>
        </w:rPr>
      </w:pPr>
      <w:r>
        <w:rPr>
          <w:rFonts w:eastAsia="Times New Roman"/>
          <w:color w:val="auto"/>
          <w:spacing w:val="-1"/>
          <w:sz w:val="24"/>
        </w:rPr>
        <w:t xml:space="preserve">20.2.2  </w:t>
      </w:r>
      <w:r>
        <w:rPr>
          <w:rFonts w:ascii="宋体" w:hAnsi="宋体" w:cs="宋体"/>
          <w:color w:val="auto"/>
          <w:spacing w:val="-1"/>
          <w:sz w:val="24"/>
        </w:rPr>
        <w:t>第三者责任险</w:t>
      </w:r>
      <w:bookmarkStart w:id="287" w:name="_GoBack"/>
      <w:bookmarkEnd w:id="287"/>
    </w:p>
    <w:p w14:paraId="645137FB">
      <w:pPr>
        <w:spacing w:before="95" w:line="274" w:lineRule="auto"/>
        <w:ind w:right="25" w:firstLine="490"/>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1</w:t>
      </w:r>
      <w:r>
        <w:rPr>
          <w:rFonts w:ascii="宋体" w:hAnsi="宋体" w:cs="宋体"/>
          <w:color w:val="auto"/>
          <w:spacing w:val="4"/>
          <w:sz w:val="24"/>
        </w:rPr>
        <w:t>）第三者责任系指在保险期内，对因工程意外事故造成的、依法应由</w:t>
      </w:r>
      <w:r>
        <w:rPr>
          <w:rFonts w:ascii="宋体" w:hAnsi="宋体" w:cs="宋体"/>
          <w:color w:val="auto"/>
          <w:spacing w:val="3"/>
          <w:sz w:val="24"/>
        </w:rPr>
        <w:t>被保</w:t>
      </w:r>
      <w:r>
        <w:rPr>
          <w:rFonts w:ascii="宋体" w:hAnsi="宋体" w:cs="宋体"/>
          <w:color w:val="auto"/>
          <w:spacing w:val="1"/>
          <w:sz w:val="24"/>
        </w:rPr>
        <w:t>险人负责的养护作业场地内及毗邻地区的第三者人身伤</w:t>
      </w:r>
      <w:r>
        <w:rPr>
          <w:rFonts w:ascii="宋体" w:hAnsi="宋体" w:cs="宋体"/>
          <w:color w:val="auto"/>
          <w:sz w:val="24"/>
        </w:rPr>
        <w:t>亡、疾病或财产损失（本合</w:t>
      </w:r>
      <w:r>
        <w:rPr>
          <w:rFonts w:ascii="宋体" w:hAnsi="宋体" w:cs="宋体"/>
          <w:color w:val="auto"/>
          <w:spacing w:val="3"/>
          <w:sz w:val="24"/>
        </w:rPr>
        <w:t>同约定的养护项目除外</w:t>
      </w:r>
      <w:r>
        <w:rPr>
          <w:rFonts w:ascii="宋体" w:hAnsi="宋体" w:cs="宋体"/>
          <w:color w:val="auto"/>
          <w:spacing w:val="-36"/>
          <w:sz w:val="24"/>
        </w:rPr>
        <w:t>），</w:t>
      </w:r>
      <w:r>
        <w:rPr>
          <w:rFonts w:ascii="宋体" w:hAnsi="宋体" w:cs="宋体"/>
          <w:color w:val="auto"/>
          <w:spacing w:val="3"/>
          <w:sz w:val="24"/>
        </w:rPr>
        <w:t>以及被保险人因此而支付的诉讼费</w:t>
      </w:r>
      <w:r>
        <w:rPr>
          <w:rFonts w:ascii="宋体" w:hAnsi="宋体" w:cs="宋体"/>
          <w:color w:val="auto"/>
          <w:spacing w:val="2"/>
          <w:sz w:val="24"/>
        </w:rPr>
        <w:t>用和事先经保险人书</w:t>
      </w:r>
      <w:r>
        <w:rPr>
          <w:rFonts w:ascii="宋体" w:hAnsi="宋体" w:cs="宋体"/>
          <w:color w:val="auto"/>
          <w:spacing w:val="-1"/>
          <w:sz w:val="24"/>
        </w:rPr>
        <w:t>面同意支付的其他费用等赔偿责任。</w:t>
      </w:r>
    </w:p>
    <w:p w14:paraId="6DED295B">
      <w:pPr>
        <w:spacing w:before="96" w:line="219" w:lineRule="auto"/>
        <w:jc w:val="right"/>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2</w:t>
      </w:r>
      <w:r>
        <w:rPr>
          <w:rFonts w:ascii="宋体" w:hAnsi="宋体" w:cs="宋体"/>
          <w:color w:val="auto"/>
          <w:spacing w:val="-2"/>
          <w:sz w:val="24"/>
        </w:rPr>
        <w:t>）在缺陷责任期终止证书颁发前，承包人应以承包</w:t>
      </w:r>
      <w:r>
        <w:rPr>
          <w:rFonts w:ascii="宋体" w:hAnsi="宋体" w:cs="宋体"/>
          <w:color w:val="auto"/>
          <w:spacing w:val="-3"/>
          <w:sz w:val="24"/>
        </w:rPr>
        <w:t>人和发包人的共同名义，</w:t>
      </w:r>
      <w:r>
        <w:rPr>
          <w:rFonts w:ascii="宋体" w:hAnsi="宋体" w:cs="宋体"/>
          <w:color w:val="auto"/>
          <w:spacing w:val="-1"/>
          <w:sz w:val="24"/>
        </w:rPr>
        <w:t>投保第三者责任险，其保险费率、最低投保金</w:t>
      </w:r>
      <w:r>
        <w:rPr>
          <w:rFonts w:ascii="宋体" w:hAnsi="宋体" w:cs="宋体"/>
          <w:color w:val="auto"/>
          <w:spacing w:val="-2"/>
          <w:sz w:val="24"/>
        </w:rPr>
        <w:t>额等有关内容在专用合同条款中约定。</w:t>
      </w:r>
    </w:p>
    <w:p w14:paraId="152B2390">
      <w:pPr>
        <w:spacing w:before="111" w:line="219" w:lineRule="auto"/>
        <w:ind w:left="475"/>
        <w:outlineLvl w:val="3"/>
        <w:rPr>
          <w:rFonts w:ascii="宋体" w:hAnsi="宋体" w:cs="宋体"/>
          <w:color w:val="auto"/>
          <w:sz w:val="24"/>
        </w:rPr>
      </w:pPr>
      <w:r>
        <w:rPr>
          <w:rFonts w:eastAsia="Times New Roman"/>
          <w:b/>
          <w:bCs/>
          <w:color w:val="auto"/>
          <w:spacing w:val="-4"/>
          <w:sz w:val="24"/>
        </w:rPr>
        <w:t>20.3</w:t>
      </w:r>
      <w:r>
        <w:rPr>
          <w:rFonts w:ascii="宋体" w:hAnsi="宋体" w:cs="宋体"/>
          <w:b/>
          <w:bCs/>
          <w:color w:val="auto"/>
          <w:spacing w:val="-4"/>
          <w:sz w:val="24"/>
        </w:rPr>
        <w:t>工伤保险</w:t>
      </w:r>
    </w:p>
    <w:p w14:paraId="3361A016">
      <w:pPr>
        <w:spacing w:before="125" w:line="219" w:lineRule="auto"/>
        <w:ind w:left="474"/>
        <w:rPr>
          <w:rFonts w:ascii="宋体" w:hAnsi="宋体" w:cs="宋体"/>
          <w:color w:val="auto"/>
          <w:sz w:val="24"/>
        </w:rPr>
      </w:pPr>
      <w:r>
        <w:rPr>
          <w:rFonts w:eastAsia="Times New Roman"/>
          <w:color w:val="auto"/>
          <w:spacing w:val="-1"/>
          <w:sz w:val="24"/>
        </w:rPr>
        <w:t xml:space="preserve">20.3.1  </w:t>
      </w:r>
      <w:r>
        <w:rPr>
          <w:rFonts w:ascii="宋体" w:hAnsi="宋体" w:cs="宋体"/>
          <w:color w:val="auto"/>
          <w:spacing w:val="-1"/>
          <w:sz w:val="24"/>
        </w:rPr>
        <w:t>承包人员工伤事故的保险</w:t>
      </w:r>
    </w:p>
    <w:p w14:paraId="74C56F85">
      <w:pPr>
        <w:spacing w:before="116" w:line="307" w:lineRule="auto"/>
        <w:ind w:right="164" w:firstLine="478"/>
        <w:rPr>
          <w:rFonts w:ascii="宋体" w:hAnsi="宋体" w:cs="宋体"/>
          <w:color w:val="auto"/>
          <w:sz w:val="24"/>
        </w:rPr>
      </w:pPr>
      <w:r>
        <w:rPr>
          <w:rFonts w:ascii="宋体" w:hAnsi="宋体" w:cs="宋体"/>
          <w:color w:val="auto"/>
          <w:spacing w:val="1"/>
          <w:sz w:val="24"/>
        </w:rPr>
        <w:t>承包人应依照有关法律规定参加工伤保险，为其履行合同</w:t>
      </w:r>
      <w:r>
        <w:rPr>
          <w:rFonts w:ascii="宋体" w:hAnsi="宋体" w:cs="宋体"/>
          <w:color w:val="auto"/>
          <w:sz w:val="24"/>
        </w:rPr>
        <w:t>所雇用的全部人员缴</w:t>
      </w:r>
      <w:r>
        <w:rPr>
          <w:rFonts w:ascii="宋体" w:hAnsi="宋体" w:cs="宋体"/>
          <w:color w:val="auto"/>
          <w:spacing w:val="-1"/>
          <w:sz w:val="24"/>
        </w:rPr>
        <w:t>纳工伤保险费，并要求其分包人也进行此项保险。</w:t>
      </w:r>
    </w:p>
    <w:p w14:paraId="00EB484F">
      <w:pPr>
        <w:spacing w:line="219" w:lineRule="auto"/>
        <w:ind w:left="474"/>
        <w:rPr>
          <w:rFonts w:ascii="宋体" w:hAnsi="宋体" w:cs="宋体"/>
          <w:color w:val="auto"/>
          <w:sz w:val="24"/>
        </w:rPr>
      </w:pPr>
      <w:r>
        <w:rPr>
          <w:rFonts w:eastAsia="Times New Roman"/>
          <w:color w:val="auto"/>
          <w:spacing w:val="-1"/>
          <w:sz w:val="24"/>
        </w:rPr>
        <w:t xml:space="preserve">20.3.2 </w:t>
      </w:r>
      <w:r>
        <w:rPr>
          <w:rFonts w:ascii="宋体" w:hAnsi="宋体" w:cs="宋体"/>
          <w:color w:val="auto"/>
          <w:spacing w:val="-1"/>
          <w:sz w:val="24"/>
        </w:rPr>
        <w:t>发包人员工伤事故的保险</w:t>
      </w:r>
    </w:p>
    <w:p w14:paraId="1E69B778">
      <w:pPr>
        <w:spacing w:before="115" w:line="304" w:lineRule="auto"/>
        <w:ind w:left="1" w:right="164" w:firstLine="480"/>
        <w:rPr>
          <w:rFonts w:ascii="宋体" w:hAnsi="宋体" w:cs="宋体"/>
          <w:color w:val="auto"/>
          <w:sz w:val="24"/>
        </w:rPr>
      </w:pPr>
      <w:r>
        <w:rPr>
          <w:rFonts w:ascii="宋体" w:hAnsi="宋体" w:cs="宋体"/>
          <w:color w:val="auto"/>
          <w:spacing w:val="1"/>
          <w:sz w:val="24"/>
        </w:rPr>
        <w:t>发包人应依照有关法律规定参加工伤保险，为其</w:t>
      </w:r>
      <w:r>
        <w:rPr>
          <w:rFonts w:ascii="宋体" w:hAnsi="宋体" w:cs="宋体"/>
          <w:color w:val="auto"/>
          <w:sz w:val="24"/>
        </w:rPr>
        <w:t>现场机构雇用的全部人员缴纳</w:t>
      </w:r>
      <w:r>
        <w:rPr>
          <w:rFonts w:ascii="宋体" w:hAnsi="宋体" w:cs="宋体"/>
          <w:color w:val="auto"/>
          <w:spacing w:val="-1"/>
          <w:sz w:val="24"/>
        </w:rPr>
        <w:t>工伤保险费，并要求其咨询人也进行此项保险。</w:t>
      </w:r>
    </w:p>
    <w:p w14:paraId="30AC5EF6">
      <w:pPr>
        <w:spacing w:line="219" w:lineRule="auto"/>
        <w:ind w:left="475"/>
        <w:outlineLvl w:val="3"/>
        <w:rPr>
          <w:rFonts w:ascii="宋体" w:hAnsi="宋体" w:cs="宋体"/>
          <w:color w:val="auto"/>
          <w:sz w:val="24"/>
        </w:rPr>
      </w:pPr>
      <w:r>
        <w:rPr>
          <w:rFonts w:eastAsia="Times New Roman"/>
          <w:b/>
          <w:bCs/>
          <w:color w:val="auto"/>
          <w:spacing w:val="-2"/>
          <w:sz w:val="24"/>
        </w:rPr>
        <w:t xml:space="preserve">20.4  </w:t>
      </w:r>
      <w:r>
        <w:rPr>
          <w:rFonts w:ascii="宋体" w:hAnsi="宋体" w:cs="宋体"/>
          <w:b/>
          <w:bCs/>
          <w:color w:val="auto"/>
          <w:spacing w:val="-2"/>
          <w:sz w:val="24"/>
        </w:rPr>
        <w:t>人身意外伤害险</w:t>
      </w:r>
    </w:p>
    <w:p w14:paraId="5C416DD3">
      <w:pPr>
        <w:spacing w:before="125" w:line="263" w:lineRule="auto"/>
        <w:ind w:left="3" w:right="166" w:firstLine="470"/>
        <w:rPr>
          <w:rFonts w:ascii="宋体" w:hAnsi="宋体" w:cs="宋体"/>
          <w:color w:val="auto"/>
          <w:sz w:val="24"/>
        </w:rPr>
      </w:pPr>
      <w:r>
        <w:rPr>
          <w:rFonts w:eastAsia="Times New Roman"/>
          <w:color w:val="auto"/>
          <w:spacing w:val="2"/>
          <w:sz w:val="24"/>
        </w:rPr>
        <w:t xml:space="preserve">20.3.1 </w:t>
      </w:r>
      <w:r>
        <w:rPr>
          <w:rFonts w:ascii="宋体" w:hAnsi="宋体" w:cs="宋体"/>
          <w:color w:val="auto"/>
          <w:spacing w:val="2"/>
          <w:sz w:val="24"/>
        </w:rPr>
        <w:t>承包人应在整个养护作业期间为其现场机构雇用的全部人员投保人身意</w:t>
      </w:r>
      <w:r>
        <w:rPr>
          <w:rFonts w:ascii="宋体" w:hAnsi="宋体" w:cs="宋体"/>
          <w:color w:val="auto"/>
          <w:spacing w:val="-1"/>
          <w:sz w:val="24"/>
        </w:rPr>
        <w:t>外伤害险，缴纳保险费，并要求其分包人也进行此项保险。</w:t>
      </w:r>
    </w:p>
    <w:p w14:paraId="20F6AD83">
      <w:pPr>
        <w:spacing w:before="115" w:line="264" w:lineRule="auto"/>
        <w:ind w:left="3" w:right="166" w:firstLine="470"/>
        <w:rPr>
          <w:rFonts w:ascii="宋体" w:hAnsi="宋体" w:cs="宋体"/>
          <w:color w:val="auto"/>
          <w:sz w:val="24"/>
        </w:rPr>
      </w:pPr>
      <w:r>
        <w:rPr>
          <w:rFonts w:eastAsia="Times New Roman"/>
          <w:color w:val="auto"/>
          <w:spacing w:val="1"/>
          <w:sz w:val="24"/>
        </w:rPr>
        <w:t xml:space="preserve">20.3.2  </w:t>
      </w:r>
      <w:r>
        <w:rPr>
          <w:rFonts w:ascii="宋体" w:hAnsi="宋体" w:cs="宋体"/>
          <w:color w:val="auto"/>
          <w:spacing w:val="1"/>
          <w:sz w:val="24"/>
        </w:rPr>
        <w:t>发包人应在整个养护作业期间为其现场机构</w:t>
      </w:r>
      <w:r>
        <w:rPr>
          <w:rFonts w:ascii="宋体" w:hAnsi="宋体" w:cs="宋体"/>
          <w:color w:val="auto"/>
          <w:sz w:val="24"/>
        </w:rPr>
        <w:t>雇用的全部人员投保人身意</w:t>
      </w:r>
      <w:r>
        <w:rPr>
          <w:rFonts w:ascii="宋体" w:hAnsi="宋体" w:cs="宋体"/>
          <w:color w:val="auto"/>
          <w:spacing w:val="-1"/>
          <w:sz w:val="24"/>
        </w:rPr>
        <w:t>外伤害险，缴纳保险费，并要求其咨询人也进行此项保险。</w:t>
      </w:r>
    </w:p>
    <w:p w14:paraId="02506493">
      <w:pPr>
        <w:spacing w:before="104" w:line="220" w:lineRule="auto"/>
        <w:ind w:left="475"/>
        <w:outlineLvl w:val="3"/>
        <w:rPr>
          <w:rFonts w:ascii="宋体" w:hAnsi="宋体" w:cs="宋体"/>
          <w:color w:val="auto"/>
          <w:sz w:val="24"/>
        </w:rPr>
      </w:pPr>
      <w:r>
        <w:rPr>
          <w:rFonts w:eastAsia="Times New Roman"/>
          <w:b/>
          <w:bCs/>
          <w:color w:val="auto"/>
          <w:spacing w:val="-2"/>
          <w:sz w:val="24"/>
        </w:rPr>
        <w:t xml:space="preserve">20.5  </w:t>
      </w:r>
      <w:r>
        <w:rPr>
          <w:rFonts w:ascii="宋体" w:hAnsi="宋体" w:cs="宋体"/>
          <w:b/>
          <w:bCs/>
          <w:color w:val="auto"/>
          <w:spacing w:val="-2"/>
          <w:sz w:val="24"/>
        </w:rPr>
        <w:t>其他保险</w:t>
      </w:r>
    </w:p>
    <w:p w14:paraId="518B8E1A">
      <w:pPr>
        <w:spacing w:before="123" w:line="304" w:lineRule="auto"/>
        <w:ind w:left="2" w:right="164" w:firstLine="490"/>
        <w:rPr>
          <w:rFonts w:ascii="宋体" w:hAnsi="宋体" w:cs="宋体"/>
          <w:color w:val="auto"/>
          <w:sz w:val="24"/>
        </w:rPr>
      </w:pPr>
      <w:r>
        <w:rPr>
          <w:rFonts w:ascii="宋体" w:hAnsi="宋体" w:cs="宋体"/>
          <w:color w:val="auto"/>
          <w:sz w:val="24"/>
        </w:rPr>
        <w:t>除专用合同条款另有约定外，承包人应为其养护作业设备、进场的材料和工程</w:t>
      </w:r>
      <w:r>
        <w:rPr>
          <w:rFonts w:ascii="宋体" w:hAnsi="宋体" w:cs="宋体"/>
          <w:color w:val="auto"/>
          <w:spacing w:val="-2"/>
          <w:sz w:val="24"/>
        </w:rPr>
        <w:t>设备等办理保险。</w:t>
      </w:r>
    </w:p>
    <w:p w14:paraId="7538CE68">
      <w:pPr>
        <w:spacing w:line="220" w:lineRule="auto"/>
        <w:ind w:left="475"/>
        <w:outlineLvl w:val="3"/>
        <w:rPr>
          <w:rFonts w:ascii="宋体" w:hAnsi="宋体" w:cs="宋体"/>
          <w:color w:val="auto"/>
          <w:sz w:val="24"/>
        </w:rPr>
      </w:pPr>
      <w:r>
        <w:rPr>
          <w:rFonts w:eastAsia="Times New Roman"/>
          <w:b/>
          <w:bCs/>
          <w:color w:val="auto"/>
          <w:spacing w:val="-2"/>
          <w:sz w:val="24"/>
        </w:rPr>
        <w:t xml:space="preserve">20.6  </w:t>
      </w:r>
      <w:r>
        <w:rPr>
          <w:rFonts w:ascii="宋体" w:hAnsi="宋体" w:cs="宋体"/>
          <w:b/>
          <w:bCs/>
          <w:color w:val="auto"/>
          <w:spacing w:val="-2"/>
          <w:sz w:val="24"/>
        </w:rPr>
        <w:t>对各项保险的一般要求</w:t>
      </w:r>
    </w:p>
    <w:p w14:paraId="311A9C1F">
      <w:pPr>
        <w:spacing w:before="125" w:line="219" w:lineRule="auto"/>
        <w:ind w:left="474"/>
        <w:rPr>
          <w:rFonts w:ascii="宋体" w:hAnsi="宋体" w:cs="宋体"/>
          <w:color w:val="auto"/>
          <w:sz w:val="24"/>
        </w:rPr>
      </w:pPr>
      <w:r>
        <w:rPr>
          <w:rFonts w:eastAsia="Times New Roman"/>
          <w:color w:val="auto"/>
          <w:spacing w:val="-1"/>
          <w:sz w:val="24"/>
        </w:rPr>
        <w:t xml:space="preserve">20.6.1  </w:t>
      </w:r>
      <w:r>
        <w:rPr>
          <w:rFonts w:ascii="宋体" w:hAnsi="宋体" w:cs="宋体"/>
          <w:color w:val="auto"/>
          <w:spacing w:val="-1"/>
          <w:sz w:val="24"/>
        </w:rPr>
        <w:t>保险凭证</w:t>
      </w:r>
    </w:p>
    <w:p w14:paraId="5F578C11">
      <w:pPr>
        <w:spacing w:before="117" w:line="307" w:lineRule="auto"/>
        <w:ind w:left="12" w:right="164" w:firstLine="466"/>
        <w:rPr>
          <w:rFonts w:ascii="宋体" w:hAnsi="宋体" w:cs="宋体"/>
          <w:color w:val="auto"/>
          <w:sz w:val="24"/>
        </w:rPr>
      </w:pPr>
      <w:r>
        <w:rPr>
          <w:rFonts w:ascii="宋体" w:hAnsi="宋体" w:cs="宋体"/>
          <w:color w:val="auto"/>
          <w:spacing w:val="1"/>
          <w:sz w:val="24"/>
        </w:rPr>
        <w:t>承包人应在专用合同条款约定的期限内向发包人提交各项</w:t>
      </w:r>
      <w:r>
        <w:rPr>
          <w:rFonts w:ascii="宋体" w:hAnsi="宋体" w:cs="宋体"/>
          <w:color w:val="auto"/>
          <w:sz w:val="24"/>
        </w:rPr>
        <w:t>保险生效的证据和保</w:t>
      </w:r>
      <w:r>
        <w:rPr>
          <w:rFonts w:ascii="宋体" w:hAnsi="宋体" w:cs="宋体"/>
          <w:color w:val="auto"/>
          <w:spacing w:val="-1"/>
          <w:sz w:val="24"/>
        </w:rPr>
        <w:t>险单副本，保险单必须与专用合同条款约定的条件保持一致。</w:t>
      </w:r>
    </w:p>
    <w:p w14:paraId="333A1250">
      <w:pPr>
        <w:spacing w:line="219" w:lineRule="auto"/>
        <w:ind w:left="474"/>
        <w:rPr>
          <w:rFonts w:ascii="宋体" w:hAnsi="宋体" w:cs="宋体"/>
          <w:color w:val="auto"/>
          <w:sz w:val="24"/>
        </w:rPr>
      </w:pPr>
      <w:r>
        <w:rPr>
          <w:rFonts w:eastAsia="Times New Roman"/>
          <w:color w:val="auto"/>
          <w:spacing w:val="-1"/>
          <w:sz w:val="24"/>
        </w:rPr>
        <w:t xml:space="preserve">20.6.2 </w:t>
      </w:r>
      <w:r>
        <w:rPr>
          <w:rFonts w:ascii="宋体" w:hAnsi="宋体" w:cs="宋体"/>
          <w:color w:val="auto"/>
          <w:spacing w:val="-1"/>
          <w:sz w:val="24"/>
        </w:rPr>
        <w:t>保险合同条款的变动</w:t>
      </w:r>
    </w:p>
    <w:p w14:paraId="36F2839D">
      <w:pPr>
        <w:spacing w:before="117" w:line="307" w:lineRule="auto"/>
        <w:ind w:left="12" w:right="164" w:firstLine="466"/>
        <w:rPr>
          <w:rFonts w:ascii="宋体" w:hAnsi="宋体" w:cs="宋体"/>
          <w:color w:val="auto"/>
          <w:sz w:val="24"/>
        </w:rPr>
      </w:pPr>
      <w:r>
        <w:rPr>
          <w:rFonts w:ascii="宋体" w:hAnsi="宋体" w:cs="宋体"/>
          <w:color w:val="auto"/>
          <w:spacing w:val="1"/>
          <w:sz w:val="24"/>
        </w:rPr>
        <w:t>承包人需要变动保险合同条款时，应事先征得发包人同意</w:t>
      </w:r>
      <w:r>
        <w:rPr>
          <w:rFonts w:ascii="宋体" w:hAnsi="宋体" w:cs="宋体"/>
          <w:color w:val="auto"/>
          <w:sz w:val="24"/>
        </w:rPr>
        <w:t>，并通知咨询人。保</w:t>
      </w:r>
      <w:r>
        <w:rPr>
          <w:rFonts w:ascii="宋体" w:hAnsi="宋体" w:cs="宋体"/>
          <w:color w:val="auto"/>
          <w:spacing w:val="-1"/>
          <w:sz w:val="24"/>
        </w:rPr>
        <w:t>险人作出变动的，承包人应在收到保险人通知后立即通知发包人和咨询人。</w:t>
      </w:r>
    </w:p>
    <w:p w14:paraId="1B58A193">
      <w:pPr>
        <w:spacing w:line="219" w:lineRule="auto"/>
        <w:ind w:left="474"/>
        <w:rPr>
          <w:rFonts w:ascii="宋体" w:hAnsi="宋体" w:cs="宋体"/>
          <w:color w:val="auto"/>
          <w:sz w:val="24"/>
        </w:rPr>
      </w:pPr>
      <w:r>
        <w:rPr>
          <w:rFonts w:eastAsia="Times New Roman"/>
          <w:color w:val="auto"/>
          <w:spacing w:val="-1"/>
          <w:sz w:val="24"/>
        </w:rPr>
        <w:t xml:space="preserve">20.6.3  </w:t>
      </w:r>
      <w:r>
        <w:rPr>
          <w:rFonts w:ascii="宋体" w:hAnsi="宋体" w:cs="宋体"/>
          <w:color w:val="auto"/>
          <w:spacing w:val="-1"/>
          <w:sz w:val="24"/>
        </w:rPr>
        <w:t>持续保险</w:t>
      </w:r>
    </w:p>
    <w:p w14:paraId="69B9A9DF">
      <w:pPr>
        <w:spacing w:before="115" w:line="308" w:lineRule="auto"/>
        <w:ind w:right="164" w:firstLine="479"/>
        <w:rPr>
          <w:rFonts w:ascii="宋体" w:hAnsi="宋体" w:cs="宋体"/>
          <w:color w:val="auto"/>
          <w:sz w:val="24"/>
        </w:rPr>
      </w:pPr>
      <w:r>
        <w:rPr>
          <w:rFonts w:ascii="宋体" w:hAnsi="宋体" w:cs="宋体"/>
          <w:color w:val="auto"/>
          <w:spacing w:val="1"/>
          <w:sz w:val="24"/>
        </w:rPr>
        <w:t>承包人应与保险人保持联系，使保险人能够随时了解养护</w:t>
      </w:r>
      <w:r>
        <w:rPr>
          <w:rFonts w:ascii="宋体" w:hAnsi="宋体" w:cs="宋体"/>
          <w:color w:val="auto"/>
          <w:sz w:val="24"/>
        </w:rPr>
        <w:t>项目实施中的变动，</w:t>
      </w:r>
      <w:r>
        <w:rPr>
          <w:rFonts w:ascii="宋体" w:hAnsi="宋体" w:cs="宋体"/>
          <w:color w:val="auto"/>
          <w:spacing w:val="1"/>
          <w:sz w:val="24"/>
        </w:rPr>
        <w:t>并确保按保险合同条款要求持续保险。在整个合同期内</w:t>
      </w:r>
      <w:r>
        <w:rPr>
          <w:rFonts w:ascii="宋体" w:hAnsi="宋体" w:cs="宋体"/>
          <w:color w:val="auto"/>
          <w:sz w:val="24"/>
        </w:rPr>
        <w:t>，承包人应按合同条款约定</w:t>
      </w:r>
      <w:r>
        <w:rPr>
          <w:rFonts w:ascii="宋体" w:hAnsi="宋体" w:cs="宋体"/>
          <w:color w:val="auto"/>
          <w:spacing w:val="-2"/>
          <w:sz w:val="24"/>
        </w:rPr>
        <w:t>保证足够的保险额。</w:t>
      </w:r>
    </w:p>
    <w:p w14:paraId="537D91FA">
      <w:pPr>
        <w:spacing w:line="220" w:lineRule="auto"/>
        <w:ind w:left="474"/>
        <w:rPr>
          <w:rFonts w:ascii="宋体" w:hAnsi="宋体" w:cs="宋体"/>
          <w:color w:val="auto"/>
          <w:sz w:val="24"/>
        </w:rPr>
      </w:pPr>
      <w:r>
        <w:rPr>
          <w:rFonts w:eastAsia="Times New Roman"/>
          <w:color w:val="auto"/>
          <w:spacing w:val="-1"/>
          <w:sz w:val="24"/>
        </w:rPr>
        <w:t xml:space="preserve">20.6.4  </w:t>
      </w:r>
      <w:r>
        <w:rPr>
          <w:rFonts w:ascii="宋体" w:hAnsi="宋体" w:cs="宋体"/>
          <w:color w:val="auto"/>
          <w:spacing w:val="-1"/>
          <w:sz w:val="24"/>
        </w:rPr>
        <w:t>保险金不足的补偿</w:t>
      </w:r>
    </w:p>
    <w:p w14:paraId="14AC139D">
      <w:pPr>
        <w:spacing w:before="113" w:line="308" w:lineRule="auto"/>
        <w:ind w:right="164" w:firstLine="480"/>
        <w:rPr>
          <w:rFonts w:ascii="宋体" w:hAnsi="宋体" w:cs="宋体"/>
          <w:color w:val="auto"/>
          <w:sz w:val="24"/>
        </w:rPr>
      </w:pPr>
      <w:r>
        <w:rPr>
          <w:rFonts w:ascii="宋体" w:hAnsi="宋体" w:cs="宋体"/>
          <w:color w:val="auto"/>
          <w:spacing w:val="4"/>
          <w:sz w:val="24"/>
        </w:rPr>
        <w:t>保险金不足以补偿损失的（包括免赔额和超过赔偿限额</w:t>
      </w:r>
      <w:r>
        <w:rPr>
          <w:rFonts w:ascii="宋体" w:hAnsi="宋体" w:cs="宋体"/>
          <w:color w:val="auto"/>
          <w:spacing w:val="3"/>
          <w:sz w:val="24"/>
        </w:rPr>
        <w:t>的部分</w:t>
      </w:r>
      <w:r>
        <w:rPr>
          <w:rFonts w:ascii="宋体" w:hAnsi="宋体" w:cs="宋体"/>
          <w:color w:val="auto"/>
          <w:spacing w:val="-48"/>
          <w:sz w:val="24"/>
        </w:rPr>
        <w:t>），</w:t>
      </w:r>
      <w:r>
        <w:rPr>
          <w:rFonts w:ascii="宋体" w:hAnsi="宋体" w:cs="宋体"/>
          <w:color w:val="auto"/>
          <w:spacing w:val="3"/>
          <w:sz w:val="24"/>
        </w:rPr>
        <w:t>应由承包人</w:t>
      </w:r>
      <w:r>
        <w:rPr>
          <w:rFonts w:ascii="宋体" w:hAnsi="宋体" w:cs="宋体"/>
          <w:color w:val="auto"/>
          <w:spacing w:val="-1"/>
          <w:sz w:val="24"/>
        </w:rPr>
        <w:t>和（或）发包人按合同约定负责补偿。</w:t>
      </w:r>
    </w:p>
    <w:p w14:paraId="227F24A6">
      <w:pPr>
        <w:spacing w:before="1" w:line="219" w:lineRule="auto"/>
        <w:ind w:left="474"/>
        <w:rPr>
          <w:rFonts w:ascii="宋体" w:hAnsi="宋体" w:cs="宋体"/>
          <w:color w:val="auto"/>
          <w:sz w:val="24"/>
        </w:rPr>
      </w:pPr>
      <w:r>
        <w:rPr>
          <w:rFonts w:eastAsia="Times New Roman"/>
          <w:color w:val="auto"/>
          <w:spacing w:val="-1"/>
          <w:sz w:val="24"/>
        </w:rPr>
        <w:t xml:space="preserve">20.6.5  </w:t>
      </w:r>
      <w:r>
        <w:rPr>
          <w:rFonts w:ascii="宋体" w:hAnsi="宋体" w:cs="宋体"/>
          <w:color w:val="auto"/>
          <w:spacing w:val="-1"/>
          <w:sz w:val="24"/>
        </w:rPr>
        <w:t>未按约定投保的补救</w:t>
      </w:r>
    </w:p>
    <w:p w14:paraId="111E34C0">
      <w:pPr>
        <w:spacing w:before="112" w:line="264" w:lineRule="auto"/>
        <w:ind w:left="1" w:right="164" w:firstLine="488"/>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1</w:t>
      </w:r>
      <w:r>
        <w:rPr>
          <w:rFonts w:ascii="宋体" w:hAnsi="宋体" w:cs="宋体"/>
          <w:color w:val="auto"/>
          <w:spacing w:val="4"/>
          <w:sz w:val="24"/>
        </w:rPr>
        <w:t>）由于负有投保义务的一方当事人未按合同约定办理保险，或未能使</w:t>
      </w:r>
      <w:r>
        <w:rPr>
          <w:rFonts w:ascii="宋体" w:hAnsi="宋体" w:cs="宋体"/>
          <w:color w:val="auto"/>
          <w:spacing w:val="3"/>
          <w:sz w:val="24"/>
        </w:rPr>
        <w:t>保险</w:t>
      </w:r>
      <w:r>
        <w:rPr>
          <w:rFonts w:ascii="宋体" w:hAnsi="宋体" w:cs="宋体"/>
          <w:color w:val="auto"/>
          <w:spacing w:val="-1"/>
          <w:sz w:val="24"/>
        </w:rPr>
        <w:t>持续有效的，另一方当事人可代为办理，所需费用由对方当事人承担。</w:t>
      </w:r>
    </w:p>
    <w:p w14:paraId="68CDE4CA">
      <w:pPr>
        <w:spacing w:before="116" w:line="219" w:lineRule="auto"/>
        <w:ind w:left="490"/>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2</w:t>
      </w:r>
      <w:r>
        <w:rPr>
          <w:rFonts w:ascii="宋体" w:hAnsi="宋体" w:cs="宋体"/>
          <w:color w:val="auto"/>
          <w:spacing w:val="4"/>
          <w:sz w:val="24"/>
        </w:rPr>
        <w:t>）由于负有投保义务的一方当事人未按合同约定办理某项保险，导致</w:t>
      </w:r>
      <w:r>
        <w:rPr>
          <w:rFonts w:ascii="宋体" w:hAnsi="宋体" w:cs="宋体"/>
          <w:color w:val="auto"/>
          <w:spacing w:val="3"/>
          <w:sz w:val="24"/>
        </w:rPr>
        <w:t>受益</w:t>
      </w:r>
      <w:bookmarkStart w:id="171" w:name="bookmark227"/>
      <w:bookmarkEnd w:id="171"/>
      <w:r>
        <w:rPr>
          <w:rFonts w:ascii="宋体" w:hAnsi="宋体" w:cs="宋体"/>
          <w:color w:val="auto"/>
          <w:spacing w:val="1"/>
          <w:sz w:val="24"/>
        </w:rPr>
        <w:t>人未能得到保险人的赔偿，原应从该项保险得到的保</w:t>
      </w:r>
      <w:r>
        <w:rPr>
          <w:rFonts w:ascii="宋体" w:hAnsi="宋体" w:cs="宋体"/>
          <w:color w:val="auto"/>
          <w:sz w:val="24"/>
        </w:rPr>
        <w:t>险金应由负有投保义务的一方</w:t>
      </w:r>
      <w:r>
        <w:rPr>
          <w:rFonts w:ascii="宋体" w:hAnsi="宋体" w:cs="宋体"/>
          <w:color w:val="auto"/>
          <w:spacing w:val="-5"/>
          <w:sz w:val="24"/>
        </w:rPr>
        <w:t>当事人支付。</w:t>
      </w:r>
    </w:p>
    <w:p w14:paraId="410789E4">
      <w:pPr>
        <w:spacing w:before="1" w:line="217" w:lineRule="auto"/>
        <w:ind w:left="476"/>
        <w:rPr>
          <w:rFonts w:ascii="宋体" w:hAnsi="宋体" w:cs="宋体"/>
          <w:color w:val="auto"/>
          <w:sz w:val="24"/>
        </w:rPr>
      </w:pPr>
      <w:r>
        <w:rPr>
          <w:rFonts w:eastAsia="Times New Roman"/>
          <w:color w:val="auto"/>
          <w:spacing w:val="-1"/>
          <w:sz w:val="24"/>
        </w:rPr>
        <w:t xml:space="preserve">20.6.6 </w:t>
      </w:r>
      <w:r>
        <w:rPr>
          <w:rFonts w:ascii="宋体" w:hAnsi="宋体" w:cs="宋体"/>
          <w:color w:val="auto"/>
          <w:spacing w:val="-1"/>
          <w:sz w:val="24"/>
        </w:rPr>
        <w:t>报告义务</w:t>
      </w:r>
    </w:p>
    <w:p w14:paraId="68BA71AD">
      <w:pPr>
        <w:spacing w:before="117" w:line="218" w:lineRule="auto"/>
        <w:jc w:val="right"/>
        <w:rPr>
          <w:rFonts w:ascii="宋体" w:hAnsi="宋体" w:cs="宋体"/>
          <w:color w:val="auto"/>
          <w:sz w:val="24"/>
        </w:rPr>
      </w:pPr>
      <w:r>
        <w:rPr>
          <w:rFonts w:ascii="宋体" w:hAnsi="宋体" w:cs="宋体"/>
          <w:color w:val="auto"/>
          <w:spacing w:val="-2"/>
          <w:sz w:val="24"/>
        </w:rPr>
        <w:t>当保险事故发生时，投保人应按照保险单规定的条件和期限及时向保险人报告。</w:t>
      </w:r>
    </w:p>
    <w:p w14:paraId="07A50467">
      <w:pPr>
        <w:pStyle w:val="21"/>
        <w:spacing w:line="347" w:lineRule="auto"/>
        <w:rPr>
          <w:color w:val="auto"/>
        </w:rPr>
      </w:pPr>
    </w:p>
    <w:p w14:paraId="62810095">
      <w:pPr>
        <w:spacing w:before="78" w:line="219" w:lineRule="auto"/>
        <w:ind w:left="477"/>
        <w:outlineLvl w:val="2"/>
        <w:rPr>
          <w:rFonts w:ascii="宋体" w:hAnsi="宋体" w:cs="宋体"/>
          <w:color w:val="auto"/>
          <w:sz w:val="24"/>
        </w:rPr>
      </w:pPr>
      <w:bookmarkStart w:id="172" w:name="bookmark47"/>
      <w:bookmarkEnd w:id="172"/>
      <w:bookmarkStart w:id="173" w:name="bookmark48"/>
      <w:bookmarkEnd w:id="173"/>
      <w:r>
        <w:rPr>
          <w:rFonts w:eastAsia="Times New Roman"/>
          <w:b/>
          <w:bCs/>
          <w:color w:val="auto"/>
          <w:spacing w:val="-4"/>
          <w:sz w:val="24"/>
        </w:rPr>
        <w:t>21.</w:t>
      </w:r>
      <w:r>
        <w:rPr>
          <w:rFonts w:ascii="宋体" w:hAnsi="宋体" w:cs="宋体"/>
          <w:b/>
          <w:bCs/>
          <w:color w:val="auto"/>
          <w:spacing w:val="-4"/>
          <w:sz w:val="24"/>
        </w:rPr>
        <w:t>不可抗力</w:t>
      </w:r>
    </w:p>
    <w:p w14:paraId="35CADFC8">
      <w:pPr>
        <w:spacing w:before="260" w:line="219" w:lineRule="auto"/>
        <w:ind w:left="477"/>
        <w:outlineLvl w:val="3"/>
        <w:rPr>
          <w:rFonts w:ascii="宋体" w:hAnsi="宋体" w:cs="宋体"/>
          <w:color w:val="auto"/>
          <w:sz w:val="24"/>
        </w:rPr>
      </w:pPr>
      <w:r>
        <w:rPr>
          <w:rFonts w:eastAsia="Times New Roman"/>
          <w:b/>
          <w:bCs/>
          <w:color w:val="auto"/>
          <w:spacing w:val="-2"/>
          <w:sz w:val="24"/>
        </w:rPr>
        <w:t xml:space="preserve">21.1  </w:t>
      </w:r>
      <w:r>
        <w:rPr>
          <w:rFonts w:ascii="宋体" w:hAnsi="宋体" w:cs="宋体"/>
          <w:b/>
          <w:bCs/>
          <w:color w:val="auto"/>
          <w:spacing w:val="-2"/>
          <w:sz w:val="24"/>
        </w:rPr>
        <w:t>不可抗力的确认</w:t>
      </w:r>
    </w:p>
    <w:p w14:paraId="281E9200">
      <w:pPr>
        <w:spacing w:before="126" w:line="308" w:lineRule="auto"/>
        <w:ind w:left="23" w:right="166" w:firstLine="453"/>
        <w:rPr>
          <w:rFonts w:ascii="宋体" w:hAnsi="宋体" w:cs="宋体"/>
          <w:color w:val="auto"/>
          <w:sz w:val="24"/>
        </w:rPr>
      </w:pPr>
      <w:r>
        <w:rPr>
          <w:rFonts w:eastAsia="Times New Roman"/>
          <w:color w:val="auto"/>
          <w:spacing w:val="1"/>
          <w:sz w:val="24"/>
        </w:rPr>
        <w:t xml:space="preserve">21.1.1  </w:t>
      </w:r>
      <w:r>
        <w:rPr>
          <w:rFonts w:ascii="宋体" w:hAnsi="宋体" w:cs="宋体"/>
          <w:color w:val="auto"/>
          <w:spacing w:val="1"/>
          <w:sz w:val="24"/>
        </w:rPr>
        <w:t>不可抗力是指承包人和发包人在订立合同时</w:t>
      </w:r>
      <w:r>
        <w:rPr>
          <w:rFonts w:ascii="宋体" w:hAnsi="宋体" w:cs="宋体"/>
          <w:color w:val="auto"/>
          <w:sz w:val="24"/>
        </w:rPr>
        <w:t>不可预见，在项目养护过程</w:t>
      </w:r>
      <w:r>
        <w:rPr>
          <w:rFonts w:ascii="宋体" w:hAnsi="宋体" w:cs="宋体"/>
          <w:color w:val="auto"/>
          <w:spacing w:val="-1"/>
          <w:sz w:val="24"/>
        </w:rPr>
        <w:t>中不可避免发生并不能克服的自然灾害和社会性突发事件，包括但不限于：</w:t>
      </w:r>
    </w:p>
    <w:p w14:paraId="4DDC2EDF">
      <w:pPr>
        <w:spacing w:line="263" w:lineRule="auto"/>
        <w:ind w:left="1" w:right="164" w:firstLine="490"/>
        <w:rPr>
          <w:rFonts w:ascii="宋体" w:hAnsi="宋体" w:cs="宋体"/>
          <w:color w:val="auto"/>
          <w:sz w:val="24"/>
        </w:rPr>
      </w:pPr>
      <w:r>
        <w:rPr>
          <w:rFonts w:ascii="宋体" w:hAnsi="宋体" w:cs="宋体"/>
          <w:color w:val="auto"/>
          <w:spacing w:val="-3"/>
          <w:sz w:val="24"/>
        </w:rPr>
        <w:t>（</w:t>
      </w:r>
      <w:r>
        <w:rPr>
          <w:rFonts w:eastAsia="Times New Roman"/>
          <w:color w:val="auto"/>
          <w:spacing w:val="-3"/>
          <w:sz w:val="24"/>
        </w:rPr>
        <w:t>1</w:t>
      </w:r>
      <w:r>
        <w:rPr>
          <w:rFonts w:ascii="宋体" w:hAnsi="宋体" w:cs="宋体"/>
          <w:color w:val="auto"/>
          <w:spacing w:val="-3"/>
          <w:sz w:val="24"/>
        </w:rPr>
        <w:t>）地震、海啸、火山爆发、泥石流、暴雨（雪）、台风、龙卷风、水灾等自然灾害；</w:t>
      </w:r>
    </w:p>
    <w:p w14:paraId="18C75ABE">
      <w:pPr>
        <w:spacing w:before="114" w:line="264" w:lineRule="auto"/>
        <w:ind w:right="164" w:firstLine="492"/>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2</w:t>
      </w:r>
      <w:r>
        <w:rPr>
          <w:rFonts w:ascii="宋体" w:hAnsi="宋体" w:cs="宋体"/>
          <w:color w:val="auto"/>
          <w:spacing w:val="4"/>
          <w:sz w:val="24"/>
        </w:rPr>
        <w:t>）战争、骚乱、暴动，但纯属承包人或其分包人派遣与雇用的人员由</w:t>
      </w:r>
      <w:r>
        <w:rPr>
          <w:rFonts w:ascii="宋体" w:hAnsi="宋体" w:cs="宋体"/>
          <w:color w:val="auto"/>
          <w:spacing w:val="3"/>
          <w:sz w:val="24"/>
        </w:rPr>
        <w:t>于实</w:t>
      </w:r>
      <w:r>
        <w:rPr>
          <w:rFonts w:ascii="宋体" w:hAnsi="宋体" w:cs="宋体"/>
          <w:color w:val="auto"/>
          <w:spacing w:val="-1"/>
          <w:sz w:val="24"/>
        </w:rPr>
        <w:t>施养护项目原因引起者除外；</w:t>
      </w:r>
    </w:p>
    <w:p w14:paraId="55C829D3">
      <w:pPr>
        <w:spacing w:before="113" w:line="219" w:lineRule="auto"/>
        <w:ind w:left="492"/>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3</w:t>
      </w:r>
      <w:r>
        <w:rPr>
          <w:rFonts w:ascii="宋体" w:hAnsi="宋体" w:cs="宋体"/>
          <w:color w:val="auto"/>
          <w:spacing w:val="-2"/>
          <w:sz w:val="24"/>
        </w:rPr>
        <w:t>）核反应、辐射或放射性污染；</w:t>
      </w:r>
    </w:p>
    <w:p w14:paraId="33442CF0">
      <w:pPr>
        <w:spacing w:before="116" w:line="218" w:lineRule="auto"/>
        <w:ind w:left="492"/>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4</w:t>
      </w:r>
      <w:r>
        <w:rPr>
          <w:rFonts w:ascii="宋体" w:hAnsi="宋体" w:cs="宋体"/>
          <w:color w:val="auto"/>
          <w:spacing w:val="-1"/>
          <w:sz w:val="24"/>
        </w:rPr>
        <w:t>）空中飞行物体坠落或非发包人或承包人责任造成的爆炸、火灾；</w:t>
      </w:r>
    </w:p>
    <w:p w14:paraId="25C03CA1">
      <w:pPr>
        <w:spacing w:before="118" w:line="219" w:lineRule="auto"/>
        <w:ind w:left="492"/>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5</w:t>
      </w:r>
      <w:r>
        <w:rPr>
          <w:rFonts w:ascii="宋体" w:hAnsi="宋体" w:cs="宋体"/>
          <w:color w:val="auto"/>
          <w:spacing w:val="-2"/>
          <w:sz w:val="24"/>
        </w:rPr>
        <w:t>）专用合同条款约定的其他情形。</w:t>
      </w:r>
    </w:p>
    <w:p w14:paraId="7B9047CB">
      <w:pPr>
        <w:spacing w:before="114" w:line="305" w:lineRule="auto"/>
        <w:ind w:left="4" w:right="18" w:firstLine="471"/>
        <w:rPr>
          <w:rFonts w:ascii="宋体" w:hAnsi="宋体" w:cs="宋体"/>
          <w:color w:val="auto"/>
          <w:sz w:val="24"/>
        </w:rPr>
      </w:pPr>
      <w:r>
        <w:rPr>
          <w:rFonts w:eastAsia="Times New Roman"/>
          <w:color w:val="auto"/>
          <w:spacing w:val="1"/>
          <w:sz w:val="24"/>
        </w:rPr>
        <w:t xml:space="preserve">21.1.2  </w:t>
      </w:r>
      <w:r>
        <w:rPr>
          <w:rFonts w:ascii="宋体" w:hAnsi="宋体" w:cs="宋体"/>
          <w:color w:val="auto"/>
          <w:spacing w:val="1"/>
          <w:sz w:val="24"/>
        </w:rPr>
        <w:t>不可抗力发生后，发包人和承包人应及时认</w:t>
      </w:r>
      <w:r>
        <w:rPr>
          <w:rFonts w:ascii="宋体" w:hAnsi="宋体" w:cs="宋体"/>
          <w:color w:val="auto"/>
          <w:sz w:val="24"/>
        </w:rPr>
        <w:t>真统计所造成的损失，收集</w:t>
      </w:r>
      <w:r>
        <w:rPr>
          <w:rFonts w:ascii="宋体" w:hAnsi="宋体" w:cs="宋体"/>
          <w:color w:val="auto"/>
          <w:spacing w:val="-2"/>
          <w:sz w:val="24"/>
        </w:rPr>
        <w:t>不可抗力造成损失的证据。合同双方对是否属于不可抗力或其损失的意见不一致的，</w:t>
      </w:r>
      <w:r>
        <w:rPr>
          <w:rFonts w:ascii="宋体" w:hAnsi="宋体" w:cs="宋体"/>
          <w:color w:val="auto"/>
          <w:spacing w:val="-1"/>
          <w:sz w:val="24"/>
        </w:rPr>
        <w:t>由咨询人按第</w:t>
      </w:r>
      <w:r>
        <w:rPr>
          <w:rFonts w:eastAsia="Times New Roman"/>
          <w:color w:val="auto"/>
          <w:spacing w:val="-1"/>
          <w:sz w:val="24"/>
        </w:rPr>
        <w:t xml:space="preserve">3.5 </w:t>
      </w:r>
      <w:r>
        <w:rPr>
          <w:rFonts w:ascii="宋体" w:hAnsi="宋体" w:cs="宋体"/>
          <w:color w:val="auto"/>
          <w:spacing w:val="-1"/>
          <w:sz w:val="24"/>
        </w:rPr>
        <w:t>款商定或确定。发生争议时，按第</w:t>
      </w:r>
      <w:r>
        <w:rPr>
          <w:rFonts w:eastAsia="Times New Roman"/>
          <w:color w:val="auto"/>
          <w:spacing w:val="-1"/>
          <w:sz w:val="24"/>
        </w:rPr>
        <w:t xml:space="preserve">24 </w:t>
      </w:r>
      <w:r>
        <w:rPr>
          <w:rFonts w:ascii="宋体" w:hAnsi="宋体" w:cs="宋体"/>
          <w:color w:val="auto"/>
          <w:spacing w:val="-1"/>
          <w:sz w:val="24"/>
        </w:rPr>
        <w:t>条的约定办理。</w:t>
      </w:r>
    </w:p>
    <w:p w14:paraId="11BC13AE">
      <w:pPr>
        <w:spacing w:line="219" w:lineRule="auto"/>
        <w:ind w:left="477"/>
        <w:outlineLvl w:val="3"/>
        <w:rPr>
          <w:rFonts w:ascii="宋体" w:hAnsi="宋体" w:cs="宋体"/>
          <w:color w:val="auto"/>
          <w:sz w:val="24"/>
        </w:rPr>
      </w:pPr>
      <w:r>
        <w:rPr>
          <w:rFonts w:eastAsia="Times New Roman"/>
          <w:b/>
          <w:bCs/>
          <w:color w:val="auto"/>
          <w:spacing w:val="-2"/>
          <w:sz w:val="24"/>
        </w:rPr>
        <w:t xml:space="preserve">21.2  </w:t>
      </w:r>
      <w:r>
        <w:rPr>
          <w:rFonts w:ascii="宋体" w:hAnsi="宋体" w:cs="宋体"/>
          <w:b/>
          <w:bCs/>
          <w:color w:val="auto"/>
          <w:spacing w:val="-2"/>
          <w:sz w:val="24"/>
        </w:rPr>
        <w:t>不可抗力的通知</w:t>
      </w:r>
    </w:p>
    <w:p w14:paraId="6AEFAEB1">
      <w:pPr>
        <w:spacing w:before="125" w:line="278" w:lineRule="auto"/>
        <w:ind w:right="164" w:firstLine="475"/>
        <w:rPr>
          <w:rFonts w:ascii="宋体" w:hAnsi="宋体" w:cs="宋体"/>
          <w:color w:val="auto"/>
          <w:sz w:val="24"/>
        </w:rPr>
      </w:pPr>
      <w:r>
        <w:rPr>
          <w:rFonts w:eastAsia="Times New Roman"/>
          <w:color w:val="auto"/>
          <w:spacing w:val="1"/>
          <w:sz w:val="24"/>
        </w:rPr>
        <w:t xml:space="preserve">21.2.1  </w:t>
      </w:r>
      <w:r>
        <w:rPr>
          <w:rFonts w:ascii="宋体" w:hAnsi="宋体" w:cs="宋体"/>
          <w:color w:val="auto"/>
          <w:spacing w:val="1"/>
          <w:sz w:val="24"/>
        </w:rPr>
        <w:t>合同一方当事人遇到不可抗力事件，使其履</w:t>
      </w:r>
      <w:r>
        <w:rPr>
          <w:rFonts w:ascii="宋体" w:hAnsi="宋体" w:cs="宋体"/>
          <w:color w:val="auto"/>
          <w:sz w:val="24"/>
        </w:rPr>
        <w:t>行合同义务受到阻碍时，应</w:t>
      </w:r>
      <w:r>
        <w:rPr>
          <w:rFonts w:ascii="宋体" w:hAnsi="宋体" w:cs="宋体"/>
          <w:color w:val="auto"/>
          <w:spacing w:val="1"/>
          <w:sz w:val="24"/>
        </w:rPr>
        <w:t>立即通知合同另一方当事人和咨询人，书面说明不可抗力</w:t>
      </w:r>
      <w:r>
        <w:rPr>
          <w:rFonts w:ascii="宋体" w:hAnsi="宋体" w:cs="宋体"/>
          <w:color w:val="auto"/>
          <w:sz w:val="24"/>
        </w:rPr>
        <w:t>和受阻碍的详细情况，并</w:t>
      </w:r>
      <w:r>
        <w:rPr>
          <w:rFonts w:ascii="宋体" w:hAnsi="宋体" w:cs="宋体"/>
          <w:color w:val="auto"/>
          <w:spacing w:val="-2"/>
          <w:sz w:val="24"/>
        </w:rPr>
        <w:t>提供必要的证明。</w:t>
      </w:r>
    </w:p>
    <w:p w14:paraId="59DD69DD">
      <w:pPr>
        <w:spacing w:before="115" w:line="278" w:lineRule="auto"/>
        <w:ind w:right="164" w:firstLine="475"/>
        <w:rPr>
          <w:rFonts w:ascii="宋体" w:hAnsi="宋体" w:cs="宋体"/>
          <w:color w:val="auto"/>
          <w:sz w:val="24"/>
        </w:rPr>
      </w:pPr>
      <w:r>
        <w:rPr>
          <w:rFonts w:eastAsia="Times New Roman"/>
          <w:color w:val="auto"/>
          <w:spacing w:val="1"/>
          <w:sz w:val="24"/>
        </w:rPr>
        <w:t xml:space="preserve">21.2.2  </w:t>
      </w:r>
      <w:r>
        <w:rPr>
          <w:rFonts w:ascii="宋体" w:hAnsi="宋体" w:cs="宋体"/>
          <w:color w:val="auto"/>
          <w:spacing w:val="1"/>
          <w:sz w:val="24"/>
        </w:rPr>
        <w:t>如不可抗力持续发生，合同一方当事人应及</w:t>
      </w:r>
      <w:r>
        <w:rPr>
          <w:rFonts w:ascii="宋体" w:hAnsi="宋体" w:cs="宋体"/>
          <w:color w:val="auto"/>
          <w:sz w:val="24"/>
        </w:rPr>
        <w:t>时向合同另一方当事人和咨</w:t>
      </w:r>
      <w:r>
        <w:rPr>
          <w:rFonts w:ascii="宋体" w:hAnsi="宋体" w:cs="宋体"/>
          <w:color w:val="auto"/>
          <w:spacing w:val="1"/>
          <w:sz w:val="24"/>
        </w:rPr>
        <w:t>询人提交中间报告，说明不可抗力和履行合同受阻的情况</w:t>
      </w:r>
      <w:r>
        <w:rPr>
          <w:rFonts w:ascii="宋体" w:hAnsi="宋体" w:cs="宋体"/>
          <w:color w:val="auto"/>
          <w:sz w:val="24"/>
        </w:rPr>
        <w:t>，并于不可抗力事件结束</w:t>
      </w:r>
      <w:r>
        <w:rPr>
          <w:rFonts w:ascii="宋体" w:hAnsi="宋体" w:cs="宋体"/>
          <w:color w:val="auto"/>
          <w:spacing w:val="-1"/>
          <w:sz w:val="24"/>
        </w:rPr>
        <w:t>后</w:t>
      </w:r>
      <w:r>
        <w:rPr>
          <w:rFonts w:eastAsia="Times New Roman"/>
          <w:color w:val="auto"/>
          <w:spacing w:val="-1"/>
          <w:sz w:val="24"/>
        </w:rPr>
        <w:t xml:space="preserve">28 </w:t>
      </w:r>
      <w:r>
        <w:rPr>
          <w:rFonts w:ascii="宋体" w:hAnsi="宋体" w:cs="宋体"/>
          <w:color w:val="auto"/>
          <w:spacing w:val="-1"/>
          <w:sz w:val="24"/>
        </w:rPr>
        <w:t>天内提交最终报告及有关资料。</w:t>
      </w:r>
    </w:p>
    <w:p w14:paraId="0F4819E9">
      <w:pPr>
        <w:spacing w:before="108" w:line="219" w:lineRule="auto"/>
        <w:ind w:left="477"/>
        <w:outlineLvl w:val="3"/>
        <w:rPr>
          <w:rFonts w:ascii="宋体" w:hAnsi="宋体" w:cs="宋体"/>
          <w:color w:val="auto"/>
          <w:sz w:val="24"/>
        </w:rPr>
      </w:pPr>
      <w:r>
        <w:rPr>
          <w:rFonts w:eastAsia="Times New Roman"/>
          <w:b/>
          <w:bCs/>
          <w:color w:val="auto"/>
          <w:spacing w:val="-2"/>
          <w:sz w:val="24"/>
        </w:rPr>
        <w:t xml:space="preserve">21.3  </w:t>
      </w:r>
      <w:r>
        <w:rPr>
          <w:rFonts w:ascii="宋体" w:hAnsi="宋体" w:cs="宋体"/>
          <w:b/>
          <w:bCs/>
          <w:color w:val="auto"/>
          <w:spacing w:val="-2"/>
          <w:sz w:val="24"/>
        </w:rPr>
        <w:t>不可抗力后果及其处理</w:t>
      </w:r>
    </w:p>
    <w:p w14:paraId="30F4A49F">
      <w:pPr>
        <w:spacing w:before="126" w:line="219" w:lineRule="auto"/>
        <w:ind w:left="476"/>
        <w:rPr>
          <w:rFonts w:ascii="宋体" w:hAnsi="宋体" w:cs="宋体"/>
          <w:color w:val="auto"/>
          <w:sz w:val="24"/>
        </w:rPr>
      </w:pPr>
      <w:r>
        <w:rPr>
          <w:rFonts w:eastAsia="Times New Roman"/>
          <w:color w:val="auto"/>
          <w:spacing w:val="-1"/>
          <w:sz w:val="24"/>
        </w:rPr>
        <w:t xml:space="preserve">21.3.1  </w:t>
      </w:r>
      <w:r>
        <w:rPr>
          <w:rFonts w:ascii="宋体" w:hAnsi="宋体" w:cs="宋体"/>
          <w:color w:val="auto"/>
          <w:spacing w:val="-1"/>
          <w:sz w:val="24"/>
        </w:rPr>
        <w:t>不可抗力造成损害的责任</w:t>
      </w:r>
    </w:p>
    <w:p w14:paraId="01A299EC">
      <w:pPr>
        <w:spacing w:before="114" w:line="308" w:lineRule="auto"/>
        <w:ind w:left="1" w:right="164" w:firstLine="493"/>
        <w:rPr>
          <w:rFonts w:ascii="宋体" w:hAnsi="宋体" w:cs="宋体"/>
          <w:color w:val="auto"/>
          <w:sz w:val="24"/>
        </w:rPr>
      </w:pPr>
      <w:r>
        <w:rPr>
          <w:rFonts w:ascii="宋体" w:hAnsi="宋体" w:cs="宋体"/>
          <w:color w:val="auto"/>
          <w:sz w:val="24"/>
        </w:rPr>
        <w:t>除专用合同条款另有约定外，不可抗力导致的人员伤亡、财产损失、费用增加</w:t>
      </w:r>
      <w:r>
        <w:rPr>
          <w:rFonts w:ascii="宋体" w:hAnsi="宋体" w:cs="宋体"/>
          <w:color w:val="auto"/>
          <w:spacing w:val="-1"/>
          <w:sz w:val="24"/>
        </w:rPr>
        <w:t>和（或）工期延误等后果，由合同双方按以下原则承担：</w:t>
      </w:r>
    </w:p>
    <w:p w14:paraId="47C19DA7">
      <w:pPr>
        <w:spacing w:before="2" w:line="262" w:lineRule="auto"/>
        <w:ind w:left="3" w:right="164" w:firstLine="488"/>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1</w:t>
      </w:r>
      <w:r>
        <w:rPr>
          <w:rFonts w:ascii="宋体" w:hAnsi="宋体" w:cs="宋体"/>
          <w:color w:val="auto"/>
          <w:spacing w:val="4"/>
          <w:sz w:val="24"/>
        </w:rPr>
        <w:t>）养护工程，包括已运至养护作业场地的材料和工程设备的损害，以</w:t>
      </w:r>
      <w:r>
        <w:rPr>
          <w:rFonts w:ascii="宋体" w:hAnsi="宋体" w:cs="宋体"/>
          <w:color w:val="auto"/>
          <w:spacing w:val="3"/>
          <w:sz w:val="24"/>
        </w:rPr>
        <w:t>及因</w:t>
      </w:r>
      <w:r>
        <w:rPr>
          <w:rFonts w:ascii="宋体" w:hAnsi="宋体" w:cs="宋体"/>
          <w:color w:val="auto"/>
          <w:spacing w:val="-1"/>
          <w:sz w:val="24"/>
        </w:rPr>
        <w:t>工程损害造成的第三者人员伤亡和财产损失由发包人承担；</w:t>
      </w:r>
    </w:p>
    <w:p w14:paraId="2CFE363D">
      <w:pPr>
        <w:spacing w:before="116" w:line="219" w:lineRule="auto"/>
        <w:ind w:left="492"/>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2</w:t>
      </w:r>
      <w:r>
        <w:rPr>
          <w:rFonts w:ascii="宋体" w:hAnsi="宋体" w:cs="宋体"/>
          <w:color w:val="auto"/>
          <w:spacing w:val="-2"/>
          <w:sz w:val="24"/>
        </w:rPr>
        <w:t>）承包人设备的损坏由承包人承担；</w:t>
      </w:r>
    </w:p>
    <w:p w14:paraId="59194A68">
      <w:pPr>
        <w:spacing w:before="116" w:line="219" w:lineRule="auto"/>
        <w:ind w:left="492"/>
        <w:rPr>
          <w:rFonts w:ascii="宋体" w:hAnsi="宋体" w:cs="宋体"/>
          <w:color w:val="auto"/>
          <w:spacing w:val="-1"/>
          <w:sz w:val="24"/>
        </w:rPr>
      </w:pPr>
      <w:r>
        <w:rPr>
          <w:rFonts w:ascii="宋体" w:hAnsi="宋体" w:cs="宋体"/>
          <w:color w:val="auto"/>
          <w:spacing w:val="-1"/>
          <w:sz w:val="24"/>
        </w:rPr>
        <w:t>（</w:t>
      </w:r>
      <w:r>
        <w:rPr>
          <w:rFonts w:eastAsia="Times New Roman"/>
          <w:color w:val="auto"/>
          <w:spacing w:val="-1"/>
          <w:sz w:val="24"/>
        </w:rPr>
        <w:t>3</w:t>
      </w:r>
      <w:r>
        <w:rPr>
          <w:rFonts w:ascii="宋体" w:hAnsi="宋体" w:cs="宋体"/>
          <w:color w:val="auto"/>
          <w:spacing w:val="-1"/>
          <w:sz w:val="24"/>
        </w:rPr>
        <w:t>）发包人和承包人各自承担其人员伤亡和其他财产损失及其相关费用；</w:t>
      </w:r>
    </w:p>
    <w:p w14:paraId="77BB2CD7">
      <w:pPr>
        <w:spacing w:before="116" w:line="219" w:lineRule="auto"/>
        <w:ind w:left="492"/>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4</w:t>
      </w:r>
      <w:r>
        <w:rPr>
          <w:rFonts w:ascii="宋体" w:hAnsi="宋体" w:cs="宋体"/>
          <w:color w:val="auto"/>
          <w:spacing w:val="4"/>
          <w:sz w:val="24"/>
        </w:rPr>
        <w:t>）承包人的停工损失由承包人承担，但停工期间应咨询人要求照管工</w:t>
      </w:r>
      <w:r>
        <w:rPr>
          <w:rFonts w:ascii="宋体" w:hAnsi="宋体" w:cs="宋体"/>
          <w:color w:val="auto"/>
          <w:spacing w:val="3"/>
          <w:sz w:val="24"/>
        </w:rPr>
        <w:t>程和</w:t>
      </w:r>
      <w:r>
        <w:rPr>
          <w:rFonts w:ascii="宋体" w:hAnsi="宋体" w:cs="宋体"/>
          <w:color w:val="auto"/>
          <w:spacing w:val="-1"/>
          <w:sz w:val="24"/>
        </w:rPr>
        <w:t>清理、修复工程的金额由发包人承担；</w:t>
      </w:r>
    </w:p>
    <w:p w14:paraId="5DF58CA1">
      <w:pPr>
        <w:spacing w:before="114" w:line="263" w:lineRule="auto"/>
        <w:ind w:left="4" w:right="39" w:firstLine="487"/>
        <w:rPr>
          <w:rFonts w:ascii="宋体" w:hAnsi="宋体" w:cs="宋体"/>
          <w:color w:val="auto"/>
          <w:sz w:val="24"/>
        </w:rPr>
      </w:pPr>
      <w:r>
        <w:rPr>
          <w:rFonts w:ascii="宋体" w:hAnsi="宋体" w:cs="宋体"/>
          <w:color w:val="auto"/>
          <w:spacing w:val="3"/>
          <w:sz w:val="24"/>
        </w:rPr>
        <w:t>（</w:t>
      </w:r>
      <w:r>
        <w:rPr>
          <w:rFonts w:eastAsia="Times New Roman"/>
          <w:color w:val="auto"/>
          <w:spacing w:val="3"/>
          <w:sz w:val="24"/>
        </w:rPr>
        <w:t>5</w:t>
      </w:r>
      <w:r>
        <w:rPr>
          <w:rFonts w:ascii="宋体" w:hAnsi="宋体" w:cs="宋体"/>
          <w:color w:val="auto"/>
          <w:spacing w:val="3"/>
          <w:sz w:val="24"/>
        </w:rPr>
        <w:t>）不能按期交工的，应合理延长工期，承包人不需支付</w:t>
      </w:r>
      <w:r>
        <w:rPr>
          <w:rFonts w:ascii="宋体" w:hAnsi="宋体" w:cs="宋体"/>
          <w:color w:val="auto"/>
          <w:spacing w:val="2"/>
          <w:sz w:val="24"/>
        </w:rPr>
        <w:t>逾期交工违约金。</w:t>
      </w:r>
      <w:r>
        <w:rPr>
          <w:rFonts w:ascii="宋体" w:hAnsi="宋体" w:cs="宋体"/>
          <w:color w:val="auto"/>
          <w:spacing w:val="-1"/>
          <w:sz w:val="24"/>
        </w:rPr>
        <w:t>发包人要求赶工的，承包人应采取赶工措施，赶工费用由发包人承担。</w:t>
      </w:r>
    </w:p>
    <w:p w14:paraId="711B7D0E">
      <w:pPr>
        <w:spacing w:before="117" w:line="219" w:lineRule="auto"/>
        <w:ind w:left="476"/>
        <w:rPr>
          <w:rFonts w:ascii="宋体" w:hAnsi="宋体" w:cs="宋体"/>
          <w:color w:val="auto"/>
          <w:sz w:val="24"/>
        </w:rPr>
      </w:pPr>
      <w:r>
        <w:rPr>
          <w:rFonts w:eastAsia="Times New Roman"/>
          <w:color w:val="auto"/>
          <w:spacing w:val="-1"/>
          <w:sz w:val="24"/>
        </w:rPr>
        <w:t xml:space="preserve">21.3.2  </w:t>
      </w:r>
      <w:r>
        <w:rPr>
          <w:rFonts w:ascii="宋体" w:hAnsi="宋体" w:cs="宋体"/>
          <w:color w:val="auto"/>
          <w:spacing w:val="-1"/>
          <w:sz w:val="24"/>
        </w:rPr>
        <w:t>延迟履行期间发生的不可抗力</w:t>
      </w:r>
    </w:p>
    <w:p w14:paraId="36865F59">
      <w:pPr>
        <w:spacing w:before="113" w:line="219" w:lineRule="auto"/>
        <w:ind w:right="35"/>
        <w:jc w:val="right"/>
        <w:rPr>
          <w:rFonts w:ascii="宋体" w:hAnsi="宋体" w:cs="宋体"/>
          <w:color w:val="auto"/>
          <w:sz w:val="24"/>
        </w:rPr>
      </w:pPr>
      <w:r>
        <w:rPr>
          <w:rFonts w:ascii="宋体" w:hAnsi="宋体" w:cs="宋体"/>
          <w:color w:val="auto"/>
          <w:sz w:val="24"/>
        </w:rPr>
        <w:t>合同一方当事人延迟履行，在延迟履行期间发生不</w:t>
      </w:r>
      <w:r>
        <w:rPr>
          <w:rFonts w:ascii="宋体" w:hAnsi="宋体" w:cs="宋体"/>
          <w:color w:val="auto"/>
          <w:spacing w:val="-1"/>
          <w:sz w:val="24"/>
        </w:rPr>
        <w:t>可抗力的，不免除其责任。</w:t>
      </w:r>
    </w:p>
    <w:p w14:paraId="68972292">
      <w:pPr>
        <w:spacing w:before="116" w:line="219" w:lineRule="auto"/>
        <w:ind w:left="476"/>
        <w:rPr>
          <w:rFonts w:ascii="宋体" w:hAnsi="宋体" w:cs="宋体"/>
          <w:color w:val="auto"/>
          <w:sz w:val="24"/>
        </w:rPr>
      </w:pPr>
      <w:r>
        <w:rPr>
          <w:rFonts w:eastAsia="Times New Roman"/>
          <w:color w:val="auto"/>
          <w:spacing w:val="-1"/>
          <w:sz w:val="24"/>
        </w:rPr>
        <w:t xml:space="preserve">21.3.3  </w:t>
      </w:r>
      <w:r>
        <w:rPr>
          <w:rFonts w:ascii="宋体" w:hAnsi="宋体" w:cs="宋体"/>
          <w:color w:val="auto"/>
          <w:spacing w:val="-1"/>
          <w:sz w:val="24"/>
        </w:rPr>
        <w:t>避免和减少不可抗力损失</w:t>
      </w:r>
    </w:p>
    <w:p w14:paraId="73A32262">
      <w:pPr>
        <w:spacing w:before="116" w:line="307" w:lineRule="auto"/>
        <w:ind w:right="58" w:firstLine="484"/>
        <w:rPr>
          <w:rFonts w:ascii="宋体" w:hAnsi="宋体" w:cs="宋体"/>
          <w:color w:val="auto"/>
          <w:sz w:val="24"/>
        </w:rPr>
      </w:pPr>
      <w:r>
        <w:rPr>
          <w:rFonts w:ascii="宋体" w:hAnsi="宋体" w:cs="宋体"/>
          <w:color w:val="auto"/>
          <w:spacing w:val="-1"/>
          <w:sz w:val="24"/>
        </w:rPr>
        <w:t>不可抗力发生后，发包人和承包人均应采取措施尽量避免和减少损失的</w:t>
      </w:r>
      <w:r>
        <w:rPr>
          <w:rFonts w:ascii="宋体" w:hAnsi="宋体" w:cs="宋体"/>
          <w:color w:val="auto"/>
          <w:spacing w:val="-2"/>
          <w:sz w:val="24"/>
        </w:rPr>
        <w:t>扩大，</w:t>
      </w:r>
      <w:r>
        <w:rPr>
          <w:rFonts w:ascii="宋体" w:hAnsi="宋体" w:cs="宋体"/>
          <w:color w:val="auto"/>
          <w:sz w:val="24"/>
        </w:rPr>
        <w:t>任何一方没有采取有效措施导致损失扩大的，应对</w:t>
      </w:r>
      <w:r>
        <w:rPr>
          <w:rFonts w:ascii="宋体" w:hAnsi="宋体" w:cs="宋体"/>
          <w:color w:val="auto"/>
          <w:spacing w:val="-1"/>
          <w:sz w:val="24"/>
        </w:rPr>
        <w:t>扩大的损失承担责任。</w:t>
      </w:r>
    </w:p>
    <w:p w14:paraId="2F87D795">
      <w:pPr>
        <w:spacing w:line="219" w:lineRule="auto"/>
        <w:ind w:left="476"/>
        <w:rPr>
          <w:rFonts w:ascii="宋体" w:hAnsi="宋体" w:cs="宋体"/>
          <w:color w:val="auto"/>
          <w:sz w:val="24"/>
        </w:rPr>
      </w:pPr>
      <w:r>
        <w:rPr>
          <w:rFonts w:eastAsia="Times New Roman"/>
          <w:color w:val="auto"/>
          <w:spacing w:val="-3"/>
          <w:sz w:val="24"/>
        </w:rPr>
        <w:t>21.3.4</w:t>
      </w:r>
      <w:r>
        <w:rPr>
          <w:rFonts w:ascii="宋体" w:hAnsi="宋体" w:cs="宋体"/>
          <w:color w:val="auto"/>
          <w:spacing w:val="-3"/>
          <w:sz w:val="24"/>
        </w:rPr>
        <w:t>因不可抗力解除合同</w:t>
      </w:r>
    </w:p>
    <w:p w14:paraId="40858A08">
      <w:pPr>
        <w:spacing w:before="117" w:line="308" w:lineRule="auto"/>
        <w:ind w:firstLine="480"/>
        <w:rPr>
          <w:rFonts w:ascii="宋体" w:hAnsi="宋体" w:cs="宋体"/>
          <w:color w:val="auto"/>
          <w:sz w:val="24"/>
        </w:rPr>
      </w:pPr>
      <w:r>
        <w:rPr>
          <w:rFonts w:ascii="宋体" w:hAnsi="宋体" w:cs="宋体"/>
          <w:color w:val="auto"/>
          <w:spacing w:val="1"/>
          <w:sz w:val="24"/>
        </w:rPr>
        <w:t>合同一方当事人因不可抗力不能履行合同的，应当及时</w:t>
      </w:r>
      <w:r>
        <w:rPr>
          <w:rFonts w:ascii="宋体" w:hAnsi="宋体" w:cs="宋体"/>
          <w:color w:val="auto"/>
          <w:sz w:val="24"/>
        </w:rPr>
        <w:t>通知对方解除合同。合同解除后，承包人应按照第</w:t>
      </w:r>
      <w:r>
        <w:rPr>
          <w:rFonts w:eastAsia="Times New Roman"/>
          <w:color w:val="auto"/>
          <w:sz w:val="24"/>
        </w:rPr>
        <w:t xml:space="preserve">22.2.5 </w:t>
      </w:r>
      <w:r>
        <w:rPr>
          <w:rFonts w:ascii="宋体" w:hAnsi="宋体" w:cs="宋体"/>
          <w:color w:val="auto"/>
          <w:sz w:val="24"/>
        </w:rPr>
        <w:t>项约定撤离养护作业场地。已经订货的材料、设</w:t>
      </w:r>
      <w:r>
        <w:rPr>
          <w:rFonts w:ascii="宋体" w:hAnsi="宋体" w:cs="宋体"/>
          <w:color w:val="auto"/>
          <w:spacing w:val="1"/>
          <w:sz w:val="24"/>
        </w:rPr>
        <w:t>备由订货方负责退货或解除订货合同，不能退还的货款和</w:t>
      </w:r>
      <w:r>
        <w:rPr>
          <w:rFonts w:ascii="宋体" w:hAnsi="宋体" w:cs="宋体"/>
          <w:color w:val="auto"/>
          <w:sz w:val="24"/>
        </w:rPr>
        <w:t>因退货、解除订货合同发</w:t>
      </w:r>
      <w:r>
        <w:rPr>
          <w:rFonts w:ascii="宋体" w:hAnsi="宋体" w:cs="宋体"/>
          <w:color w:val="auto"/>
          <w:spacing w:val="1"/>
          <w:sz w:val="24"/>
        </w:rPr>
        <w:t>生的费用，由发包人承担，因未及时退货造成的损失由责</w:t>
      </w:r>
      <w:r>
        <w:rPr>
          <w:rFonts w:ascii="宋体" w:hAnsi="宋体" w:cs="宋体"/>
          <w:color w:val="auto"/>
          <w:sz w:val="24"/>
        </w:rPr>
        <w:t>任方承担。合同解除后的</w:t>
      </w:r>
      <w:r>
        <w:rPr>
          <w:rFonts w:ascii="宋体" w:hAnsi="宋体" w:cs="宋体"/>
          <w:color w:val="auto"/>
          <w:spacing w:val="1"/>
          <w:sz w:val="24"/>
        </w:rPr>
        <w:t>付款，参照第</w:t>
      </w:r>
      <w:r>
        <w:rPr>
          <w:rFonts w:eastAsia="Times New Roman"/>
          <w:color w:val="auto"/>
          <w:spacing w:val="1"/>
          <w:sz w:val="24"/>
        </w:rPr>
        <w:t>22.2.4</w:t>
      </w:r>
      <w:r>
        <w:rPr>
          <w:rFonts w:ascii="宋体" w:hAnsi="宋体" w:cs="宋体"/>
          <w:color w:val="auto"/>
          <w:spacing w:val="1"/>
          <w:sz w:val="24"/>
        </w:rPr>
        <w:t>项约定，由咨询人按第</w:t>
      </w:r>
      <w:r>
        <w:rPr>
          <w:rFonts w:eastAsia="Times New Roman"/>
          <w:color w:val="auto"/>
          <w:spacing w:val="1"/>
          <w:sz w:val="24"/>
        </w:rPr>
        <w:t xml:space="preserve">3.5 </w:t>
      </w:r>
      <w:r>
        <w:rPr>
          <w:rFonts w:ascii="宋体" w:hAnsi="宋体" w:cs="宋体"/>
          <w:color w:val="auto"/>
          <w:spacing w:val="1"/>
          <w:sz w:val="24"/>
        </w:rPr>
        <w:t>款商定或确定，但由于解除合同应</w:t>
      </w:r>
      <w:r>
        <w:rPr>
          <w:rFonts w:ascii="宋体" w:hAnsi="宋体" w:cs="宋体"/>
          <w:color w:val="auto"/>
          <w:spacing w:val="-1"/>
          <w:sz w:val="24"/>
        </w:rPr>
        <w:t>赔偿的承包人损失不予考虑。</w:t>
      </w:r>
    </w:p>
    <w:p w14:paraId="62348731">
      <w:pPr>
        <w:spacing w:before="307" w:line="224" w:lineRule="auto"/>
        <w:ind w:left="477"/>
        <w:outlineLvl w:val="2"/>
        <w:rPr>
          <w:rFonts w:ascii="宋体" w:hAnsi="宋体" w:cs="宋体"/>
          <w:color w:val="auto"/>
          <w:sz w:val="24"/>
        </w:rPr>
      </w:pPr>
      <w:bookmarkStart w:id="174" w:name="bookmark50"/>
      <w:bookmarkEnd w:id="174"/>
      <w:bookmarkStart w:id="175" w:name="bookmark49"/>
      <w:bookmarkEnd w:id="175"/>
      <w:r>
        <w:rPr>
          <w:rFonts w:eastAsia="Times New Roman"/>
          <w:b/>
          <w:bCs/>
          <w:color w:val="auto"/>
          <w:spacing w:val="-5"/>
          <w:sz w:val="24"/>
        </w:rPr>
        <w:t>22.</w:t>
      </w:r>
      <w:r>
        <w:rPr>
          <w:rFonts w:ascii="宋体" w:hAnsi="宋体" w:cs="宋体"/>
          <w:b/>
          <w:bCs/>
          <w:color w:val="auto"/>
          <w:spacing w:val="-5"/>
          <w:sz w:val="24"/>
        </w:rPr>
        <w:t>违约</w:t>
      </w:r>
    </w:p>
    <w:p w14:paraId="523FC6F9">
      <w:pPr>
        <w:spacing w:before="253" w:line="219" w:lineRule="auto"/>
        <w:ind w:left="477"/>
        <w:outlineLvl w:val="3"/>
        <w:rPr>
          <w:rFonts w:ascii="宋体" w:hAnsi="宋体" w:cs="宋体"/>
          <w:color w:val="auto"/>
          <w:sz w:val="24"/>
        </w:rPr>
      </w:pPr>
      <w:r>
        <w:rPr>
          <w:rFonts w:eastAsia="Times New Roman"/>
          <w:b/>
          <w:bCs/>
          <w:color w:val="auto"/>
          <w:spacing w:val="-2"/>
          <w:sz w:val="24"/>
        </w:rPr>
        <w:t xml:space="preserve">22.1  </w:t>
      </w:r>
      <w:r>
        <w:rPr>
          <w:rFonts w:ascii="宋体" w:hAnsi="宋体" w:cs="宋体"/>
          <w:b/>
          <w:bCs/>
          <w:color w:val="auto"/>
          <w:spacing w:val="-2"/>
          <w:sz w:val="24"/>
        </w:rPr>
        <w:t>承包人违约</w:t>
      </w:r>
    </w:p>
    <w:p w14:paraId="68329B35">
      <w:pPr>
        <w:spacing w:before="126" w:line="219" w:lineRule="auto"/>
        <w:ind w:left="476"/>
        <w:rPr>
          <w:rFonts w:ascii="宋体" w:hAnsi="宋体" w:cs="宋体"/>
          <w:color w:val="auto"/>
          <w:sz w:val="24"/>
        </w:rPr>
      </w:pPr>
      <w:r>
        <w:rPr>
          <w:rFonts w:eastAsia="Times New Roman"/>
          <w:color w:val="auto"/>
          <w:spacing w:val="-1"/>
          <w:sz w:val="24"/>
        </w:rPr>
        <w:t xml:space="preserve">22.1.1  </w:t>
      </w:r>
      <w:r>
        <w:rPr>
          <w:rFonts w:ascii="宋体" w:hAnsi="宋体" w:cs="宋体"/>
          <w:color w:val="auto"/>
          <w:spacing w:val="-1"/>
          <w:sz w:val="24"/>
        </w:rPr>
        <w:t>承包人违约的情形</w:t>
      </w:r>
    </w:p>
    <w:p w14:paraId="18F971F0">
      <w:pPr>
        <w:spacing w:before="116" w:line="219" w:lineRule="auto"/>
        <w:ind w:left="480"/>
        <w:rPr>
          <w:rFonts w:ascii="宋体" w:hAnsi="宋体" w:cs="宋体"/>
          <w:color w:val="auto"/>
          <w:sz w:val="24"/>
        </w:rPr>
      </w:pPr>
      <w:r>
        <w:rPr>
          <w:rFonts w:ascii="宋体" w:hAnsi="宋体" w:cs="宋体"/>
          <w:color w:val="auto"/>
          <w:spacing w:val="-1"/>
          <w:sz w:val="24"/>
        </w:rPr>
        <w:t>在履行合同过程中发生的下列情况属承包人违约：</w:t>
      </w:r>
    </w:p>
    <w:p w14:paraId="04072ADA">
      <w:pPr>
        <w:spacing w:before="116" w:line="263" w:lineRule="auto"/>
        <w:ind w:left="2" w:right="2" w:firstLine="489"/>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1</w:t>
      </w:r>
      <w:r>
        <w:rPr>
          <w:rFonts w:ascii="宋体" w:hAnsi="宋体" w:cs="宋体"/>
          <w:color w:val="auto"/>
          <w:spacing w:val="-1"/>
          <w:sz w:val="24"/>
        </w:rPr>
        <w:t>）承包人违反第</w:t>
      </w:r>
      <w:r>
        <w:rPr>
          <w:rFonts w:eastAsia="Times New Roman"/>
          <w:color w:val="auto"/>
          <w:spacing w:val="-1"/>
          <w:sz w:val="24"/>
        </w:rPr>
        <w:t xml:space="preserve">1.7 </w:t>
      </w:r>
      <w:r>
        <w:rPr>
          <w:rFonts w:ascii="宋体" w:hAnsi="宋体" w:cs="宋体"/>
          <w:color w:val="auto"/>
          <w:spacing w:val="-1"/>
          <w:sz w:val="24"/>
        </w:rPr>
        <w:t>款或第</w:t>
      </w:r>
      <w:r>
        <w:rPr>
          <w:rFonts w:eastAsia="Times New Roman"/>
          <w:color w:val="auto"/>
          <w:spacing w:val="-1"/>
          <w:sz w:val="24"/>
        </w:rPr>
        <w:t xml:space="preserve">4.3 </w:t>
      </w:r>
      <w:r>
        <w:rPr>
          <w:rFonts w:ascii="宋体" w:hAnsi="宋体" w:cs="宋体"/>
          <w:color w:val="auto"/>
          <w:spacing w:val="-1"/>
          <w:sz w:val="24"/>
        </w:rPr>
        <w:t>款的约定，私自将合同的全部或部分权利转让给其他人，或私自将合同的全部或部分义务转移给其他人；</w:t>
      </w:r>
    </w:p>
    <w:p w14:paraId="2F3B0EC1">
      <w:pPr>
        <w:spacing w:before="116" w:line="278" w:lineRule="auto"/>
        <w:ind w:firstLine="492"/>
        <w:rPr>
          <w:rFonts w:ascii="宋体" w:hAnsi="宋体" w:cs="宋体"/>
          <w:color w:val="auto"/>
          <w:sz w:val="24"/>
        </w:rPr>
      </w:pPr>
      <w:r>
        <w:rPr>
          <w:rFonts w:ascii="宋体" w:hAnsi="宋体" w:cs="宋体"/>
          <w:color w:val="auto"/>
          <w:sz w:val="24"/>
        </w:rPr>
        <w:t>（</w:t>
      </w:r>
      <w:r>
        <w:rPr>
          <w:rFonts w:eastAsia="Times New Roman"/>
          <w:color w:val="auto"/>
          <w:sz w:val="24"/>
        </w:rPr>
        <w:t>2</w:t>
      </w:r>
      <w:r>
        <w:rPr>
          <w:rFonts w:ascii="宋体" w:hAnsi="宋体" w:cs="宋体"/>
          <w:color w:val="auto"/>
          <w:sz w:val="24"/>
        </w:rPr>
        <w:t>）承包人违反第</w:t>
      </w:r>
      <w:r>
        <w:rPr>
          <w:rFonts w:eastAsia="Times New Roman"/>
          <w:color w:val="auto"/>
          <w:sz w:val="24"/>
        </w:rPr>
        <w:t xml:space="preserve">5.3 </w:t>
      </w:r>
      <w:r>
        <w:rPr>
          <w:rFonts w:ascii="宋体" w:hAnsi="宋体" w:cs="宋体"/>
          <w:color w:val="auto"/>
          <w:sz w:val="24"/>
        </w:rPr>
        <w:t>款或第</w:t>
      </w:r>
      <w:r>
        <w:rPr>
          <w:rFonts w:eastAsia="Times New Roman"/>
          <w:color w:val="auto"/>
          <w:sz w:val="24"/>
        </w:rPr>
        <w:t xml:space="preserve">6.4 </w:t>
      </w:r>
      <w:r>
        <w:rPr>
          <w:rFonts w:ascii="宋体" w:hAnsi="宋体" w:cs="宋体"/>
          <w:color w:val="auto"/>
          <w:sz w:val="24"/>
        </w:rPr>
        <w:t>款的约定，未</w:t>
      </w:r>
      <w:r>
        <w:rPr>
          <w:rFonts w:ascii="宋体" w:hAnsi="宋体" w:cs="宋体"/>
          <w:color w:val="auto"/>
          <w:spacing w:val="-1"/>
          <w:sz w:val="24"/>
        </w:rPr>
        <w:t>经咨询人批准，私自将已按合</w:t>
      </w:r>
      <w:r>
        <w:rPr>
          <w:rFonts w:ascii="宋体" w:hAnsi="宋体" w:cs="宋体"/>
          <w:color w:val="auto"/>
          <w:spacing w:val="1"/>
          <w:sz w:val="24"/>
        </w:rPr>
        <w:t>同约定进入养护作业场地的养护作业设备、临时设施、材料</w:t>
      </w:r>
      <w:r>
        <w:rPr>
          <w:rFonts w:ascii="宋体" w:hAnsi="宋体" w:cs="宋体"/>
          <w:color w:val="auto"/>
          <w:sz w:val="24"/>
        </w:rPr>
        <w:t>或工程设备撤离养护作</w:t>
      </w:r>
      <w:r>
        <w:rPr>
          <w:rFonts w:ascii="宋体" w:hAnsi="宋体" w:cs="宋体"/>
          <w:color w:val="auto"/>
          <w:spacing w:val="-3"/>
          <w:sz w:val="24"/>
        </w:rPr>
        <w:t>业场地；</w:t>
      </w:r>
    </w:p>
    <w:p w14:paraId="325920C0">
      <w:pPr>
        <w:spacing w:before="115" w:line="264" w:lineRule="auto"/>
        <w:ind w:left="4" w:firstLine="487"/>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3</w:t>
      </w:r>
      <w:r>
        <w:rPr>
          <w:rFonts w:ascii="宋体" w:hAnsi="宋体" w:cs="宋体"/>
          <w:color w:val="auto"/>
          <w:spacing w:val="4"/>
          <w:sz w:val="24"/>
        </w:rPr>
        <w:t>）承包人违反第</w:t>
      </w:r>
      <w:r>
        <w:rPr>
          <w:rFonts w:eastAsia="Times New Roman"/>
          <w:color w:val="auto"/>
          <w:spacing w:val="4"/>
          <w:sz w:val="24"/>
        </w:rPr>
        <w:t>5.4</w:t>
      </w:r>
      <w:r>
        <w:rPr>
          <w:rFonts w:ascii="宋体" w:hAnsi="宋体" w:cs="宋体"/>
          <w:color w:val="auto"/>
          <w:spacing w:val="4"/>
          <w:sz w:val="24"/>
        </w:rPr>
        <w:t>款的约定使用了不合格材料或工程设备，养护质量达</w:t>
      </w:r>
      <w:r>
        <w:rPr>
          <w:rFonts w:ascii="宋体" w:hAnsi="宋体" w:cs="宋体"/>
          <w:color w:val="auto"/>
          <w:spacing w:val="-1"/>
          <w:sz w:val="24"/>
        </w:rPr>
        <w:t>不到标准要求，又拒绝清除不合格养护工程；</w:t>
      </w:r>
    </w:p>
    <w:p w14:paraId="0DC5D541">
      <w:pPr>
        <w:spacing w:before="113" w:line="264" w:lineRule="auto"/>
        <w:ind w:left="2" w:firstLine="489"/>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4</w:t>
      </w:r>
      <w:r>
        <w:rPr>
          <w:rFonts w:ascii="宋体" w:hAnsi="宋体" w:cs="宋体"/>
          <w:color w:val="auto"/>
          <w:spacing w:val="4"/>
          <w:sz w:val="24"/>
        </w:rPr>
        <w:t>）承包人未能按合同进度计划及时完成合同约定的工作，已造成或预</w:t>
      </w:r>
      <w:r>
        <w:rPr>
          <w:rFonts w:ascii="宋体" w:hAnsi="宋体" w:cs="宋体"/>
          <w:color w:val="auto"/>
          <w:spacing w:val="3"/>
          <w:sz w:val="24"/>
        </w:rPr>
        <w:t>期造</w:t>
      </w:r>
      <w:r>
        <w:rPr>
          <w:rFonts w:ascii="宋体" w:hAnsi="宋体" w:cs="宋体"/>
          <w:color w:val="auto"/>
          <w:spacing w:val="-2"/>
          <w:sz w:val="24"/>
        </w:rPr>
        <w:t>成工期延误；</w:t>
      </w:r>
    </w:p>
    <w:p w14:paraId="7B60633E">
      <w:pPr>
        <w:spacing w:before="115" w:line="263" w:lineRule="auto"/>
        <w:ind w:firstLine="491"/>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5</w:t>
      </w:r>
      <w:r>
        <w:rPr>
          <w:rFonts w:ascii="宋体" w:hAnsi="宋体" w:cs="宋体"/>
          <w:color w:val="auto"/>
          <w:spacing w:val="4"/>
          <w:sz w:val="24"/>
        </w:rPr>
        <w:t>）承包人在缺陷责任期内，未能对交工验收证书所列的缺陷清单的内</w:t>
      </w:r>
      <w:r>
        <w:rPr>
          <w:rFonts w:ascii="宋体" w:hAnsi="宋体" w:cs="宋体"/>
          <w:color w:val="auto"/>
          <w:spacing w:val="3"/>
          <w:sz w:val="24"/>
        </w:rPr>
        <w:t>容或</w:t>
      </w:r>
      <w:r>
        <w:rPr>
          <w:rFonts w:ascii="宋体" w:hAnsi="宋体" w:cs="宋体"/>
          <w:color w:val="auto"/>
          <w:sz w:val="24"/>
        </w:rPr>
        <w:t>缺陷责任期内发生的缺陷进行修复，而又拒绝按</w:t>
      </w:r>
      <w:r>
        <w:rPr>
          <w:rFonts w:ascii="宋体" w:hAnsi="宋体" w:cs="宋体"/>
          <w:color w:val="auto"/>
          <w:spacing w:val="-1"/>
          <w:sz w:val="24"/>
        </w:rPr>
        <w:t>咨询人指示再进行修补；</w:t>
      </w:r>
    </w:p>
    <w:p w14:paraId="6A74AB25">
      <w:pPr>
        <w:spacing w:before="116" w:line="219" w:lineRule="auto"/>
        <w:ind w:left="492"/>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6</w:t>
      </w:r>
      <w:r>
        <w:rPr>
          <w:rFonts w:ascii="宋体" w:hAnsi="宋体" w:cs="宋体"/>
          <w:color w:val="auto"/>
          <w:spacing w:val="-1"/>
          <w:sz w:val="24"/>
        </w:rPr>
        <w:t>）承包人无法继续履行或明确表示不履行或实质上已停止履行合同；</w:t>
      </w:r>
    </w:p>
    <w:p w14:paraId="220336C9">
      <w:pPr>
        <w:spacing w:before="116" w:line="219" w:lineRule="auto"/>
        <w:ind w:left="492"/>
        <w:rPr>
          <w:rFonts w:ascii="宋体" w:hAnsi="宋体" w:cs="宋体"/>
          <w:color w:val="auto"/>
          <w:spacing w:val="-2"/>
          <w:sz w:val="24"/>
        </w:rPr>
      </w:pPr>
      <w:r>
        <w:rPr>
          <w:rFonts w:ascii="宋体" w:hAnsi="宋体" w:cs="宋体"/>
          <w:color w:val="auto"/>
          <w:spacing w:val="-2"/>
          <w:sz w:val="24"/>
        </w:rPr>
        <w:t>（</w:t>
      </w:r>
      <w:r>
        <w:rPr>
          <w:rFonts w:eastAsia="Times New Roman"/>
          <w:color w:val="auto"/>
          <w:spacing w:val="-2"/>
          <w:sz w:val="24"/>
        </w:rPr>
        <w:t>7</w:t>
      </w:r>
      <w:r>
        <w:rPr>
          <w:rFonts w:ascii="宋体" w:hAnsi="宋体" w:cs="宋体"/>
          <w:color w:val="auto"/>
          <w:spacing w:val="-2"/>
          <w:sz w:val="24"/>
        </w:rPr>
        <w:t>）承包人未能按期开工；</w:t>
      </w:r>
      <w:bookmarkStart w:id="176" w:name="bookmark228"/>
      <w:bookmarkEnd w:id="176"/>
    </w:p>
    <w:p w14:paraId="393D0733">
      <w:pPr>
        <w:spacing w:before="116" w:line="219" w:lineRule="auto"/>
        <w:ind w:left="492"/>
        <w:rPr>
          <w:rFonts w:ascii="宋体" w:hAnsi="宋体" w:cs="宋体"/>
          <w:color w:val="auto"/>
          <w:sz w:val="24"/>
        </w:rPr>
      </w:pPr>
      <w:r>
        <w:rPr>
          <w:rFonts w:ascii="宋体" w:hAnsi="宋体" w:cs="宋体"/>
          <w:color w:val="auto"/>
          <w:sz w:val="24"/>
        </w:rPr>
        <w:t>（</w:t>
      </w:r>
      <w:r>
        <w:rPr>
          <w:rFonts w:eastAsia="Times New Roman"/>
          <w:color w:val="auto"/>
          <w:sz w:val="24"/>
        </w:rPr>
        <w:t>8</w:t>
      </w:r>
      <w:r>
        <w:rPr>
          <w:rFonts w:ascii="宋体" w:hAnsi="宋体" w:cs="宋体"/>
          <w:color w:val="auto"/>
          <w:sz w:val="24"/>
        </w:rPr>
        <w:t>）承包人违反第</w:t>
      </w:r>
      <w:r>
        <w:rPr>
          <w:rFonts w:eastAsia="Times New Roman"/>
          <w:color w:val="auto"/>
          <w:sz w:val="24"/>
        </w:rPr>
        <w:t xml:space="preserve">4.6 </w:t>
      </w:r>
      <w:r>
        <w:rPr>
          <w:rFonts w:ascii="宋体" w:hAnsi="宋体" w:cs="宋体"/>
          <w:color w:val="auto"/>
          <w:sz w:val="24"/>
        </w:rPr>
        <w:t>款或第</w:t>
      </w:r>
      <w:r>
        <w:rPr>
          <w:rFonts w:eastAsia="Times New Roman"/>
          <w:color w:val="auto"/>
          <w:sz w:val="24"/>
        </w:rPr>
        <w:t xml:space="preserve">6.3 </w:t>
      </w:r>
      <w:r>
        <w:rPr>
          <w:rFonts w:ascii="宋体" w:hAnsi="宋体" w:cs="宋体"/>
          <w:color w:val="auto"/>
          <w:sz w:val="24"/>
        </w:rPr>
        <w:t>款的规定，未按承诺或未按咨询</w:t>
      </w:r>
      <w:r>
        <w:rPr>
          <w:rFonts w:ascii="宋体" w:hAnsi="宋体" w:cs="宋体"/>
          <w:color w:val="auto"/>
          <w:spacing w:val="-1"/>
          <w:sz w:val="24"/>
        </w:rPr>
        <w:t>人的要求及</w:t>
      </w:r>
      <w:r>
        <w:rPr>
          <w:rFonts w:ascii="宋体" w:hAnsi="宋体" w:cs="宋体"/>
          <w:color w:val="auto"/>
          <w:spacing w:val="1"/>
          <w:sz w:val="24"/>
        </w:rPr>
        <w:t>时配备称职的主要管理人员、技术骨干、专职安全</w:t>
      </w:r>
      <w:r>
        <w:rPr>
          <w:rFonts w:ascii="宋体" w:hAnsi="宋体" w:cs="宋体"/>
          <w:color w:val="auto"/>
          <w:sz w:val="24"/>
        </w:rPr>
        <w:t>生产管理人员或关键养护作业设</w:t>
      </w:r>
      <w:r>
        <w:rPr>
          <w:rFonts w:ascii="宋体" w:hAnsi="宋体" w:cs="宋体"/>
          <w:color w:val="auto"/>
          <w:spacing w:val="-7"/>
          <w:sz w:val="24"/>
        </w:rPr>
        <w:t>备；</w:t>
      </w:r>
    </w:p>
    <w:p w14:paraId="2E8DB17D">
      <w:pPr>
        <w:spacing w:before="114" w:line="264" w:lineRule="auto"/>
        <w:ind w:left="5" w:firstLine="490"/>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9</w:t>
      </w:r>
      <w:r>
        <w:rPr>
          <w:rFonts w:ascii="宋体" w:hAnsi="宋体" w:cs="宋体"/>
          <w:color w:val="auto"/>
          <w:spacing w:val="4"/>
          <w:sz w:val="24"/>
        </w:rPr>
        <w:t>）经咨询人和发包人检查，发现承包人有安全问题或有违反安全管理</w:t>
      </w:r>
      <w:r>
        <w:rPr>
          <w:rFonts w:ascii="宋体" w:hAnsi="宋体" w:cs="宋体"/>
          <w:color w:val="auto"/>
          <w:spacing w:val="3"/>
          <w:sz w:val="24"/>
        </w:rPr>
        <w:t>规章</w:t>
      </w:r>
      <w:r>
        <w:rPr>
          <w:rFonts w:ascii="宋体" w:hAnsi="宋体" w:cs="宋体"/>
          <w:color w:val="auto"/>
          <w:spacing w:val="-2"/>
          <w:sz w:val="24"/>
        </w:rPr>
        <w:t>制度的情况；</w:t>
      </w:r>
    </w:p>
    <w:p w14:paraId="5835FB46">
      <w:pPr>
        <w:spacing w:before="112" w:line="219" w:lineRule="auto"/>
        <w:ind w:left="495"/>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1</w:t>
      </w:r>
      <w:r>
        <w:rPr>
          <w:rFonts w:hint="eastAsia"/>
          <w:color w:val="auto"/>
          <w:spacing w:val="-1"/>
          <w:sz w:val="24"/>
        </w:rPr>
        <w:t>0</w:t>
      </w:r>
      <w:r>
        <w:rPr>
          <w:rFonts w:ascii="宋体" w:hAnsi="宋体" w:cs="宋体"/>
          <w:color w:val="auto"/>
          <w:spacing w:val="-1"/>
          <w:sz w:val="24"/>
        </w:rPr>
        <w:t>）承包人不按合同约定履行义务的其他情况。</w:t>
      </w:r>
    </w:p>
    <w:p w14:paraId="5F12B664">
      <w:pPr>
        <w:spacing w:before="116" w:line="219" w:lineRule="auto"/>
        <w:ind w:left="480"/>
        <w:rPr>
          <w:rFonts w:ascii="宋体" w:hAnsi="宋体" w:cs="宋体"/>
          <w:color w:val="auto"/>
          <w:sz w:val="24"/>
        </w:rPr>
      </w:pPr>
      <w:r>
        <w:rPr>
          <w:rFonts w:eastAsia="Times New Roman"/>
          <w:color w:val="auto"/>
          <w:spacing w:val="-1"/>
          <w:sz w:val="24"/>
        </w:rPr>
        <w:t xml:space="preserve">22.1.2  </w:t>
      </w:r>
      <w:r>
        <w:rPr>
          <w:rFonts w:ascii="宋体" w:hAnsi="宋体" w:cs="宋体"/>
          <w:color w:val="auto"/>
          <w:spacing w:val="-1"/>
          <w:sz w:val="24"/>
        </w:rPr>
        <w:t>对承包人违约的处理</w:t>
      </w:r>
    </w:p>
    <w:p w14:paraId="15ECE43E">
      <w:pPr>
        <w:spacing w:before="115" w:line="263" w:lineRule="auto"/>
        <w:ind w:left="22" w:firstLine="473"/>
        <w:rPr>
          <w:rFonts w:ascii="宋体" w:hAnsi="宋体" w:cs="宋体"/>
          <w:color w:val="auto"/>
          <w:sz w:val="24"/>
        </w:rPr>
      </w:pPr>
      <w:r>
        <w:rPr>
          <w:rFonts w:ascii="宋体" w:hAnsi="宋体" w:cs="宋体"/>
          <w:color w:val="auto"/>
          <w:sz w:val="24"/>
        </w:rPr>
        <w:t>（</w:t>
      </w:r>
      <w:r>
        <w:rPr>
          <w:rFonts w:eastAsia="Times New Roman"/>
          <w:color w:val="auto"/>
          <w:sz w:val="24"/>
        </w:rPr>
        <w:t>1</w:t>
      </w:r>
      <w:r>
        <w:rPr>
          <w:rFonts w:ascii="宋体" w:hAnsi="宋体" w:cs="宋体"/>
          <w:color w:val="auto"/>
          <w:sz w:val="24"/>
        </w:rPr>
        <w:t>）承包人发生第</w:t>
      </w:r>
      <w:r>
        <w:rPr>
          <w:rFonts w:eastAsia="Times New Roman"/>
          <w:color w:val="auto"/>
          <w:sz w:val="24"/>
        </w:rPr>
        <w:t>22.1.1</w:t>
      </w:r>
      <w:r>
        <w:rPr>
          <w:rFonts w:ascii="宋体" w:hAnsi="宋体" w:cs="宋体"/>
          <w:color w:val="auto"/>
          <w:sz w:val="24"/>
        </w:rPr>
        <w:t>（</w:t>
      </w:r>
      <w:r>
        <w:rPr>
          <w:rFonts w:eastAsia="Times New Roman"/>
          <w:color w:val="auto"/>
          <w:sz w:val="24"/>
        </w:rPr>
        <w:t>6</w:t>
      </w:r>
      <w:r>
        <w:rPr>
          <w:rFonts w:ascii="宋体" w:hAnsi="宋体" w:cs="宋体"/>
          <w:color w:val="auto"/>
          <w:sz w:val="24"/>
        </w:rPr>
        <w:t>）目约定的违约情况时，发包人可通知承包人立</w:t>
      </w:r>
      <w:r>
        <w:rPr>
          <w:rFonts w:ascii="宋体" w:hAnsi="宋体" w:cs="宋体"/>
          <w:color w:val="auto"/>
          <w:spacing w:val="-2"/>
          <w:sz w:val="24"/>
        </w:rPr>
        <w:t>即解除合同，并按有关法律处理。</w:t>
      </w:r>
    </w:p>
    <w:p w14:paraId="6088E69F">
      <w:pPr>
        <w:spacing w:before="116" w:line="278" w:lineRule="auto"/>
        <w:ind w:left="4" w:firstLine="491"/>
        <w:rPr>
          <w:rFonts w:ascii="宋体" w:hAnsi="宋体" w:cs="宋体"/>
          <w:color w:val="auto"/>
          <w:sz w:val="24"/>
        </w:rPr>
      </w:pPr>
      <w:r>
        <w:rPr>
          <w:rFonts w:ascii="宋体" w:hAnsi="宋体" w:cs="宋体"/>
          <w:color w:val="auto"/>
          <w:sz w:val="24"/>
        </w:rPr>
        <w:t>（</w:t>
      </w:r>
      <w:r>
        <w:rPr>
          <w:rFonts w:eastAsia="Times New Roman"/>
          <w:color w:val="auto"/>
          <w:sz w:val="24"/>
        </w:rPr>
        <w:t>2</w:t>
      </w:r>
      <w:r>
        <w:rPr>
          <w:rFonts w:ascii="宋体" w:hAnsi="宋体" w:cs="宋体"/>
          <w:color w:val="auto"/>
          <w:sz w:val="24"/>
        </w:rPr>
        <w:t>）承包人发生除第</w:t>
      </w:r>
      <w:r>
        <w:rPr>
          <w:rFonts w:eastAsia="Times New Roman"/>
          <w:color w:val="auto"/>
          <w:sz w:val="24"/>
        </w:rPr>
        <w:t>22.1.1</w:t>
      </w:r>
      <w:r>
        <w:rPr>
          <w:rFonts w:ascii="宋体" w:hAnsi="宋体" w:cs="宋体"/>
          <w:color w:val="auto"/>
          <w:sz w:val="24"/>
        </w:rPr>
        <w:t>（</w:t>
      </w:r>
      <w:r>
        <w:rPr>
          <w:rFonts w:eastAsia="Times New Roman"/>
          <w:color w:val="auto"/>
          <w:sz w:val="24"/>
        </w:rPr>
        <w:t>6</w:t>
      </w:r>
      <w:r>
        <w:rPr>
          <w:rFonts w:ascii="宋体" w:hAnsi="宋体" w:cs="宋体"/>
          <w:color w:val="auto"/>
          <w:sz w:val="24"/>
        </w:rPr>
        <w:t>）目约定以外的其他违约情况时，咨询人可向</w:t>
      </w:r>
      <w:r>
        <w:rPr>
          <w:rFonts w:ascii="宋体" w:hAnsi="宋体" w:cs="宋体"/>
          <w:color w:val="auto"/>
          <w:spacing w:val="1"/>
          <w:sz w:val="24"/>
        </w:rPr>
        <w:t>承包人发出整改通知，要求其在指定的期限内改正。承包</w:t>
      </w:r>
      <w:r>
        <w:rPr>
          <w:rFonts w:ascii="宋体" w:hAnsi="宋体" w:cs="宋体"/>
          <w:color w:val="auto"/>
          <w:sz w:val="24"/>
        </w:rPr>
        <w:t>人应承担其违约所引起的</w:t>
      </w:r>
      <w:r>
        <w:rPr>
          <w:rFonts w:ascii="宋体" w:hAnsi="宋体" w:cs="宋体"/>
          <w:color w:val="auto"/>
          <w:spacing w:val="-1"/>
          <w:sz w:val="24"/>
        </w:rPr>
        <w:t>费用增加和（或）工期延误。</w:t>
      </w:r>
    </w:p>
    <w:p w14:paraId="151E2C8E">
      <w:pPr>
        <w:spacing w:before="115" w:line="264" w:lineRule="auto"/>
        <w:ind w:left="6" w:right="58" w:firstLine="489"/>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3</w:t>
      </w:r>
      <w:r>
        <w:rPr>
          <w:rFonts w:ascii="宋体" w:hAnsi="宋体" w:cs="宋体"/>
          <w:color w:val="auto"/>
          <w:spacing w:val="2"/>
          <w:sz w:val="24"/>
        </w:rPr>
        <w:t>）经检查证明承包人已采取了有效措施纠正违约行为，具备复工条件的，</w:t>
      </w:r>
      <w:r>
        <w:rPr>
          <w:rFonts w:ascii="宋体" w:hAnsi="宋体" w:cs="宋体"/>
          <w:color w:val="auto"/>
          <w:spacing w:val="-1"/>
          <w:sz w:val="24"/>
        </w:rPr>
        <w:t>可由咨询人签发复工通知复工。</w:t>
      </w:r>
    </w:p>
    <w:p w14:paraId="2BAC9724">
      <w:pPr>
        <w:spacing w:before="112" w:line="264" w:lineRule="auto"/>
        <w:ind w:left="8" w:right="58" w:firstLine="487"/>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4</w:t>
      </w:r>
      <w:r>
        <w:rPr>
          <w:rFonts w:ascii="宋体" w:hAnsi="宋体" w:cs="宋体"/>
          <w:color w:val="auto"/>
          <w:spacing w:val="1"/>
          <w:sz w:val="24"/>
        </w:rPr>
        <w:t>）承包人发生第</w:t>
      </w:r>
      <w:r>
        <w:rPr>
          <w:rFonts w:eastAsia="Times New Roman"/>
          <w:color w:val="auto"/>
          <w:spacing w:val="1"/>
          <w:sz w:val="24"/>
        </w:rPr>
        <w:t>22.1.1</w:t>
      </w:r>
      <w:r>
        <w:rPr>
          <w:rFonts w:ascii="宋体" w:hAnsi="宋体" w:cs="宋体"/>
          <w:color w:val="auto"/>
          <w:spacing w:val="1"/>
          <w:sz w:val="24"/>
        </w:rPr>
        <w:t>项约定的违约情况时，无论发包人是否解除合同，</w:t>
      </w:r>
      <w:r>
        <w:rPr>
          <w:rFonts w:ascii="宋体" w:hAnsi="宋体" w:cs="宋体"/>
          <w:color w:val="auto"/>
          <w:spacing w:val="-1"/>
          <w:sz w:val="24"/>
        </w:rPr>
        <w:t>发包人均有权向承包人课以专用合同条款中约定的违约金。</w:t>
      </w:r>
    </w:p>
    <w:p w14:paraId="6C06532B">
      <w:pPr>
        <w:spacing w:before="116" w:line="219" w:lineRule="auto"/>
        <w:ind w:left="480"/>
        <w:rPr>
          <w:rFonts w:ascii="宋体" w:hAnsi="宋体" w:cs="宋体"/>
          <w:color w:val="auto"/>
          <w:sz w:val="24"/>
        </w:rPr>
      </w:pPr>
      <w:r>
        <w:rPr>
          <w:rFonts w:eastAsia="Times New Roman"/>
          <w:color w:val="auto"/>
          <w:spacing w:val="-1"/>
          <w:sz w:val="24"/>
        </w:rPr>
        <w:t xml:space="preserve">22.1.3  </w:t>
      </w:r>
      <w:r>
        <w:rPr>
          <w:rFonts w:ascii="宋体" w:hAnsi="宋体" w:cs="宋体"/>
          <w:color w:val="auto"/>
          <w:spacing w:val="-1"/>
          <w:sz w:val="24"/>
        </w:rPr>
        <w:t>承包人违约解除合同</w:t>
      </w:r>
    </w:p>
    <w:p w14:paraId="3207F6AE">
      <w:pPr>
        <w:spacing w:before="113" w:line="308" w:lineRule="auto"/>
        <w:ind w:left="4" w:firstLine="489"/>
        <w:rPr>
          <w:rFonts w:ascii="宋体" w:hAnsi="宋体" w:cs="宋体"/>
          <w:color w:val="auto"/>
          <w:sz w:val="24"/>
        </w:rPr>
      </w:pPr>
      <w:r>
        <w:rPr>
          <w:rFonts w:ascii="宋体" w:hAnsi="宋体" w:cs="宋体"/>
          <w:color w:val="auto"/>
          <w:spacing w:val="2"/>
          <w:sz w:val="24"/>
        </w:rPr>
        <w:t>咨询人发出整改通知后</w:t>
      </w:r>
      <w:r>
        <w:rPr>
          <w:rFonts w:eastAsia="Times New Roman"/>
          <w:color w:val="auto"/>
          <w:spacing w:val="2"/>
          <w:sz w:val="24"/>
        </w:rPr>
        <w:t>14</w:t>
      </w:r>
      <w:r>
        <w:rPr>
          <w:rFonts w:ascii="宋体" w:hAnsi="宋体" w:cs="宋体"/>
          <w:color w:val="auto"/>
          <w:spacing w:val="2"/>
          <w:sz w:val="24"/>
        </w:rPr>
        <w:t>天内，承包人仍不纠正违约行为的，发包人可向承</w:t>
      </w:r>
      <w:r>
        <w:rPr>
          <w:rFonts w:ascii="宋体" w:hAnsi="宋体" w:cs="宋体"/>
          <w:color w:val="auto"/>
          <w:spacing w:val="1"/>
          <w:sz w:val="24"/>
        </w:rPr>
        <w:t>包人发出解除合同通知。合同解除后，发包人可派员进驻</w:t>
      </w:r>
      <w:r>
        <w:rPr>
          <w:rFonts w:ascii="宋体" w:hAnsi="宋体" w:cs="宋体"/>
          <w:color w:val="auto"/>
          <w:sz w:val="24"/>
        </w:rPr>
        <w:t>养护作业场地，另行组织</w:t>
      </w:r>
      <w:r>
        <w:rPr>
          <w:rFonts w:ascii="宋体" w:hAnsi="宋体" w:cs="宋体"/>
          <w:color w:val="auto"/>
          <w:spacing w:val="1"/>
          <w:sz w:val="24"/>
        </w:rPr>
        <w:t>人员或委托其他承包人实施养护作业。发包人因继续完成</w:t>
      </w:r>
      <w:r>
        <w:rPr>
          <w:rFonts w:ascii="宋体" w:hAnsi="宋体" w:cs="宋体"/>
          <w:color w:val="auto"/>
          <w:sz w:val="24"/>
        </w:rPr>
        <w:t>该养护项目的需要，有权</w:t>
      </w:r>
      <w:r>
        <w:rPr>
          <w:rFonts w:ascii="宋体" w:hAnsi="宋体" w:cs="宋体"/>
          <w:color w:val="auto"/>
          <w:spacing w:val="1"/>
          <w:sz w:val="24"/>
        </w:rPr>
        <w:t>扣留使用承包人在现场的材料、设备和临时设施。但发包</w:t>
      </w:r>
      <w:r>
        <w:rPr>
          <w:rFonts w:ascii="宋体" w:hAnsi="宋体" w:cs="宋体"/>
          <w:color w:val="auto"/>
          <w:sz w:val="24"/>
        </w:rPr>
        <w:t>人的这一行动不免除承包人应承担的违约责任，也不影响发包人根据合</w:t>
      </w:r>
      <w:r>
        <w:rPr>
          <w:rFonts w:ascii="宋体" w:hAnsi="宋体" w:cs="宋体"/>
          <w:color w:val="auto"/>
          <w:spacing w:val="-1"/>
          <w:sz w:val="24"/>
        </w:rPr>
        <w:t>同约定享有的索赔权利。</w:t>
      </w:r>
    </w:p>
    <w:p w14:paraId="21F2F8AF">
      <w:pPr>
        <w:spacing w:before="1" w:line="217" w:lineRule="auto"/>
        <w:ind w:left="480"/>
        <w:rPr>
          <w:rFonts w:ascii="宋体" w:hAnsi="宋体" w:cs="宋体"/>
          <w:color w:val="auto"/>
          <w:sz w:val="24"/>
        </w:rPr>
      </w:pPr>
      <w:r>
        <w:rPr>
          <w:rFonts w:eastAsia="Times New Roman"/>
          <w:color w:val="auto"/>
          <w:spacing w:val="-1"/>
          <w:sz w:val="24"/>
        </w:rPr>
        <w:t xml:space="preserve">22.1.4  </w:t>
      </w:r>
      <w:r>
        <w:rPr>
          <w:rFonts w:ascii="宋体" w:hAnsi="宋体" w:cs="宋体"/>
          <w:color w:val="auto"/>
          <w:spacing w:val="-1"/>
          <w:sz w:val="24"/>
        </w:rPr>
        <w:t>合同解除后的估价、付款和结清</w:t>
      </w:r>
    </w:p>
    <w:p w14:paraId="7BECA8D9">
      <w:pPr>
        <w:spacing w:before="116" w:line="263" w:lineRule="auto"/>
        <w:ind w:left="31" w:right="34" w:firstLine="464"/>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1</w:t>
      </w:r>
      <w:r>
        <w:rPr>
          <w:rFonts w:ascii="宋体" w:hAnsi="宋体" w:cs="宋体"/>
          <w:color w:val="auto"/>
          <w:spacing w:val="-2"/>
          <w:sz w:val="24"/>
        </w:rPr>
        <w:t>）合同解除后，咨询人按第</w:t>
      </w:r>
      <w:r>
        <w:rPr>
          <w:rFonts w:eastAsia="Times New Roman"/>
          <w:color w:val="auto"/>
          <w:spacing w:val="-2"/>
          <w:sz w:val="24"/>
        </w:rPr>
        <w:t xml:space="preserve">3.5 </w:t>
      </w:r>
      <w:r>
        <w:rPr>
          <w:rFonts w:ascii="宋体" w:hAnsi="宋体" w:cs="宋体"/>
          <w:color w:val="auto"/>
          <w:spacing w:val="-2"/>
          <w:sz w:val="24"/>
        </w:rPr>
        <w:t>款商</w:t>
      </w:r>
      <w:r>
        <w:rPr>
          <w:rFonts w:ascii="宋体" w:hAnsi="宋体" w:cs="宋体"/>
          <w:color w:val="auto"/>
          <w:spacing w:val="-3"/>
          <w:sz w:val="24"/>
        </w:rPr>
        <w:t>定或确定承包人实际完成工作的价值，</w:t>
      </w:r>
      <w:r>
        <w:rPr>
          <w:rFonts w:ascii="宋体" w:hAnsi="宋体" w:cs="宋体"/>
          <w:color w:val="auto"/>
          <w:spacing w:val="-2"/>
          <w:sz w:val="24"/>
        </w:rPr>
        <w:t>以及承包人已提供的材料、养护作业设备和工程设备等的价值。</w:t>
      </w:r>
    </w:p>
    <w:p w14:paraId="23C06CB6">
      <w:pPr>
        <w:spacing w:before="117" w:line="263" w:lineRule="auto"/>
        <w:ind w:left="5" w:firstLine="490"/>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2</w:t>
      </w:r>
      <w:r>
        <w:rPr>
          <w:rFonts w:ascii="宋体" w:hAnsi="宋体" w:cs="宋体"/>
          <w:color w:val="auto"/>
          <w:spacing w:val="4"/>
          <w:sz w:val="24"/>
        </w:rPr>
        <w:t>）合同解除后，发包人应暂停对承包人的一切付款，查清各项付款和</w:t>
      </w:r>
      <w:r>
        <w:rPr>
          <w:rFonts w:ascii="宋体" w:hAnsi="宋体" w:cs="宋体"/>
          <w:color w:val="auto"/>
          <w:spacing w:val="3"/>
          <w:sz w:val="24"/>
        </w:rPr>
        <w:t>已扣</w:t>
      </w:r>
      <w:r>
        <w:rPr>
          <w:rFonts w:ascii="宋体" w:hAnsi="宋体" w:cs="宋体"/>
          <w:color w:val="auto"/>
          <w:spacing w:val="-1"/>
          <w:sz w:val="24"/>
        </w:rPr>
        <w:t>款金额，包括承包人应支付的违约金。</w:t>
      </w:r>
    </w:p>
    <w:p w14:paraId="5B81F939">
      <w:pPr>
        <w:spacing w:before="116" w:line="264" w:lineRule="auto"/>
        <w:ind w:left="8" w:firstLine="487"/>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3</w:t>
      </w:r>
      <w:r>
        <w:rPr>
          <w:rFonts w:ascii="宋体" w:hAnsi="宋体" w:cs="宋体"/>
          <w:color w:val="auto"/>
          <w:spacing w:val="2"/>
          <w:sz w:val="24"/>
        </w:rPr>
        <w:t>）合同解除后，发包人应按第</w:t>
      </w:r>
      <w:r>
        <w:rPr>
          <w:rFonts w:eastAsia="Times New Roman"/>
          <w:color w:val="auto"/>
          <w:spacing w:val="2"/>
          <w:sz w:val="24"/>
        </w:rPr>
        <w:t xml:space="preserve">23.4 </w:t>
      </w:r>
      <w:r>
        <w:rPr>
          <w:rFonts w:ascii="宋体" w:hAnsi="宋体" w:cs="宋体"/>
          <w:color w:val="auto"/>
          <w:spacing w:val="2"/>
          <w:sz w:val="24"/>
        </w:rPr>
        <w:t>款的约定向承包人索</w:t>
      </w:r>
      <w:r>
        <w:rPr>
          <w:rFonts w:ascii="宋体" w:hAnsi="宋体" w:cs="宋体"/>
          <w:color w:val="auto"/>
          <w:spacing w:val="1"/>
          <w:sz w:val="24"/>
        </w:rPr>
        <w:t>赔由于解除合同给</w:t>
      </w:r>
      <w:r>
        <w:rPr>
          <w:rFonts w:ascii="宋体" w:hAnsi="宋体" w:cs="宋体"/>
          <w:color w:val="auto"/>
          <w:spacing w:val="-2"/>
          <w:sz w:val="24"/>
        </w:rPr>
        <w:t>发包人造成的损失。</w:t>
      </w:r>
    </w:p>
    <w:p w14:paraId="3C68282D">
      <w:pPr>
        <w:spacing w:before="113" w:line="264" w:lineRule="auto"/>
        <w:ind w:left="5" w:firstLine="490"/>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4</w:t>
      </w:r>
      <w:r>
        <w:rPr>
          <w:rFonts w:ascii="宋体" w:hAnsi="宋体" w:cs="宋体"/>
          <w:color w:val="auto"/>
          <w:spacing w:val="4"/>
          <w:sz w:val="24"/>
        </w:rPr>
        <w:t>）合同双方确认上述往来款项后，出具最终结清付款证书，结清全部</w:t>
      </w:r>
      <w:r>
        <w:rPr>
          <w:rFonts w:ascii="宋体" w:hAnsi="宋体" w:cs="宋体"/>
          <w:color w:val="auto"/>
          <w:spacing w:val="3"/>
          <w:sz w:val="24"/>
        </w:rPr>
        <w:t>合同</w:t>
      </w:r>
      <w:r>
        <w:rPr>
          <w:rFonts w:ascii="宋体" w:hAnsi="宋体" w:cs="宋体"/>
          <w:color w:val="auto"/>
          <w:spacing w:val="-4"/>
          <w:sz w:val="24"/>
        </w:rPr>
        <w:t>款项。</w:t>
      </w:r>
    </w:p>
    <w:p w14:paraId="4EB308CD">
      <w:pPr>
        <w:spacing w:before="114" w:line="263" w:lineRule="auto"/>
        <w:ind w:right="2" w:firstLine="495"/>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5</w:t>
      </w:r>
      <w:r>
        <w:rPr>
          <w:rFonts w:ascii="宋体" w:hAnsi="宋体" w:cs="宋体"/>
          <w:color w:val="auto"/>
          <w:spacing w:val="4"/>
          <w:sz w:val="24"/>
        </w:rPr>
        <w:t>）发包人和承包人未能就解除合同后的结清达成一致而形成争</w:t>
      </w:r>
      <w:r>
        <w:rPr>
          <w:rFonts w:ascii="宋体" w:hAnsi="宋体" w:cs="宋体"/>
          <w:color w:val="auto"/>
          <w:spacing w:val="3"/>
          <w:sz w:val="24"/>
        </w:rPr>
        <w:t>议的，按第</w:t>
      </w:r>
      <w:r>
        <w:rPr>
          <w:rFonts w:eastAsia="Times New Roman"/>
          <w:color w:val="auto"/>
          <w:spacing w:val="-1"/>
          <w:sz w:val="24"/>
        </w:rPr>
        <w:t xml:space="preserve">24 </w:t>
      </w:r>
      <w:r>
        <w:rPr>
          <w:rFonts w:ascii="宋体" w:hAnsi="宋体" w:cs="宋体"/>
          <w:color w:val="auto"/>
          <w:spacing w:val="-1"/>
          <w:sz w:val="24"/>
        </w:rPr>
        <w:t>条的约定办理。</w:t>
      </w:r>
    </w:p>
    <w:p w14:paraId="4F79CF08">
      <w:pPr>
        <w:spacing w:before="116" w:line="220" w:lineRule="auto"/>
        <w:ind w:left="480"/>
        <w:rPr>
          <w:rFonts w:ascii="宋体" w:hAnsi="宋体" w:cs="宋体"/>
          <w:color w:val="auto"/>
          <w:sz w:val="24"/>
        </w:rPr>
      </w:pPr>
      <w:r>
        <w:rPr>
          <w:rFonts w:eastAsia="Times New Roman"/>
          <w:color w:val="auto"/>
          <w:spacing w:val="-1"/>
          <w:sz w:val="24"/>
        </w:rPr>
        <w:t xml:space="preserve">22.1.5  </w:t>
      </w:r>
      <w:r>
        <w:rPr>
          <w:rFonts w:ascii="宋体" w:hAnsi="宋体" w:cs="宋体"/>
          <w:color w:val="auto"/>
          <w:spacing w:val="-1"/>
          <w:sz w:val="24"/>
        </w:rPr>
        <w:t>协议利益的转让</w:t>
      </w:r>
    </w:p>
    <w:p w14:paraId="2F78888E">
      <w:pPr>
        <w:spacing w:before="279" w:line="308" w:lineRule="auto"/>
        <w:ind w:right="145" w:firstLine="498"/>
        <w:rPr>
          <w:rFonts w:ascii="宋体" w:hAnsi="宋体" w:cs="宋体"/>
          <w:color w:val="auto"/>
          <w:sz w:val="24"/>
        </w:rPr>
      </w:pPr>
      <w:r>
        <w:rPr>
          <w:rFonts w:ascii="宋体" w:hAnsi="宋体" w:cs="宋体"/>
          <w:color w:val="auto"/>
          <w:sz w:val="24"/>
        </w:rPr>
        <w:t>因承包人违约解除合同的，发包人有权要求承包人将其为实施合同而签订的材</w:t>
      </w:r>
      <w:r>
        <w:rPr>
          <w:rFonts w:ascii="宋体" w:hAnsi="宋体" w:cs="宋体"/>
          <w:color w:val="auto"/>
          <w:spacing w:val="2"/>
          <w:sz w:val="24"/>
        </w:rPr>
        <w:t>料和设备的订货协议或任何服务协议利益转让给发包人，并在解除合同后的</w:t>
      </w:r>
      <w:r>
        <w:rPr>
          <w:rFonts w:eastAsia="Times New Roman"/>
          <w:color w:val="auto"/>
          <w:spacing w:val="2"/>
          <w:sz w:val="24"/>
        </w:rPr>
        <w:t xml:space="preserve">7 </w:t>
      </w:r>
      <w:r>
        <w:rPr>
          <w:rFonts w:ascii="宋体" w:hAnsi="宋体" w:cs="宋体"/>
          <w:color w:val="auto"/>
          <w:spacing w:val="2"/>
          <w:sz w:val="24"/>
        </w:rPr>
        <w:t>天内</w:t>
      </w:r>
      <w:r>
        <w:rPr>
          <w:rFonts w:ascii="宋体" w:hAnsi="宋体" w:cs="宋体"/>
          <w:color w:val="auto"/>
          <w:spacing w:val="-2"/>
          <w:sz w:val="24"/>
        </w:rPr>
        <w:t>依法办理转让手续。</w:t>
      </w:r>
    </w:p>
    <w:p w14:paraId="6978C540">
      <w:pPr>
        <w:spacing w:line="219" w:lineRule="auto"/>
        <w:ind w:left="476"/>
        <w:rPr>
          <w:rFonts w:ascii="宋体" w:hAnsi="宋体" w:cs="宋体"/>
          <w:color w:val="auto"/>
          <w:sz w:val="24"/>
        </w:rPr>
      </w:pPr>
      <w:r>
        <w:rPr>
          <w:rFonts w:eastAsia="Times New Roman"/>
          <w:color w:val="auto"/>
          <w:spacing w:val="-1"/>
          <w:sz w:val="24"/>
        </w:rPr>
        <w:t xml:space="preserve">22.1.6  </w:t>
      </w:r>
      <w:r>
        <w:rPr>
          <w:rFonts w:ascii="宋体" w:hAnsi="宋体" w:cs="宋体"/>
          <w:color w:val="auto"/>
          <w:spacing w:val="-1"/>
          <w:sz w:val="24"/>
        </w:rPr>
        <w:t>紧急情况下无能力或不愿进行抢救</w:t>
      </w:r>
    </w:p>
    <w:p w14:paraId="5A808DE1">
      <w:pPr>
        <w:spacing w:before="113" w:line="306" w:lineRule="auto"/>
        <w:ind w:left="3" w:right="145" w:firstLine="476"/>
        <w:rPr>
          <w:rFonts w:ascii="宋体" w:hAnsi="宋体" w:cs="宋体"/>
          <w:color w:val="auto"/>
          <w:sz w:val="24"/>
        </w:rPr>
      </w:pPr>
      <w:r>
        <w:rPr>
          <w:rFonts w:ascii="宋体" w:hAnsi="宋体" w:cs="宋体"/>
          <w:color w:val="auto"/>
          <w:spacing w:val="1"/>
          <w:sz w:val="24"/>
        </w:rPr>
        <w:t>在养护项目实施期间或缺陷责任期内发生危及养护项目安全</w:t>
      </w:r>
      <w:r>
        <w:rPr>
          <w:rFonts w:ascii="宋体" w:hAnsi="宋体" w:cs="宋体"/>
          <w:color w:val="auto"/>
          <w:sz w:val="24"/>
        </w:rPr>
        <w:t>的事件，咨询人通</w:t>
      </w:r>
      <w:r>
        <w:rPr>
          <w:rFonts w:ascii="宋体" w:hAnsi="宋体" w:cs="宋体"/>
          <w:color w:val="auto"/>
          <w:spacing w:val="1"/>
          <w:sz w:val="24"/>
        </w:rPr>
        <w:t>知承包人进行抢救，承包人声明无能力或不愿立即</w:t>
      </w:r>
      <w:r>
        <w:rPr>
          <w:rFonts w:ascii="宋体" w:hAnsi="宋体" w:cs="宋体"/>
          <w:color w:val="auto"/>
          <w:sz w:val="24"/>
        </w:rPr>
        <w:t>执行的，发包人有权雇佣其他人</w:t>
      </w:r>
      <w:r>
        <w:rPr>
          <w:rFonts w:ascii="宋体" w:hAnsi="宋体" w:cs="宋体"/>
          <w:color w:val="auto"/>
          <w:spacing w:val="1"/>
          <w:sz w:val="24"/>
        </w:rPr>
        <w:t>员进行抢救。此类抢救按合同约定属于承包人义务</w:t>
      </w:r>
      <w:r>
        <w:rPr>
          <w:rFonts w:ascii="宋体" w:hAnsi="宋体" w:cs="宋体"/>
          <w:color w:val="auto"/>
          <w:sz w:val="24"/>
        </w:rPr>
        <w:t>的，由此发生的金额和（或）工</w:t>
      </w:r>
      <w:r>
        <w:rPr>
          <w:rFonts w:ascii="宋体" w:hAnsi="宋体" w:cs="宋体"/>
          <w:color w:val="auto"/>
          <w:spacing w:val="-2"/>
          <w:sz w:val="24"/>
        </w:rPr>
        <w:t>期延误由承包人承担。</w:t>
      </w:r>
    </w:p>
    <w:p w14:paraId="236AA73C">
      <w:pPr>
        <w:spacing w:line="220" w:lineRule="auto"/>
        <w:ind w:left="477"/>
        <w:outlineLvl w:val="3"/>
        <w:rPr>
          <w:rFonts w:ascii="宋体" w:hAnsi="宋体" w:cs="宋体"/>
          <w:color w:val="auto"/>
          <w:sz w:val="24"/>
        </w:rPr>
      </w:pPr>
      <w:r>
        <w:rPr>
          <w:rFonts w:eastAsia="Times New Roman"/>
          <w:b/>
          <w:bCs/>
          <w:color w:val="auto"/>
          <w:spacing w:val="-2"/>
          <w:sz w:val="24"/>
        </w:rPr>
        <w:t xml:space="preserve">22.2  </w:t>
      </w:r>
      <w:r>
        <w:rPr>
          <w:rFonts w:ascii="宋体" w:hAnsi="宋体" w:cs="宋体"/>
          <w:b/>
          <w:bCs/>
          <w:color w:val="auto"/>
          <w:spacing w:val="-2"/>
          <w:sz w:val="24"/>
        </w:rPr>
        <w:t>发包人违约</w:t>
      </w:r>
    </w:p>
    <w:p w14:paraId="785DADE1">
      <w:pPr>
        <w:spacing w:before="124" w:line="220" w:lineRule="auto"/>
        <w:ind w:left="476"/>
        <w:rPr>
          <w:rFonts w:ascii="宋体" w:hAnsi="宋体" w:cs="宋体"/>
          <w:color w:val="auto"/>
          <w:sz w:val="24"/>
        </w:rPr>
      </w:pPr>
      <w:r>
        <w:rPr>
          <w:rFonts w:eastAsia="Times New Roman"/>
          <w:color w:val="auto"/>
          <w:spacing w:val="-1"/>
          <w:sz w:val="24"/>
        </w:rPr>
        <w:t xml:space="preserve">22.2.1 </w:t>
      </w:r>
      <w:r>
        <w:rPr>
          <w:rFonts w:ascii="宋体" w:hAnsi="宋体" w:cs="宋体"/>
          <w:color w:val="auto"/>
          <w:spacing w:val="-1"/>
          <w:sz w:val="24"/>
        </w:rPr>
        <w:t>发包人违约的情形</w:t>
      </w:r>
    </w:p>
    <w:p w14:paraId="03001871">
      <w:pPr>
        <w:spacing w:before="114" w:line="220" w:lineRule="auto"/>
        <w:ind w:left="480"/>
        <w:rPr>
          <w:rFonts w:ascii="宋体" w:hAnsi="宋体" w:cs="宋体"/>
          <w:color w:val="auto"/>
          <w:sz w:val="24"/>
        </w:rPr>
      </w:pPr>
      <w:r>
        <w:rPr>
          <w:rFonts w:ascii="宋体" w:hAnsi="宋体" w:cs="宋体"/>
          <w:color w:val="auto"/>
          <w:spacing w:val="-1"/>
          <w:sz w:val="24"/>
        </w:rPr>
        <w:t>在履行合同过程中发生的下列情形，属发包人违约：</w:t>
      </w:r>
    </w:p>
    <w:p w14:paraId="55C0F5E0">
      <w:pPr>
        <w:spacing w:before="112" w:line="264" w:lineRule="auto"/>
        <w:ind w:left="31" w:right="145" w:firstLine="460"/>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1</w:t>
      </w:r>
      <w:r>
        <w:rPr>
          <w:rFonts w:ascii="宋体" w:hAnsi="宋体" w:cs="宋体"/>
          <w:color w:val="auto"/>
          <w:spacing w:val="4"/>
          <w:sz w:val="24"/>
        </w:rPr>
        <w:t>）发包人未能按合同约定支付预付款或合同价款，或拖延、拒绝批准</w:t>
      </w:r>
      <w:r>
        <w:rPr>
          <w:rFonts w:ascii="宋体" w:hAnsi="宋体" w:cs="宋体"/>
          <w:color w:val="auto"/>
          <w:spacing w:val="3"/>
          <w:sz w:val="24"/>
        </w:rPr>
        <w:t>付款</w:t>
      </w:r>
      <w:r>
        <w:rPr>
          <w:rFonts w:ascii="宋体" w:hAnsi="宋体" w:cs="宋体"/>
          <w:color w:val="auto"/>
          <w:spacing w:val="-3"/>
          <w:sz w:val="24"/>
        </w:rPr>
        <w:t>申请和支付凭证，导致付款延误；</w:t>
      </w:r>
    </w:p>
    <w:p w14:paraId="4FB81C72">
      <w:pPr>
        <w:spacing w:before="116" w:line="220" w:lineRule="auto"/>
        <w:ind w:left="492"/>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2</w:t>
      </w:r>
      <w:r>
        <w:rPr>
          <w:rFonts w:ascii="宋体" w:hAnsi="宋体" w:cs="宋体"/>
          <w:color w:val="auto"/>
          <w:spacing w:val="-2"/>
          <w:sz w:val="24"/>
        </w:rPr>
        <w:t>）发包人原因造成停工；</w:t>
      </w:r>
    </w:p>
    <w:p w14:paraId="383825FA">
      <w:pPr>
        <w:spacing w:before="113" w:line="219" w:lineRule="auto"/>
        <w:ind w:left="492"/>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3</w:t>
      </w:r>
      <w:r>
        <w:rPr>
          <w:rFonts w:ascii="宋体" w:hAnsi="宋体" w:cs="宋体"/>
          <w:color w:val="auto"/>
          <w:spacing w:val="-1"/>
          <w:sz w:val="24"/>
        </w:rPr>
        <w:t>）发包人无法继续履行或明确表示不履行或实质上已停止履行合同；</w:t>
      </w:r>
    </w:p>
    <w:p w14:paraId="22CCEDB2">
      <w:pPr>
        <w:spacing w:before="116" w:line="219" w:lineRule="auto"/>
        <w:ind w:left="492"/>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4</w:t>
      </w:r>
      <w:r>
        <w:rPr>
          <w:rFonts w:ascii="宋体" w:hAnsi="宋体" w:cs="宋体"/>
          <w:color w:val="auto"/>
          <w:spacing w:val="-1"/>
          <w:sz w:val="24"/>
        </w:rPr>
        <w:t>）发包人无正当理由不按时返还履约保证金或质量保证金的；</w:t>
      </w:r>
    </w:p>
    <w:p w14:paraId="2E3FB0FF">
      <w:pPr>
        <w:spacing w:before="116" w:line="219" w:lineRule="auto"/>
        <w:ind w:left="492"/>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5</w:t>
      </w:r>
      <w:r>
        <w:rPr>
          <w:rFonts w:ascii="宋体" w:hAnsi="宋体" w:cs="宋体"/>
          <w:color w:val="auto"/>
          <w:spacing w:val="-2"/>
          <w:sz w:val="24"/>
        </w:rPr>
        <w:t>）发包人不履行合同约定的其他义务。</w:t>
      </w:r>
    </w:p>
    <w:p w14:paraId="48A76E53">
      <w:pPr>
        <w:spacing w:before="113" w:line="220" w:lineRule="auto"/>
        <w:ind w:left="476"/>
        <w:rPr>
          <w:rFonts w:ascii="宋体" w:hAnsi="宋体" w:cs="宋体"/>
          <w:color w:val="auto"/>
          <w:sz w:val="24"/>
        </w:rPr>
      </w:pPr>
      <w:r>
        <w:rPr>
          <w:rFonts w:eastAsia="Times New Roman"/>
          <w:color w:val="auto"/>
          <w:spacing w:val="-1"/>
          <w:sz w:val="24"/>
        </w:rPr>
        <w:t xml:space="preserve">22.2.2  </w:t>
      </w:r>
      <w:r>
        <w:rPr>
          <w:rFonts w:ascii="宋体" w:hAnsi="宋体" w:cs="宋体"/>
          <w:color w:val="auto"/>
          <w:spacing w:val="-1"/>
          <w:sz w:val="24"/>
        </w:rPr>
        <w:t>对发包人违约的处理</w:t>
      </w:r>
    </w:p>
    <w:p w14:paraId="108A60A7">
      <w:pPr>
        <w:spacing w:before="114" w:line="308" w:lineRule="auto"/>
        <w:ind w:left="1" w:right="145" w:firstLine="482"/>
        <w:rPr>
          <w:rFonts w:ascii="宋体" w:hAnsi="宋体" w:cs="宋体"/>
          <w:color w:val="auto"/>
          <w:sz w:val="24"/>
        </w:rPr>
      </w:pPr>
      <w:r>
        <w:rPr>
          <w:rFonts w:ascii="宋体" w:hAnsi="宋体" w:cs="宋体"/>
          <w:color w:val="auto"/>
          <w:spacing w:val="-6"/>
          <w:sz w:val="24"/>
        </w:rPr>
        <w:t>发包人发生除第</w:t>
      </w:r>
      <w:r>
        <w:rPr>
          <w:rFonts w:eastAsia="Times New Roman"/>
          <w:color w:val="auto"/>
          <w:spacing w:val="-6"/>
          <w:sz w:val="24"/>
        </w:rPr>
        <w:t>22.2.1</w:t>
      </w:r>
      <w:r>
        <w:rPr>
          <w:rFonts w:ascii="宋体" w:hAnsi="宋体" w:cs="宋体"/>
          <w:color w:val="auto"/>
          <w:spacing w:val="-6"/>
          <w:sz w:val="24"/>
        </w:rPr>
        <w:t>（</w:t>
      </w:r>
      <w:r>
        <w:rPr>
          <w:rFonts w:eastAsia="Times New Roman"/>
          <w:color w:val="auto"/>
          <w:spacing w:val="-6"/>
          <w:sz w:val="24"/>
        </w:rPr>
        <w:t>3</w:t>
      </w:r>
      <w:r>
        <w:rPr>
          <w:rFonts w:ascii="宋体" w:hAnsi="宋体" w:cs="宋体"/>
          <w:color w:val="auto"/>
          <w:spacing w:val="-6"/>
          <w:sz w:val="24"/>
        </w:rPr>
        <w:t>）、（</w:t>
      </w:r>
      <w:r>
        <w:rPr>
          <w:rFonts w:eastAsia="Times New Roman"/>
          <w:color w:val="auto"/>
          <w:spacing w:val="-6"/>
          <w:sz w:val="24"/>
        </w:rPr>
        <w:t>4</w:t>
      </w:r>
      <w:r>
        <w:rPr>
          <w:rFonts w:ascii="宋体" w:hAnsi="宋体" w:cs="宋体"/>
          <w:color w:val="auto"/>
          <w:spacing w:val="-6"/>
          <w:sz w:val="24"/>
        </w:rPr>
        <w:t>）目以外的违约情况时，承包人可向发包人发</w:t>
      </w:r>
      <w:r>
        <w:rPr>
          <w:rFonts w:ascii="宋体" w:hAnsi="宋体" w:cs="宋体"/>
          <w:color w:val="auto"/>
          <w:sz w:val="24"/>
        </w:rPr>
        <w:t>出通知，要求发包人采取有效措施纠正违约行为。发包人收到承包人通知后的</w:t>
      </w:r>
      <w:r>
        <w:rPr>
          <w:rFonts w:eastAsia="Times New Roman"/>
          <w:color w:val="auto"/>
          <w:sz w:val="24"/>
        </w:rPr>
        <w:t>7</w:t>
      </w:r>
      <w:r>
        <w:rPr>
          <w:rFonts w:ascii="宋体" w:hAnsi="宋体" w:cs="宋体"/>
          <w:color w:val="auto"/>
          <w:sz w:val="24"/>
        </w:rPr>
        <w:t>天</w:t>
      </w:r>
      <w:r>
        <w:rPr>
          <w:rFonts w:ascii="宋体" w:hAnsi="宋体" w:cs="宋体"/>
          <w:color w:val="auto"/>
          <w:spacing w:val="1"/>
          <w:sz w:val="24"/>
        </w:rPr>
        <w:t>内仍不履行合同义务，承包人有权暂停养护作业，并通</w:t>
      </w:r>
      <w:r>
        <w:rPr>
          <w:rFonts w:ascii="宋体" w:hAnsi="宋体" w:cs="宋体"/>
          <w:color w:val="auto"/>
          <w:sz w:val="24"/>
        </w:rPr>
        <w:t>知咨询人，发包人应承担由</w:t>
      </w:r>
      <w:r>
        <w:rPr>
          <w:rFonts w:ascii="宋体" w:hAnsi="宋体" w:cs="宋体"/>
          <w:color w:val="auto"/>
          <w:spacing w:val="-1"/>
          <w:sz w:val="24"/>
        </w:rPr>
        <w:t>此增加的费用和（或）工期延误，并支付承包人合理利润。</w:t>
      </w:r>
    </w:p>
    <w:p w14:paraId="017AE9EF">
      <w:pPr>
        <w:spacing w:before="2" w:line="307" w:lineRule="auto"/>
        <w:ind w:right="147" w:firstLine="484"/>
        <w:rPr>
          <w:rFonts w:ascii="宋体" w:hAnsi="宋体" w:cs="宋体"/>
          <w:color w:val="auto"/>
          <w:sz w:val="24"/>
        </w:rPr>
      </w:pPr>
      <w:r>
        <w:rPr>
          <w:rFonts w:ascii="宋体" w:hAnsi="宋体" w:cs="宋体"/>
          <w:color w:val="auto"/>
          <w:spacing w:val="2"/>
          <w:sz w:val="24"/>
        </w:rPr>
        <w:t xml:space="preserve">发包人发生第 </w:t>
      </w:r>
      <w:r>
        <w:rPr>
          <w:rFonts w:eastAsia="Times New Roman"/>
          <w:color w:val="auto"/>
          <w:spacing w:val="2"/>
          <w:sz w:val="24"/>
        </w:rPr>
        <w:t>22.2.1</w:t>
      </w:r>
      <w:r>
        <w:rPr>
          <w:rFonts w:ascii="宋体" w:hAnsi="宋体" w:cs="宋体"/>
          <w:color w:val="auto"/>
          <w:spacing w:val="2"/>
          <w:sz w:val="24"/>
        </w:rPr>
        <w:t>（</w:t>
      </w:r>
      <w:r>
        <w:rPr>
          <w:rFonts w:eastAsia="Times New Roman"/>
          <w:color w:val="auto"/>
          <w:spacing w:val="2"/>
          <w:sz w:val="24"/>
        </w:rPr>
        <w:t>4</w:t>
      </w:r>
      <w:r>
        <w:rPr>
          <w:rFonts w:ascii="宋体" w:hAnsi="宋体" w:cs="宋体"/>
          <w:color w:val="auto"/>
          <w:spacing w:val="2"/>
          <w:sz w:val="24"/>
        </w:rPr>
        <w:t>）目的违约情况时，承包人可向发包人发出通知</w:t>
      </w:r>
      <w:r>
        <w:rPr>
          <w:rFonts w:ascii="宋体" w:hAnsi="宋体" w:cs="宋体"/>
          <w:color w:val="auto"/>
          <w:spacing w:val="1"/>
          <w:sz w:val="24"/>
        </w:rPr>
        <w:t>，要</w:t>
      </w:r>
      <w:r>
        <w:rPr>
          <w:rFonts w:ascii="宋体" w:hAnsi="宋体" w:cs="宋体"/>
          <w:color w:val="auto"/>
          <w:spacing w:val="2"/>
          <w:sz w:val="24"/>
        </w:rPr>
        <w:t>求发包人采取有效措施纠正违约行为。发包人收到承包人通知后的</w:t>
      </w:r>
      <w:r>
        <w:rPr>
          <w:rFonts w:eastAsia="Times New Roman"/>
          <w:color w:val="auto"/>
          <w:spacing w:val="2"/>
          <w:sz w:val="24"/>
        </w:rPr>
        <w:t xml:space="preserve">7 </w:t>
      </w:r>
      <w:r>
        <w:rPr>
          <w:rFonts w:ascii="宋体" w:hAnsi="宋体" w:cs="宋体"/>
          <w:color w:val="auto"/>
          <w:spacing w:val="2"/>
          <w:sz w:val="24"/>
        </w:rPr>
        <w:t>天内仍不返还</w:t>
      </w:r>
      <w:r>
        <w:rPr>
          <w:rFonts w:ascii="宋体" w:hAnsi="宋体" w:cs="宋体"/>
          <w:color w:val="auto"/>
          <w:spacing w:val="1"/>
          <w:sz w:val="24"/>
        </w:rPr>
        <w:t>履约保证金或质量保证金的，发包人应按专用合同条款</w:t>
      </w:r>
      <w:r>
        <w:rPr>
          <w:rFonts w:ascii="宋体" w:hAnsi="宋体" w:cs="宋体"/>
          <w:color w:val="auto"/>
          <w:sz w:val="24"/>
        </w:rPr>
        <w:t>的约定向承包人支付逾期返</w:t>
      </w:r>
      <w:r>
        <w:rPr>
          <w:rFonts w:ascii="宋体" w:hAnsi="宋体" w:cs="宋体"/>
          <w:color w:val="auto"/>
          <w:spacing w:val="-1"/>
          <w:sz w:val="24"/>
        </w:rPr>
        <w:t>还保证金的违约金。</w:t>
      </w:r>
    </w:p>
    <w:p w14:paraId="27A133AD">
      <w:pPr>
        <w:spacing w:before="1" w:line="219" w:lineRule="auto"/>
        <w:ind w:left="476"/>
        <w:rPr>
          <w:rFonts w:ascii="宋体" w:hAnsi="宋体" w:cs="宋体"/>
          <w:color w:val="auto"/>
          <w:sz w:val="24"/>
        </w:rPr>
      </w:pPr>
      <w:r>
        <w:rPr>
          <w:rFonts w:eastAsia="Times New Roman"/>
          <w:color w:val="auto"/>
          <w:spacing w:val="-1"/>
          <w:sz w:val="24"/>
        </w:rPr>
        <w:t xml:space="preserve">22.2.3  </w:t>
      </w:r>
      <w:r>
        <w:rPr>
          <w:rFonts w:ascii="宋体" w:hAnsi="宋体" w:cs="宋体"/>
          <w:color w:val="auto"/>
          <w:spacing w:val="-1"/>
          <w:sz w:val="24"/>
        </w:rPr>
        <w:t>发包人违约解除合同</w:t>
      </w:r>
    </w:p>
    <w:p w14:paraId="252CDA0B">
      <w:pPr>
        <w:spacing w:before="115" w:line="264" w:lineRule="auto"/>
        <w:ind w:left="15" w:right="145" w:firstLine="477"/>
        <w:rPr>
          <w:rFonts w:ascii="宋体" w:hAnsi="宋体" w:cs="宋体"/>
          <w:color w:val="auto"/>
          <w:sz w:val="24"/>
        </w:rPr>
      </w:pPr>
      <w:r>
        <w:rPr>
          <w:rFonts w:ascii="宋体" w:hAnsi="宋体" w:cs="宋体"/>
          <w:color w:val="auto"/>
          <w:sz w:val="24"/>
        </w:rPr>
        <w:t>（</w:t>
      </w:r>
      <w:r>
        <w:rPr>
          <w:rFonts w:eastAsia="Times New Roman"/>
          <w:color w:val="auto"/>
          <w:sz w:val="24"/>
        </w:rPr>
        <w:t>1</w:t>
      </w:r>
      <w:r>
        <w:rPr>
          <w:rFonts w:ascii="宋体" w:hAnsi="宋体" w:cs="宋体"/>
          <w:color w:val="auto"/>
          <w:sz w:val="24"/>
        </w:rPr>
        <w:t>）发包人发生第</w:t>
      </w:r>
      <w:r>
        <w:rPr>
          <w:rFonts w:eastAsia="Times New Roman"/>
          <w:color w:val="auto"/>
          <w:sz w:val="24"/>
        </w:rPr>
        <w:t>22.2.1</w:t>
      </w:r>
      <w:r>
        <w:rPr>
          <w:rFonts w:ascii="宋体" w:hAnsi="宋体" w:cs="宋体"/>
          <w:color w:val="auto"/>
          <w:sz w:val="24"/>
        </w:rPr>
        <w:t>（</w:t>
      </w:r>
      <w:r>
        <w:rPr>
          <w:rFonts w:eastAsia="Times New Roman"/>
          <w:color w:val="auto"/>
          <w:sz w:val="24"/>
        </w:rPr>
        <w:t>3</w:t>
      </w:r>
      <w:r>
        <w:rPr>
          <w:rFonts w:ascii="宋体" w:hAnsi="宋体" w:cs="宋体"/>
          <w:color w:val="auto"/>
          <w:sz w:val="24"/>
        </w:rPr>
        <w:t>）目的违约情况时，承包人可书面通知发包人解</w:t>
      </w:r>
      <w:r>
        <w:rPr>
          <w:rFonts w:ascii="宋体" w:hAnsi="宋体" w:cs="宋体"/>
          <w:color w:val="auto"/>
          <w:spacing w:val="-6"/>
          <w:sz w:val="24"/>
        </w:rPr>
        <w:t>除合同。</w:t>
      </w:r>
    </w:p>
    <w:p w14:paraId="45CFEE50">
      <w:pPr>
        <w:spacing w:before="112" w:line="279" w:lineRule="auto"/>
        <w:ind w:firstLine="491"/>
        <w:rPr>
          <w:rFonts w:ascii="宋体" w:hAnsi="宋体" w:cs="宋体"/>
          <w:color w:val="auto"/>
          <w:sz w:val="24"/>
        </w:rPr>
      </w:pPr>
      <w:r>
        <w:rPr>
          <w:rFonts w:ascii="宋体" w:hAnsi="宋体" w:cs="宋体"/>
          <w:color w:val="auto"/>
          <w:spacing w:val="-3"/>
          <w:sz w:val="24"/>
        </w:rPr>
        <w:t>（</w:t>
      </w:r>
      <w:r>
        <w:rPr>
          <w:rFonts w:eastAsia="Times New Roman"/>
          <w:color w:val="auto"/>
          <w:spacing w:val="-3"/>
          <w:sz w:val="24"/>
        </w:rPr>
        <w:t>2</w:t>
      </w:r>
      <w:r>
        <w:rPr>
          <w:rFonts w:ascii="宋体" w:hAnsi="宋体" w:cs="宋体"/>
          <w:color w:val="auto"/>
          <w:spacing w:val="-3"/>
          <w:sz w:val="24"/>
        </w:rPr>
        <w:t>）承包人按第</w:t>
      </w:r>
      <w:r>
        <w:rPr>
          <w:rFonts w:eastAsia="Times New Roman"/>
          <w:color w:val="auto"/>
          <w:spacing w:val="-3"/>
          <w:sz w:val="24"/>
        </w:rPr>
        <w:t xml:space="preserve">22.2.2 </w:t>
      </w:r>
      <w:r>
        <w:rPr>
          <w:rFonts w:ascii="宋体" w:hAnsi="宋体" w:cs="宋体"/>
          <w:color w:val="auto"/>
          <w:spacing w:val="-3"/>
          <w:sz w:val="24"/>
        </w:rPr>
        <w:t>项暂停养护作业</w:t>
      </w:r>
      <w:r>
        <w:rPr>
          <w:rFonts w:eastAsia="Times New Roman"/>
          <w:color w:val="auto"/>
          <w:spacing w:val="-3"/>
          <w:sz w:val="24"/>
        </w:rPr>
        <w:t>14</w:t>
      </w:r>
      <w:r>
        <w:rPr>
          <w:rFonts w:ascii="宋体" w:hAnsi="宋体" w:cs="宋体"/>
          <w:color w:val="auto"/>
          <w:spacing w:val="-3"/>
          <w:sz w:val="24"/>
        </w:rPr>
        <w:t>天后，发包人仍不</w:t>
      </w:r>
      <w:r>
        <w:rPr>
          <w:rFonts w:ascii="宋体" w:hAnsi="宋体" w:cs="宋体"/>
          <w:color w:val="auto"/>
          <w:spacing w:val="-4"/>
          <w:sz w:val="24"/>
        </w:rPr>
        <w:t>纠正违约行为的，</w:t>
      </w:r>
      <w:r>
        <w:rPr>
          <w:rFonts w:ascii="宋体" w:hAnsi="宋体" w:cs="宋体"/>
          <w:color w:val="auto"/>
          <w:spacing w:val="1"/>
          <w:sz w:val="24"/>
        </w:rPr>
        <w:t>承包人可向发包人发出解除合同通知。但承包人的这一行</w:t>
      </w:r>
      <w:r>
        <w:rPr>
          <w:rFonts w:ascii="宋体" w:hAnsi="宋体" w:cs="宋体"/>
          <w:color w:val="auto"/>
          <w:sz w:val="24"/>
        </w:rPr>
        <w:t>动不免除发包人承担的违</w:t>
      </w:r>
      <w:r>
        <w:rPr>
          <w:rFonts w:ascii="宋体" w:hAnsi="宋体" w:cs="宋体"/>
          <w:color w:val="auto"/>
          <w:spacing w:val="-1"/>
          <w:sz w:val="24"/>
        </w:rPr>
        <w:t>约责任，也不影响承包人根据合同约定享有的索赔权利。</w:t>
      </w:r>
    </w:p>
    <w:p w14:paraId="520EC6EA">
      <w:pPr>
        <w:spacing w:before="113" w:line="219" w:lineRule="auto"/>
        <w:ind w:left="476"/>
        <w:rPr>
          <w:rFonts w:ascii="宋体" w:hAnsi="宋体" w:cs="宋体"/>
          <w:color w:val="auto"/>
          <w:sz w:val="24"/>
        </w:rPr>
      </w:pPr>
      <w:r>
        <w:rPr>
          <w:rFonts w:eastAsia="Times New Roman"/>
          <w:color w:val="auto"/>
          <w:spacing w:val="-1"/>
          <w:sz w:val="24"/>
        </w:rPr>
        <w:t xml:space="preserve">22.2.4  </w:t>
      </w:r>
      <w:r>
        <w:rPr>
          <w:rFonts w:ascii="宋体" w:hAnsi="宋体" w:cs="宋体"/>
          <w:color w:val="auto"/>
          <w:spacing w:val="-1"/>
          <w:sz w:val="24"/>
        </w:rPr>
        <w:t>解除合同后的付款</w:t>
      </w:r>
    </w:p>
    <w:p w14:paraId="3F6896FE">
      <w:pPr>
        <w:spacing w:before="116" w:line="219" w:lineRule="auto"/>
        <w:ind w:left="499"/>
        <w:rPr>
          <w:rFonts w:ascii="宋体" w:hAnsi="宋体" w:cs="宋体"/>
          <w:color w:val="auto"/>
          <w:sz w:val="24"/>
        </w:rPr>
      </w:pPr>
      <w:r>
        <w:rPr>
          <w:rFonts w:ascii="宋体" w:hAnsi="宋体" w:cs="宋体"/>
          <w:color w:val="auto"/>
          <w:spacing w:val="2"/>
          <w:sz w:val="24"/>
        </w:rPr>
        <w:t>因发包人违约解除合同的，发包人应在解除合同后</w:t>
      </w:r>
      <w:r>
        <w:rPr>
          <w:rFonts w:eastAsia="Times New Roman"/>
          <w:color w:val="auto"/>
          <w:spacing w:val="2"/>
          <w:sz w:val="24"/>
        </w:rPr>
        <w:t>14</w:t>
      </w:r>
      <w:r>
        <w:rPr>
          <w:rFonts w:ascii="宋体" w:hAnsi="宋体" w:cs="宋体"/>
          <w:color w:val="auto"/>
          <w:spacing w:val="2"/>
          <w:sz w:val="24"/>
        </w:rPr>
        <w:t>天内向承包人支付下列</w:t>
      </w:r>
      <w:r>
        <w:rPr>
          <w:rFonts w:ascii="宋体" w:hAnsi="宋体" w:cs="宋体"/>
          <w:color w:val="auto"/>
          <w:spacing w:val="-2"/>
          <w:sz w:val="24"/>
        </w:rPr>
        <w:t>金额，承包人应在此期限内及时向发包人提交要求支付下列金额的有关资料和凭证：</w:t>
      </w:r>
    </w:p>
    <w:p w14:paraId="69538998">
      <w:pPr>
        <w:spacing w:before="115" w:line="218" w:lineRule="auto"/>
        <w:ind w:left="492"/>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1</w:t>
      </w:r>
      <w:r>
        <w:rPr>
          <w:rFonts w:ascii="宋体" w:hAnsi="宋体" w:cs="宋体"/>
          <w:color w:val="auto"/>
          <w:spacing w:val="-2"/>
          <w:sz w:val="24"/>
        </w:rPr>
        <w:t>）合同解除日以前所完成工作的价款；</w:t>
      </w:r>
    </w:p>
    <w:p w14:paraId="731B9A62">
      <w:pPr>
        <w:spacing w:before="116" w:line="263" w:lineRule="auto"/>
        <w:ind w:right="164" w:firstLine="491"/>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2</w:t>
      </w:r>
      <w:r>
        <w:rPr>
          <w:rFonts w:ascii="宋体" w:hAnsi="宋体" w:cs="宋体"/>
          <w:color w:val="auto"/>
          <w:spacing w:val="4"/>
          <w:sz w:val="24"/>
        </w:rPr>
        <w:t>）承包人为实施养护作业订购并已付款的材料、工程设备和其他物品</w:t>
      </w:r>
      <w:r>
        <w:rPr>
          <w:rFonts w:ascii="宋体" w:hAnsi="宋体" w:cs="宋体"/>
          <w:color w:val="auto"/>
          <w:spacing w:val="3"/>
          <w:sz w:val="24"/>
        </w:rPr>
        <w:t>的金</w:t>
      </w:r>
      <w:r>
        <w:rPr>
          <w:rFonts w:ascii="宋体" w:hAnsi="宋体" w:cs="宋体"/>
          <w:color w:val="auto"/>
          <w:spacing w:val="-1"/>
          <w:sz w:val="24"/>
        </w:rPr>
        <w:t>额；发包人付款后，该材料、工程设备和其他物品归发包人所有；</w:t>
      </w:r>
    </w:p>
    <w:p w14:paraId="73EDEE51">
      <w:pPr>
        <w:spacing w:before="117" w:line="219" w:lineRule="auto"/>
        <w:ind w:left="492"/>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3</w:t>
      </w:r>
      <w:r>
        <w:rPr>
          <w:rFonts w:ascii="宋体" w:hAnsi="宋体" w:cs="宋体"/>
          <w:color w:val="auto"/>
          <w:spacing w:val="-1"/>
          <w:sz w:val="24"/>
        </w:rPr>
        <w:t>）承包人为实施养护项目所发生的，而发包人未支付的金额；</w:t>
      </w:r>
    </w:p>
    <w:p w14:paraId="3BE1B1DA">
      <w:pPr>
        <w:spacing w:before="113" w:line="219" w:lineRule="auto"/>
        <w:ind w:left="492"/>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4</w:t>
      </w:r>
      <w:r>
        <w:rPr>
          <w:rFonts w:ascii="宋体" w:hAnsi="宋体" w:cs="宋体"/>
          <w:color w:val="auto"/>
          <w:spacing w:val="-1"/>
          <w:sz w:val="24"/>
        </w:rPr>
        <w:t>）承包人撤离养护作业场地以及遣散承包人人员的金额；</w:t>
      </w:r>
    </w:p>
    <w:p w14:paraId="2B1DF265">
      <w:pPr>
        <w:spacing w:before="116" w:line="219" w:lineRule="auto"/>
        <w:ind w:left="492"/>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5</w:t>
      </w:r>
      <w:r>
        <w:rPr>
          <w:rFonts w:ascii="宋体" w:hAnsi="宋体" w:cs="宋体"/>
          <w:color w:val="auto"/>
          <w:spacing w:val="-2"/>
          <w:sz w:val="24"/>
        </w:rPr>
        <w:t>）由于解除合同应赔偿的承包人损失；</w:t>
      </w:r>
    </w:p>
    <w:p w14:paraId="23324E7F">
      <w:pPr>
        <w:spacing w:before="116" w:line="219" w:lineRule="auto"/>
        <w:ind w:left="492"/>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6</w:t>
      </w:r>
      <w:r>
        <w:rPr>
          <w:rFonts w:ascii="宋体" w:hAnsi="宋体" w:cs="宋体"/>
          <w:color w:val="auto"/>
          <w:spacing w:val="-1"/>
          <w:sz w:val="24"/>
        </w:rPr>
        <w:t>）按合同约定在合同解除日前应支付给承包人的其他金额。</w:t>
      </w:r>
    </w:p>
    <w:p w14:paraId="27A5879F">
      <w:pPr>
        <w:spacing w:before="114" w:line="308" w:lineRule="auto"/>
        <w:ind w:left="2" w:right="164" w:firstLine="481"/>
        <w:rPr>
          <w:rFonts w:ascii="宋体" w:hAnsi="宋体" w:cs="宋体"/>
          <w:color w:val="auto"/>
          <w:sz w:val="24"/>
        </w:rPr>
      </w:pPr>
      <w:r>
        <w:rPr>
          <w:rFonts w:ascii="宋体" w:hAnsi="宋体" w:cs="宋体"/>
          <w:color w:val="auto"/>
          <w:spacing w:val="1"/>
          <w:sz w:val="24"/>
        </w:rPr>
        <w:t>发包人应按本项约定支付上述金额并退还质量保</w:t>
      </w:r>
      <w:r>
        <w:rPr>
          <w:rFonts w:ascii="宋体" w:hAnsi="宋体" w:cs="宋体"/>
          <w:color w:val="auto"/>
          <w:sz w:val="24"/>
        </w:rPr>
        <w:t>证金和履约保证金，但有权要</w:t>
      </w:r>
      <w:r>
        <w:rPr>
          <w:rFonts w:ascii="宋体" w:hAnsi="宋体" w:cs="宋体"/>
          <w:color w:val="auto"/>
          <w:spacing w:val="-1"/>
          <w:sz w:val="24"/>
        </w:rPr>
        <w:t>求承包人支付应偿还给发包人的各项金额。</w:t>
      </w:r>
    </w:p>
    <w:p w14:paraId="60F5F70C">
      <w:pPr>
        <w:spacing w:line="219" w:lineRule="auto"/>
        <w:ind w:left="476"/>
        <w:rPr>
          <w:rFonts w:ascii="宋体" w:hAnsi="宋体" w:cs="宋体"/>
          <w:color w:val="auto"/>
          <w:sz w:val="24"/>
        </w:rPr>
      </w:pPr>
      <w:r>
        <w:rPr>
          <w:rFonts w:eastAsia="Times New Roman"/>
          <w:color w:val="auto"/>
          <w:spacing w:val="-1"/>
          <w:sz w:val="24"/>
        </w:rPr>
        <w:t xml:space="preserve">22.2.5  </w:t>
      </w:r>
      <w:r>
        <w:rPr>
          <w:rFonts w:ascii="宋体" w:hAnsi="宋体" w:cs="宋体"/>
          <w:color w:val="auto"/>
          <w:spacing w:val="-1"/>
          <w:sz w:val="24"/>
        </w:rPr>
        <w:t>解除合同后的承包人撤离</w:t>
      </w:r>
    </w:p>
    <w:p w14:paraId="5B756B22">
      <w:pPr>
        <w:spacing w:before="114" w:line="305" w:lineRule="auto"/>
        <w:ind w:left="1" w:right="164" w:firstLine="497"/>
        <w:rPr>
          <w:rFonts w:ascii="宋体" w:hAnsi="宋体" w:cs="宋体"/>
          <w:color w:val="auto"/>
          <w:sz w:val="24"/>
        </w:rPr>
      </w:pPr>
      <w:r>
        <w:rPr>
          <w:rFonts w:ascii="宋体" w:hAnsi="宋体" w:cs="宋体"/>
          <w:color w:val="auto"/>
          <w:sz w:val="24"/>
        </w:rPr>
        <w:t>因发包人违约而解除合同后，承包人应妥善做好已养护项目和已购材料、设备</w:t>
      </w:r>
      <w:r>
        <w:rPr>
          <w:rFonts w:ascii="宋体" w:hAnsi="宋体" w:cs="宋体"/>
          <w:color w:val="auto"/>
          <w:spacing w:val="1"/>
          <w:sz w:val="24"/>
        </w:rPr>
        <w:t>的保护工作，按发包人要求将承包人设备和人员撤出养</w:t>
      </w:r>
      <w:r>
        <w:rPr>
          <w:rFonts w:ascii="宋体" w:hAnsi="宋体" w:cs="宋体"/>
          <w:color w:val="auto"/>
          <w:sz w:val="24"/>
        </w:rPr>
        <w:t>护作业场地。承包人撤出养</w:t>
      </w:r>
      <w:r>
        <w:rPr>
          <w:rFonts w:ascii="宋体" w:hAnsi="宋体" w:cs="宋体"/>
          <w:color w:val="auto"/>
          <w:spacing w:val="-1"/>
          <w:sz w:val="24"/>
        </w:rPr>
        <w:t>护作业场地应遵守第</w:t>
      </w:r>
      <w:r>
        <w:rPr>
          <w:rFonts w:eastAsia="Times New Roman"/>
          <w:color w:val="auto"/>
          <w:spacing w:val="-1"/>
          <w:sz w:val="24"/>
        </w:rPr>
        <w:t xml:space="preserve">18.6 </w:t>
      </w:r>
      <w:r>
        <w:rPr>
          <w:rFonts w:ascii="宋体" w:hAnsi="宋体" w:cs="宋体"/>
          <w:color w:val="auto"/>
          <w:spacing w:val="-1"/>
          <w:sz w:val="24"/>
        </w:rPr>
        <w:t>款的约定，发包人应为承包人撤出提供必</w:t>
      </w:r>
      <w:r>
        <w:rPr>
          <w:rFonts w:ascii="宋体" w:hAnsi="宋体" w:cs="宋体"/>
          <w:color w:val="auto"/>
          <w:spacing w:val="-2"/>
          <w:sz w:val="24"/>
        </w:rPr>
        <w:t>要条件。</w:t>
      </w:r>
    </w:p>
    <w:p w14:paraId="5A2DEF2A">
      <w:pPr>
        <w:spacing w:before="1" w:line="219" w:lineRule="auto"/>
        <w:ind w:left="477"/>
        <w:outlineLvl w:val="3"/>
        <w:rPr>
          <w:rFonts w:ascii="宋体" w:hAnsi="宋体" w:cs="宋体"/>
          <w:color w:val="auto"/>
          <w:sz w:val="24"/>
        </w:rPr>
      </w:pPr>
      <w:r>
        <w:rPr>
          <w:rFonts w:eastAsia="Times New Roman"/>
          <w:b/>
          <w:bCs/>
          <w:color w:val="auto"/>
          <w:spacing w:val="-2"/>
          <w:sz w:val="24"/>
        </w:rPr>
        <w:t xml:space="preserve">22.3 </w:t>
      </w:r>
      <w:r>
        <w:rPr>
          <w:rFonts w:ascii="宋体" w:hAnsi="宋体" w:cs="宋体"/>
          <w:b/>
          <w:bCs/>
          <w:color w:val="auto"/>
          <w:spacing w:val="-2"/>
          <w:sz w:val="24"/>
        </w:rPr>
        <w:t>第三人造成的违约</w:t>
      </w:r>
    </w:p>
    <w:p w14:paraId="4CF7510F">
      <w:pPr>
        <w:spacing w:before="124" w:line="309" w:lineRule="auto"/>
        <w:ind w:left="2" w:right="164" w:firstLine="477"/>
        <w:rPr>
          <w:rFonts w:ascii="宋体" w:hAnsi="宋体" w:cs="宋体"/>
          <w:color w:val="auto"/>
          <w:sz w:val="24"/>
        </w:rPr>
      </w:pPr>
      <w:r>
        <w:rPr>
          <w:rFonts w:ascii="宋体" w:hAnsi="宋体" w:cs="宋体"/>
          <w:color w:val="auto"/>
          <w:spacing w:val="1"/>
          <w:sz w:val="24"/>
        </w:rPr>
        <w:t>在履行合同过程中，一方当事人因第三人的原因造成违约的</w:t>
      </w:r>
      <w:r>
        <w:rPr>
          <w:rFonts w:ascii="宋体" w:hAnsi="宋体" w:cs="宋体"/>
          <w:color w:val="auto"/>
          <w:sz w:val="24"/>
        </w:rPr>
        <w:t>，应当向对方当事</w:t>
      </w:r>
      <w:r>
        <w:rPr>
          <w:rFonts w:ascii="宋体" w:hAnsi="宋体" w:cs="宋体"/>
          <w:color w:val="auto"/>
          <w:spacing w:val="1"/>
          <w:sz w:val="24"/>
        </w:rPr>
        <w:t>人承担违约责任。一方当事人和第三人之间的纠纷，</w:t>
      </w:r>
      <w:r>
        <w:rPr>
          <w:rFonts w:ascii="宋体" w:hAnsi="宋体" w:cs="宋体"/>
          <w:color w:val="auto"/>
          <w:sz w:val="24"/>
        </w:rPr>
        <w:t>依照法律规定或者按照约定解</w:t>
      </w:r>
      <w:r>
        <w:rPr>
          <w:rFonts w:ascii="宋体" w:hAnsi="宋体" w:cs="宋体"/>
          <w:color w:val="auto"/>
          <w:spacing w:val="-6"/>
          <w:sz w:val="24"/>
        </w:rPr>
        <w:t>决。</w:t>
      </w:r>
    </w:p>
    <w:p w14:paraId="474346DD">
      <w:pPr>
        <w:spacing w:before="308" w:line="219" w:lineRule="auto"/>
        <w:ind w:left="477"/>
        <w:outlineLvl w:val="2"/>
        <w:rPr>
          <w:rFonts w:ascii="宋体" w:hAnsi="宋体" w:cs="宋体"/>
          <w:color w:val="auto"/>
          <w:sz w:val="24"/>
        </w:rPr>
      </w:pPr>
      <w:bookmarkStart w:id="177" w:name="bookmark52"/>
      <w:bookmarkEnd w:id="177"/>
      <w:bookmarkStart w:id="178" w:name="bookmark51"/>
      <w:bookmarkEnd w:id="178"/>
      <w:r>
        <w:rPr>
          <w:rFonts w:eastAsia="Times New Roman"/>
          <w:b/>
          <w:bCs/>
          <w:color w:val="auto"/>
          <w:spacing w:val="-5"/>
          <w:sz w:val="24"/>
        </w:rPr>
        <w:t>23.</w:t>
      </w:r>
      <w:r>
        <w:rPr>
          <w:rFonts w:ascii="宋体" w:hAnsi="宋体" w:cs="宋体"/>
          <w:b/>
          <w:bCs/>
          <w:color w:val="auto"/>
          <w:spacing w:val="-5"/>
          <w:sz w:val="24"/>
        </w:rPr>
        <w:t>索赔</w:t>
      </w:r>
    </w:p>
    <w:p w14:paraId="77B3D8E9">
      <w:pPr>
        <w:spacing w:before="261" w:line="219" w:lineRule="auto"/>
        <w:ind w:left="477"/>
        <w:outlineLvl w:val="3"/>
        <w:rPr>
          <w:rFonts w:ascii="宋体" w:hAnsi="宋体" w:cs="宋体"/>
          <w:color w:val="auto"/>
          <w:sz w:val="24"/>
        </w:rPr>
      </w:pPr>
      <w:r>
        <w:rPr>
          <w:rFonts w:eastAsia="Times New Roman"/>
          <w:b/>
          <w:bCs/>
          <w:color w:val="auto"/>
          <w:spacing w:val="-2"/>
          <w:sz w:val="24"/>
        </w:rPr>
        <w:t xml:space="preserve">23.1  </w:t>
      </w:r>
      <w:r>
        <w:rPr>
          <w:rFonts w:ascii="宋体" w:hAnsi="宋体" w:cs="宋体"/>
          <w:b/>
          <w:bCs/>
          <w:color w:val="auto"/>
          <w:spacing w:val="-2"/>
          <w:sz w:val="24"/>
        </w:rPr>
        <w:t>承包人索赔的提出</w:t>
      </w:r>
    </w:p>
    <w:p w14:paraId="543FAB6B">
      <w:pPr>
        <w:spacing w:before="126" w:line="307" w:lineRule="auto"/>
        <w:ind w:right="164" w:firstLine="480"/>
        <w:rPr>
          <w:rFonts w:ascii="宋体" w:hAnsi="宋体" w:cs="宋体"/>
          <w:color w:val="auto"/>
          <w:sz w:val="24"/>
        </w:rPr>
      </w:pPr>
      <w:r>
        <w:rPr>
          <w:rFonts w:ascii="宋体" w:hAnsi="宋体" w:cs="宋体"/>
          <w:color w:val="auto"/>
          <w:spacing w:val="1"/>
          <w:sz w:val="24"/>
        </w:rPr>
        <w:t>根据合同约定，承包人认为有权得到追加付款和（或）延</w:t>
      </w:r>
      <w:r>
        <w:rPr>
          <w:rFonts w:ascii="宋体" w:hAnsi="宋体" w:cs="宋体"/>
          <w:color w:val="auto"/>
          <w:sz w:val="24"/>
        </w:rPr>
        <w:t>长工期的，应按以下</w:t>
      </w:r>
      <w:r>
        <w:rPr>
          <w:rFonts w:ascii="宋体" w:hAnsi="宋体" w:cs="宋体"/>
          <w:color w:val="auto"/>
          <w:spacing w:val="-1"/>
          <w:sz w:val="24"/>
        </w:rPr>
        <w:t>程序向发包人提出索赔：</w:t>
      </w:r>
    </w:p>
    <w:p w14:paraId="115097BE">
      <w:pPr>
        <w:spacing w:before="3" w:line="277" w:lineRule="auto"/>
        <w:ind w:left="5" w:right="166" w:firstLine="486"/>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1</w:t>
      </w:r>
      <w:r>
        <w:rPr>
          <w:rFonts w:ascii="宋体" w:hAnsi="宋体" w:cs="宋体"/>
          <w:color w:val="auto"/>
          <w:spacing w:val="-1"/>
          <w:sz w:val="24"/>
        </w:rPr>
        <w:t>）承包人应在知道或应当知道索赔事件发生后</w:t>
      </w:r>
      <w:r>
        <w:rPr>
          <w:rFonts w:eastAsia="Times New Roman"/>
          <w:color w:val="auto"/>
          <w:spacing w:val="-1"/>
          <w:sz w:val="24"/>
        </w:rPr>
        <w:t xml:space="preserve">14 </w:t>
      </w:r>
      <w:r>
        <w:rPr>
          <w:rFonts w:ascii="宋体" w:hAnsi="宋体" w:cs="宋体"/>
          <w:color w:val="auto"/>
          <w:spacing w:val="-1"/>
          <w:sz w:val="24"/>
        </w:rPr>
        <w:t>天内向咨询人递交索赔意</w:t>
      </w:r>
      <w:r>
        <w:rPr>
          <w:rFonts w:ascii="宋体" w:hAnsi="宋体" w:cs="宋体"/>
          <w:color w:val="auto"/>
          <w:spacing w:val="2"/>
          <w:sz w:val="24"/>
        </w:rPr>
        <w:t>向通知书，并说明发生索赔事件的事由。承包人未在前述</w:t>
      </w:r>
      <w:r>
        <w:rPr>
          <w:rFonts w:eastAsia="Times New Roman"/>
          <w:color w:val="auto"/>
          <w:spacing w:val="2"/>
          <w:sz w:val="24"/>
        </w:rPr>
        <w:t>14</w:t>
      </w:r>
      <w:r>
        <w:rPr>
          <w:rFonts w:ascii="宋体" w:hAnsi="宋体" w:cs="宋体"/>
          <w:color w:val="auto"/>
          <w:spacing w:val="2"/>
          <w:sz w:val="24"/>
        </w:rPr>
        <w:t>天内发出索赔意向通</w:t>
      </w:r>
      <w:r>
        <w:rPr>
          <w:rFonts w:ascii="宋体" w:hAnsi="宋体" w:cs="宋体"/>
          <w:color w:val="auto"/>
          <w:spacing w:val="-1"/>
          <w:sz w:val="24"/>
        </w:rPr>
        <w:t>知书的，丧失要求追加付款和（或）延长工期的权利；</w:t>
      </w:r>
    </w:p>
    <w:p w14:paraId="0965CE43">
      <w:pPr>
        <w:spacing w:before="116" w:line="278" w:lineRule="auto"/>
        <w:ind w:left="5" w:firstLine="486"/>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2</w:t>
      </w:r>
      <w:r>
        <w:rPr>
          <w:rFonts w:ascii="宋体" w:hAnsi="宋体" w:cs="宋体"/>
          <w:color w:val="auto"/>
          <w:spacing w:val="-2"/>
          <w:sz w:val="24"/>
        </w:rPr>
        <w:t>）承包人应在发出索赔意向通知书后</w:t>
      </w:r>
      <w:r>
        <w:rPr>
          <w:rFonts w:eastAsia="Times New Roman"/>
          <w:color w:val="auto"/>
          <w:spacing w:val="-2"/>
          <w:sz w:val="24"/>
        </w:rPr>
        <w:t xml:space="preserve">14 </w:t>
      </w:r>
      <w:r>
        <w:rPr>
          <w:rFonts w:ascii="宋体" w:hAnsi="宋体" w:cs="宋体"/>
          <w:color w:val="auto"/>
          <w:spacing w:val="-3"/>
          <w:sz w:val="24"/>
        </w:rPr>
        <w:t>天内向咨询人正式递交索赔通知书。</w:t>
      </w:r>
      <w:r>
        <w:rPr>
          <w:rFonts w:ascii="宋体" w:hAnsi="宋体" w:cs="宋体"/>
          <w:color w:val="auto"/>
          <w:spacing w:val="1"/>
          <w:sz w:val="24"/>
        </w:rPr>
        <w:t>索赔通知书应详细说明索赔理由以及要求追加</w:t>
      </w:r>
      <w:r>
        <w:rPr>
          <w:rFonts w:ascii="宋体" w:hAnsi="宋体" w:cs="宋体"/>
          <w:color w:val="auto"/>
          <w:sz w:val="24"/>
        </w:rPr>
        <w:t>的付款金额和（或）延长的工期，并</w:t>
      </w:r>
      <w:r>
        <w:rPr>
          <w:rFonts w:ascii="宋体" w:hAnsi="宋体" w:cs="宋体"/>
          <w:color w:val="auto"/>
          <w:spacing w:val="-2"/>
          <w:sz w:val="24"/>
        </w:rPr>
        <w:t>附必要的记录和证明材料；</w:t>
      </w:r>
    </w:p>
    <w:p w14:paraId="4199A35C">
      <w:pPr>
        <w:spacing w:before="116" w:line="278" w:lineRule="auto"/>
        <w:ind w:right="164" w:firstLine="491"/>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3</w:t>
      </w:r>
      <w:r>
        <w:rPr>
          <w:rFonts w:ascii="宋体" w:hAnsi="宋体" w:cs="宋体"/>
          <w:color w:val="auto"/>
          <w:spacing w:val="4"/>
          <w:sz w:val="24"/>
        </w:rPr>
        <w:t>）索赔事件具有连续影响的，承包人应按合理时间间隔继续递交延续</w:t>
      </w:r>
      <w:r>
        <w:rPr>
          <w:rFonts w:ascii="宋体" w:hAnsi="宋体" w:cs="宋体"/>
          <w:color w:val="auto"/>
          <w:spacing w:val="3"/>
          <w:sz w:val="24"/>
        </w:rPr>
        <w:t>索赔</w:t>
      </w:r>
      <w:r>
        <w:rPr>
          <w:rFonts w:ascii="宋体" w:hAnsi="宋体" w:cs="宋体"/>
          <w:color w:val="auto"/>
          <w:spacing w:val="1"/>
          <w:sz w:val="24"/>
        </w:rPr>
        <w:t>通知，说明连续影响的实际情况和记录，列出累计的追加</w:t>
      </w:r>
      <w:r>
        <w:rPr>
          <w:rFonts w:ascii="宋体" w:hAnsi="宋体" w:cs="宋体"/>
          <w:color w:val="auto"/>
          <w:sz w:val="24"/>
        </w:rPr>
        <w:t>付款金额和（或）工期延</w:t>
      </w:r>
      <w:r>
        <w:rPr>
          <w:rFonts w:ascii="宋体" w:hAnsi="宋体" w:cs="宋体"/>
          <w:color w:val="auto"/>
          <w:spacing w:val="-3"/>
          <w:sz w:val="24"/>
        </w:rPr>
        <w:t>长天数；</w:t>
      </w:r>
    </w:p>
    <w:p w14:paraId="6EB0B037">
      <w:pPr>
        <w:spacing w:before="117" w:line="263" w:lineRule="auto"/>
        <w:ind w:left="3" w:right="18" w:firstLine="488"/>
        <w:rPr>
          <w:rFonts w:ascii="宋体" w:hAnsi="宋体" w:cs="宋体"/>
          <w:color w:val="auto"/>
          <w:sz w:val="24"/>
        </w:rPr>
      </w:pPr>
      <w:r>
        <w:rPr>
          <w:rFonts w:ascii="宋体" w:hAnsi="宋体" w:cs="宋体"/>
          <w:color w:val="auto"/>
          <w:spacing w:val="-3"/>
          <w:sz w:val="24"/>
        </w:rPr>
        <w:t>（</w:t>
      </w:r>
      <w:r>
        <w:rPr>
          <w:rFonts w:eastAsia="Times New Roman"/>
          <w:color w:val="auto"/>
          <w:spacing w:val="-3"/>
          <w:sz w:val="24"/>
        </w:rPr>
        <w:t>4</w:t>
      </w:r>
      <w:r>
        <w:rPr>
          <w:rFonts w:ascii="宋体" w:hAnsi="宋体" w:cs="宋体"/>
          <w:color w:val="auto"/>
          <w:spacing w:val="-3"/>
          <w:sz w:val="24"/>
        </w:rPr>
        <w:t>）在索赔事件影响结束后</w:t>
      </w:r>
      <w:r>
        <w:rPr>
          <w:rFonts w:eastAsia="Times New Roman"/>
          <w:color w:val="auto"/>
          <w:spacing w:val="-3"/>
          <w:sz w:val="24"/>
        </w:rPr>
        <w:t>14</w:t>
      </w:r>
      <w:r>
        <w:rPr>
          <w:rFonts w:ascii="宋体" w:hAnsi="宋体" w:cs="宋体"/>
          <w:color w:val="auto"/>
          <w:spacing w:val="-3"/>
          <w:sz w:val="24"/>
        </w:rPr>
        <w:t>天内，承包人</w:t>
      </w:r>
      <w:r>
        <w:rPr>
          <w:rFonts w:ascii="宋体" w:hAnsi="宋体" w:cs="宋体"/>
          <w:color w:val="auto"/>
          <w:spacing w:val="-4"/>
          <w:sz w:val="24"/>
        </w:rPr>
        <w:t>应向咨询人递交最终索赔通知书，</w:t>
      </w:r>
      <w:r>
        <w:rPr>
          <w:rFonts w:ascii="宋体" w:hAnsi="宋体" w:cs="宋体"/>
          <w:color w:val="auto"/>
          <w:spacing w:val="1"/>
          <w:sz w:val="24"/>
        </w:rPr>
        <w:t>说明最终要求索赔的追加付款金额和（或）延长的</w:t>
      </w:r>
      <w:r>
        <w:rPr>
          <w:rFonts w:ascii="宋体" w:hAnsi="宋体" w:cs="宋体"/>
          <w:color w:val="auto"/>
          <w:sz w:val="24"/>
        </w:rPr>
        <w:t>工期，并附必要的记录和证明材</w:t>
      </w:r>
      <w:r>
        <w:rPr>
          <w:rFonts w:ascii="宋体" w:hAnsi="宋体" w:cs="宋体"/>
          <w:color w:val="auto"/>
          <w:spacing w:val="-5"/>
          <w:sz w:val="24"/>
        </w:rPr>
        <w:t>料。</w:t>
      </w:r>
    </w:p>
    <w:p w14:paraId="21B0F8B0">
      <w:pPr>
        <w:spacing w:before="105" w:line="219" w:lineRule="auto"/>
        <w:ind w:left="478"/>
        <w:outlineLvl w:val="3"/>
        <w:rPr>
          <w:rFonts w:ascii="宋体" w:hAnsi="宋体" w:cs="宋体"/>
          <w:color w:val="auto"/>
          <w:sz w:val="24"/>
        </w:rPr>
      </w:pPr>
      <w:bookmarkStart w:id="179" w:name="bookmark229"/>
      <w:bookmarkEnd w:id="179"/>
      <w:r>
        <w:rPr>
          <w:rFonts w:eastAsia="Times New Roman"/>
          <w:b/>
          <w:bCs/>
          <w:color w:val="auto"/>
          <w:spacing w:val="-2"/>
          <w:sz w:val="24"/>
        </w:rPr>
        <w:t xml:space="preserve">23.2  </w:t>
      </w:r>
      <w:r>
        <w:rPr>
          <w:rFonts w:ascii="宋体" w:hAnsi="宋体" w:cs="宋体"/>
          <w:b/>
          <w:bCs/>
          <w:color w:val="auto"/>
          <w:spacing w:val="-2"/>
          <w:sz w:val="24"/>
        </w:rPr>
        <w:t>承包人索赔处理程序</w:t>
      </w:r>
    </w:p>
    <w:p w14:paraId="25C418E2">
      <w:pPr>
        <w:spacing w:before="124" w:line="263" w:lineRule="auto"/>
        <w:ind w:left="4" w:firstLine="488"/>
        <w:rPr>
          <w:rFonts w:ascii="宋体" w:hAnsi="宋体" w:cs="宋体"/>
          <w:color w:val="auto"/>
          <w:sz w:val="24"/>
        </w:rPr>
      </w:pPr>
      <w:r>
        <w:rPr>
          <w:rFonts w:ascii="宋体" w:hAnsi="宋体" w:cs="宋体"/>
          <w:color w:val="auto"/>
          <w:sz w:val="24"/>
        </w:rPr>
        <w:t>（</w:t>
      </w:r>
      <w:r>
        <w:rPr>
          <w:rFonts w:eastAsia="Times New Roman"/>
          <w:color w:val="auto"/>
          <w:sz w:val="24"/>
        </w:rPr>
        <w:t>1</w:t>
      </w:r>
      <w:r>
        <w:rPr>
          <w:rFonts w:ascii="宋体" w:hAnsi="宋体" w:cs="宋体"/>
          <w:color w:val="auto"/>
          <w:sz w:val="24"/>
        </w:rPr>
        <w:t>）咨询人收到承包人提交的索赔通知书后，应及时审查索赔通知书的内容、</w:t>
      </w:r>
      <w:r>
        <w:rPr>
          <w:rFonts w:ascii="宋体" w:hAnsi="宋体" w:cs="宋体"/>
          <w:color w:val="auto"/>
          <w:spacing w:val="-1"/>
          <w:sz w:val="24"/>
        </w:rPr>
        <w:t>查验承包人的记录和证明材料，必要时咨询人</w:t>
      </w:r>
      <w:r>
        <w:rPr>
          <w:rFonts w:ascii="宋体" w:hAnsi="宋体" w:cs="宋体"/>
          <w:color w:val="auto"/>
          <w:spacing w:val="-2"/>
          <w:sz w:val="24"/>
        </w:rPr>
        <w:t>可要求承包人提交全部原始记录副本。</w:t>
      </w:r>
    </w:p>
    <w:p w14:paraId="6126E99B">
      <w:pPr>
        <w:spacing w:before="115" w:line="290" w:lineRule="auto"/>
        <w:ind w:left="2" w:right="164" w:firstLine="490"/>
        <w:rPr>
          <w:rFonts w:ascii="宋体" w:hAnsi="宋体" w:cs="宋体"/>
          <w:color w:val="auto"/>
          <w:sz w:val="24"/>
        </w:rPr>
      </w:pPr>
      <w:r>
        <w:rPr>
          <w:rFonts w:ascii="宋体" w:hAnsi="宋体" w:cs="宋体"/>
          <w:color w:val="auto"/>
          <w:spacing w:val="5"/>
          <w:sz w:val="24"/>
        </w:rPr>
        <w:t>（</w:t>
      </w:r>
      <w:r>
        <w:rPr>
          <w:rFonts w:eastAsia="Times New Roman"/>
          <w:color w:val="auto"/>
          <w:spacing w:val="5"/>
          <w:sz w:val="24"/>
        </w:rPr>
        <w:t>2</w:t>
      </w:r>
      <w:r>
        <w:rPr>
          <w:rFonts w:ascii="宋体" w:hAnsi="宋体" w:cs="宋体"/>
          <w:color w:val="auto"/>
          <w:spacing w:val="5"/>
          <w:sz w:val="24"/>
        </w:rPr>
        <w:t>）咨询人应按第</w:t>
      </w:r>
      <w:r>
        <w:rPr>
          <w:rFonts w:eastAsia="Times New Roman"/>
          <w:color w:val="auto"/>
          <w:spacing w:val="5"/>
          <w:sz w:val="24"/>
        </w:rPr>
        <w:t>3.5</w:t>
      </w:r>
      <w:r>
        <w:rPr>
          <w:rFonts w:ascii="宋体" w:hAnsi="宋体" w:cs="宋体"/>
          <w:color w:val="auto"/>
          <w:spacing w:val="5"/>
          <w:sz w:val="24"/>
        </w:rPr>
        <w:t>款商定或确定追</w:t>
      </w:r>
      <w:r>
        <w:rPr>
          <w:rFonts w:ascii="宋体" w:hAnsi="宋体" w:cs="宋体"/>
          <w:color w:val="auto"/>
          <w:spacing w:val="4"/>
          <w:sz w:val="24"/>
        </w:rPr>
        <w:t>加的付款和（或）延长的工期，并在</w:t>
      </w:r>
      <w:r>
        <w:rPr>
          <w:rFonts w:ascii="宋体" w:hAnsi="宋体" w:cs="宋体"/>
          <w:color w:val="auto"/>
          <w:spacing w:val="1"/>
          <w:sz w:val="24"/>
        </w:rPr>
        <w:t>收到上述索赔通知书或有关索赔的进一步证明材料后，</w:t>
      </w:r>
      <w:r>
        <w:rPr>
          <w:rFonts w:ascii="宋体" w:hAnsi="宋体" w:cs="宋体"/>
          <w:color w:val="auto"/>
          <w:sz w:val="24"/>
        </w:rPr>
        <w:t>将索赔处理结果报发包人批</w:t>
      </w:r>
      <w:r>
        <w:rPr>
          <w:rFonts w:ascii="宋体" w:hAnsi="宋体" w:cs="宋体"/>
          <w:color w:val="auto"/>
          <w:spacing w:val="1"/>
          <w:sz w:val="24"/>
        </w:rPr>
        <w:t>准后答复承包人。如果承包人提出的索赔要求未能遵守第</w:t>
      </w:r>
      <w:r>
        <w:rPr>
          <w:rFonts w:eastAsia="Times New Roman"/>
          <w:color w:val="auto"/>
          <w:spacing w:val="1"/>
          <w:sz w:val="24"/>
        </w:rPr>
        <w:t>23.1</w:t>
      </w:r>
      <w:r>
        <w:rPr>
          <w:rFonts w:ascii="宋体" w:hAnsi="宋体" w:cs="宋体"/>
          <w:color w:val="auto"/>
          <w:spacing w:val="1"/>
          <w:sz w:val="24"/>
        </w:rPr>
        <w:t>（</w:t>
      </w:r>
      <w:r>
        <w:rPr>
          <w:rFonts w:eastAsia="Times New Roman"/>
          <w:color w:val="auto"/>
          <w:spacing w:val="1"/>
          <w:sz w:val="24"/>
        </w:rPr>
        <w:t>2</w:t>
      </w:r>
      <w:r>
        <w:rPr>
          <w:rFonts w:ascii="宋体" w:hAnsi="宋体" w:cs="宋体"/>
          <w:color w:val="auto"/>
          <w:spacing w:val="-7"/>
          <w:sz w:val="24"/>
        </w:rPr>
        <w:t>）～（</w:t>
      </w:r>
      <w:r>
        <w:rPr>
          <w:rFonts w:eastAsia="Times New Roman"/>
          <w:color w:val="auto"/>
          <w:spacing w:val="1"/>
          <w:sz w:val="24"/>
        </w:rPr>
        <w:t>4</w:t>
      </w:r>
      <w:r>
        <w:rPr>
          <w:rFonts w:ascii="宋体" w:hAnsi="宋体" w:cs="宋体"/>
          <w:color w:val="auto"/>
          <w:spacing w:val="1"/>
          <w:sz w:val="24"/>
        </w:rPr>
        <w:t>）项的约定，则承包人只限于索赔由咨询人按当时记录予以核实</w:t>
      </w:r>
      <w:r>
        <w:rPr>
          <w:rFonts w:ascii="宋体" w:hAnsi="宋体" w:cs="宋体"/>
          <w:color w:val="auto"/>
          <w:sz w:val="24"/>
        </w:rPr>
        <w:t>的那部分款额和（或）工期</w:t>
      </w:r>
      <w:r>
        <w:rPr>
          <w:rFonts w:ascii="宋体" w:hAnsi="宋体" w:cs="宋体"/>
          <w:color w:val="auto"/>
          <w:spacing w:val="-3"/>
          <w:sz w:val="24"/>
        </w:rPr>
        <w:t>延长天数。</w:t>
      </w:r>
    </w:p>
    <w:p w14:paraId="36CB1610">
      <w:pPr>
        <w:spacing w:before="115" w:line="264" w:lineRule="auto"/>
        <w:ind w:left="30" w:right="166" w:firstLine="462"/>
        <w:rPr>
          <w:rFonts w:ascii="宋体" w:hAnsi="宋体" w:cs="宋体"/>
          <w:color w:val="auto"/>
          <w:sz w:val="24"/>
        </w:rPr>
      </w:pPr>
      <w:r>
        <w:rPr>
          <w:rFonts w:ascii="宋体" w:hAnsi="宋体" w:cs="宋体"/>
          <w:color w:val="auto"/>
          <w:sz w:val="24"/>
        </w:rPr>
        <w:t>（</w:t>
      </w:r>
      <w:r>
        <w:rPr>
          <w:rFonts w:eastAsia="Times New Roman"/>
          <w:color w:val="auto"/>
          <w:sz w:val="24"/>
        </w:rPr>
        <w:t>3</w:t>
      </w:r>
      <w:r>
        <w:rPr>
          <w:rFonts w:ascii="宋体" w:hAnsi="宋体" w:cs="宋体"/>
          <w:color w:val="auto"/>
          <w:sz w:val="24"/>
        </w:rPr>
        <w:t>）承包人接受索赔处理结果的，发包人</w:t>
      </w:r>
      <w:r>
        <w:rPr>
          <w:rFonts w:ascii="宋体" w:hAnsi="宋体" w:cs="宋体"/>
          <w:color w:val="auto"/>
          <w:spacing w:val="-1"/>
          <w:sz w:val="24"/>
        </w:rPr>
        <w:t>应在作出索赔处理结果答复后</w:t>
      </w:r>
      <w:r>
        <w:rPr>
          <w:rFonts w:eastAsia="Times New Roman"/>
          <w:color w:val="auto"/>
          <w:spacing w:val="-1"/>
          <w:sz w:val="24"/>
        </w:rPr>
        <w:t xml:space="preserve">14 </w:t>
      </w:r>
      <w:r>
        <w:rPr>
          <w:rFonts w:ascii="宋体" w:hAnsi="宋体" w:cs="宋体"/>
          <w:color w:val="auto"/>
          <w:spacing w:val="-1"/>
          <w:sz w:val="24"/>
        </w:rPr>
        <w:t>天内完成赔付。承包人不接受索赔处理结果的</w:t>
      </w:r>
      <w:r>
        <w:rPr>
          <w:rFonts w:ascii="宋体" w:hAnsi="宋体" w:cs="宋体"/>
          <w:color w:val="auto"/>
          <w:spacing w:val="-2"/>
          <w:sz w:val="24"/>
        </w:rPr>
        <w:t>，按第</w:t>
      </w:r>
      <w:r>
        <w:rPr>
          <w:rFonts w:eastAsia="Times New Roman"/>
          <w:color w:val="auto"/>
          <w:spacing w:val="-2"/>
          <w:sz w:val="24"/>
        </w:rPr>
        <w:t xml:space="preserve">24 </w:t>
      </w:r>
      <w:r>
        <w:rPr>
          <w:rFonts w:ascii="宋体" w:hAnsi="宋体" w:cs="宋体"/>
          <w:color w:val="auto"/>
          <w:spacing w:val="-2"/>
          <w:sz w:val="24"/>
        </w:rPr>
        <w:t>条的约定办理。</w:t>
      </w:r>
    </w:p>
    <w:p w14:paraId="7B21374A">
      <w:pPr>
        <w:spacing w:before="104" w:line="219" w:lineRule="auto"/>
        <w:ind w:left="478"/>
        <w:outlineLvl w:val="3"/>
        <w:rPr>
          <w:rFonts w:ascii="宋体" w:hAnsi="宋体" w:cs="宋体"/>
          <w:color w:val="auto"/>
          <w:sz w:val="24"/>
        </w:rPr>
      </w:pPr>
      <w:r>
        <w:rPr>
          <w:rFonts w:eastAsia="Times New Roman"/>
          <w:b/>
          <w:bCs/>
          <w:color w:val="auto"/>
          <w:spacing w:val="-2"/>
          <w:sz w:val="24"/>
        </w:rPr>
        <w:t xml:space="preserve">23.3  </w:t>
      </w:r>
      <w:r>
        <w:rPr>
          <w:rFonts w:ascii="宋体" w:hAnsi="宋体" w:cs="宋体"/>
          <w:b/>
          <w:bCs/>
          <w:color w:val="auto"/>
          <w:spacing w:val="-2"/>
          <w:sz w:val="24"/>
        </w:rPr>
        <w:t>承包人提出索赔的期限</w:t>
      </w:r>
    </w:p>
    <w:p w14:paraId="57EFD83A">
      <w:pPr>
        <w:spacing w:before="126" w:line="263" w:lineRule="auto"/>
        <w:ind w:left="2" w:right="166" w:firstLine="474"/>
        <w:rPr>
          <w:rFonts w:ascii="宋体" w:hAnsi="宋体" w:cs="宋体"/>
          <w:color w:val="auto"/>
          <w:sz w:val="24"/>
        </w:rPr>
      </w:pPr>
      <w:r>
        <w:rPr>
          <w:rFonts w:eastAsia="Times New Roman"/>
          <w:color w:val="auto"/>
          <w:spacing w:val="4"/>
          <w:sz w:val="24"/>
        </w:rPr>
        <w:t xml:space="preserve">23.3.1  </w:t>
      </w:r>
      <w:r>
        <w:rPr>
          <w:rFonts w:ascii="宋体" w:hAnsi="宋体" w:cs="宋体"/>
          <w:color w:val="auto"/>
          <w:spacing w:val="4"/>
          <w:sz w:val="24"/>
        </w:rPr>
        <w:t>承包人按第</w:t>
      </w:r>
      <w:r>
        <w:rPr>
          <w:rFonts w:eastAsia="Times New Roman"/>
          <w:color w:val="auto"/>
          <w:spacing w:val="4"/>
          <w:sz w:val="24"/>
        </w:rPr>
        <w:t>17.5</w:t>
      </w:r>
      <w:r>
        <w:rPr>
          <w:rFonts w:ascii="宋体" w:hAnsi="宋体" w:cs="宋体"/>
          <w:color w:val="auto"/>
          <w:spacing w:val="4"/>
          <w:sz w:val="24"/>
        </w:rPr>
        <w:t>款的约定接受了交工付款证书后，应被</w:t>
      </w:r>
      <w:r>
        <w:rPr>
          <w:rFonts w:ascii="宋体" w:hAnsi="宋体" w:cs="宋体"/>
          <w:color w:val="auto"/>
          <w:spacing w:val="3"/>
          <w:sz w:val="24"/>
        </w:rPr>
        <w:t>认为已无权再</w:t>
      </w:r>
      <w:r>
        <w:rPr>
          <w:rFonts w:ascii="宋体" w:hAnsi="宋体" w:cs="宋体"/>
          <w:color w:val="auto"/>
          <w:spacing w:val="-1"/>
          <w:sz w:val="24"/>
        </w:rPr>
        <w:t>提出在养护项目交工验收证书颁发前所发生的任何索赔。</w:t>
      </w:r>
    </w:p>
    <w:p w14:paraId="39E2FF3E">
      <w:pPr>
        <w:spacing w:before="115" w:line="263" w:lineRule="auto"/>
        <w:ind w:right="166" w:firstLine="476"/>
        <w:rPr>
          <w:rFonts w:ascii="宋体" w:hAnsi="宋体" w:cs="宋体"/>
          <w:color w:val="auto"/>
          <w:sz w:val="24"/>
        </w:rPr>
      </w:pPr>
      <w:r>
        <w:rPr>
          <w:rFonts w:eastAsia="Times New Roman"/>
          <w:color w:val="auto"/>
          <w:spacing w:val="4"/>
          <w:sz w:val="24"/>
        </w:rPr>
        <w:t xml:space="preserve">23.3.2  </w:t>
      </w:r>
      <w:r>
        <w:rPr>
          <w:rFonts w:ascii="宋体" w:hAnsi="宋体" w:cs="宋体"/>
          <w:color w:val="auto"/>
          <w:spacing w:val="4"/>
          <w:sz w:val="24"/>
        </w:rPr>
        <w:t>承包人按第</w:t>
      </w:r>
      <w:r>
        <w:rPr>
          <w:rFonts w:eastAsia="Times New Roman"/>
          <w:color w:val="auto"/>
          <w:spacing w:val="4"/>
          <w:sz w:val="24"/>
        </w:rPr>
        <w:t>17.6</w:t>
      </w:r>
      <w:r>
        <w:rPr>
          <w:rFonts w:ascii="宋体" w:hAnsi="宋体" w:cs="宋体"/>
          <w:color w:val="auto"/>
          <w:spacing w:val="4"/>
          <w:sz w:val="24"/>
        </w:rPr>
        <w:t>款的约定提交的最终结清申请单中，只</w:t>
      </w:r>
      <w:r>
        <w:rPr>
          <w:rFonts w:ascii="宋体" w:hAnsi="宋体" w:cs="宋体"/>
          <w:color w:val="auto"/>
          <w:spacing w:val="3"/>
          <w:sz w:val="24"/>
        </w:rPr>
        <w:t>限于提出交工</w:t>
      </w:r>
      <w:r>
        <w:rPr>
          <w:rFonts w:ascii="宋体" w:hAnsi="宋体" w:cs="宋体"/>
          <w:color w:val="auto"/>
          <w:sz w:val="24"/>
        </w:rPr>
        <w:t>验收证书颁发后发生的索赔。提出索赔的期限自接受</w:t>
      </w:r>
      <w:r>
        <w:rPr>
          <w:rFonts w:ascii="宋体" w:hAnsi="宋体" w:cs="宋体"/>
          <w:color w:val="auto"/>
          <w:spacing w:val="-1"/>
          <w:sz w:val="24"/>
        </w:rPr>
        <w:t>最终结清证书时终止。</w:t>
      </w:r>
    </w:p>
    <w:p w14:paraId="7A747B55">
      <w:pPr>
        <w:spacing w:before="107" w:line="219" w:lineRule="auto"/>
        <w:ind w:left="478"/>
        <w:outlineLvl w:val="3"/>
        <w:rPr>
          <w:rFonts w:ascii="宋体" w:hAnsi="宋体" w:cs="宋体"/>
          <w:color w:val="auto"/>
          <w:sz w:val="24"/>
        </w:rPr>
      </w:pPr>
      <w:r>
        <w:rPr>
          <w:rFonts w:eastAsia="Times New Roman"/>
          <w:b/>
          <w:bCs/>
          <w:color w:val="auto"/>
          <w:spacing w:val="-2"/>
          <w:sz w:val="24"/>
        </w:rPr>
        <w:t xml:space="preserve">23.4  </w:t>
      </w:r>
      <w:r>
        <w:rPr>
          <w:rFonts w:ascii="宋体" w:hAnsi="宋体" w:cs="宋体"/>
          <w:b/>
          <w:bCs/>
          <w:color w:val="auto"/>
          <w:spacing w:val="-2"/>
          <w:sz w:val="24"/>
        </w:rPr>
        <w:t>发包人的索赔</w:t>
      </w:r>
    </w:p>
    <w:p w14:paraId="53FB3AE7">
      <w:pPr>
        <w:spacing w:before="121" w:line="279" w:lineRule="auto"/>
        <w:ind w:left="2" w:right="164" w:firstLine="474"/>
        <w:rPr>
          <w:rFonts w:ascii="宋体" w:hAnsi="宋体" w:cs="宋体"/>
          <w:color w:val="auto"/>
          <w:sz w:val="24"/>
        </w:rPr>
      </w:pPr>
      <w:r>
        <w:rPr>
          <w:rFonts w:eastAsia="Times New Roman"/>
          <w:color w:val="auto"/>
          <w:spacing w:val="1"/>
          <w:sz w:val="24"/>
        </w:rPr>
        <w:t xml:space="preserve">23.4.1  </w:t>
      </w:r>
      <w:r>
        <w:rPr>
          <w:rFonts w:ascii="宋体" w:hAnsi="宋体" w:cs="宋体"/>
          <w:color w:val="auto"/>
          <w:spacing w:val="1"/>
          <w:sz w:val="24"/>
        </w:rPr>
        <w:t>发生索赔事件后，咨询人应及时书面通知承</w:t>
      </w:r>
      <w:r>
        <w:rPr>
          <w:rFonts w:ascii="宋体" w:hAnsi="宋体" w:cs="宋体"/>
          <w:color w:val="auto"/>
          <w:sz w:val="24"/>
        </w:rPr>
        <w:t>包人，详细说明发包人有权</w:t>
      </w:r>
      <w:r>
        <w:rPr>
          <w:rFonts w:ascii="宋体" w:hAnsi="宋体" w:cs="宋体"/>
          <w:color w:val="auto"/>
          <w:spacing w:val="1"/>
          <w:sz w:val="24"/>
        </w:rPr>
        <w:t>得到的索赔金额和（或）延长缺陷责任期的细节和依据</w:t>
      </w:r>
      <w:r>
        <w:rPr>
          <w:rFonts w:ascii="宋体" w:hAnsi="宋体" w:cs="宋体"/>
          <w:color w:val="auto"/>
          <w:sz w:val="24"/>
        </w:rPr>
        <w:t>。发包人提出索赔的期限和</w:t>
      </w:r>
      <w:r>
        <w:rPr>
          <w:rFonts w:ascii="宋体" w:hAnsi="宋体" w:cs="宋体"/>
          <w:color w:val="auto"/>
          <w:spacing w:val="-1"/>
          <w:sz w:val="24"/>
        </w:rPr>
        <w:t>要求与第</w:t>
      </w:r>
      <w:r>
        <w:rPr>
          <w:rFonts w:eastAsia="Times New Roman"/>
          <w:color w:val="auto"/>
          <w:spacing w:val="-1"/>
          <w:sz w:val="24"/>
        </w:rPr>
        <w:t xml:space="preserve">23.3 </w:t>
      </w:r>
      <w:r>
        <w:rPr>
          <w:rFonts w:ascii="宋体" w:hAnsi="宋体" w:cs="宋体"/>
          <w:color w:val="auto"/>
          <w:spacing w:val="-1"/>
          <w:sz w:val="24"/>
        </w:rPr>
        <w:t>款的约定相同，延长缺陷责任期的通知</w:t>
      </w:r>
      <w:r>
        <w:rPr>
          <w:rFonts w:ascii="宋体" w:hAnsi="宋体" w:cs="宋体"/>
          <w:color w:val="auto"/>
          <w:spacing w:val="-2"/>
          <w:sz w:val="24"/>
        </w:rPr>
        <w:t>应在缺陷责任期届满前发出。</w:t>
      </w:r>
    </w:p>
    <w:p w14:paraId="649C8322">
      <w:pPr>
        <w:spacing w:before="112" w:line="279" w:lineRule="auto"/>
        <w:ind w:left="1" w:right="41" w:firstLine="475"/>
        <w:rPr>
          <w:rFonts w:ascii="宋体" w:hAnsi="宋体" w:cs="宋体"/>
          <w:color w:val="auto"/>
          <w:sz w:val="24"/>
        </w:rPr>
      </w:pPr>
      <w:r>
        <w:rPr>
          <w:rFonts w:eastAsia="Times New Roman"/>
          <w:color w:val="auto"/>
          <w:spacing w:val="-1"/>
          <w:sz w:val="24"/>
        </w:rPr>
        <w:t xml:space="preserve">23.4.2  </w:t>
      </w:r>
      <w:r>
        <w:rPr>
          <w:rFonts w:ascii="宋体" w:hAnsi="宋体" w:cs="宋体"/>
          <w:color w:val="auto"/>
          <w:spacing w:val="-1"/>
          <w:sz w:val="24"/>
        </w:rPr>
        <w:t>咨询人按第</w:t>
      </w:r>
      <w:r>
        <w:rPr>
          <w:rFonts w:eastAsia="Times New Roman"/>
          <w:color w:val="auto"/>
          <w:spacing w:val="-1"/>
          <w:sz w:val="24"/>
        </w:rPr>
        <w:t xml:space="preserve">3.5 </w:t>
      </w:r>
      <w:r>
        <w:rPr>
          <w:rFonts w:ascii="宋体" w:hAnsi="宋体" w:cs="宋体"/>
          <w:color w:val="auto"/>
          <w:spacing w:val="-1"/>
          <w:sz w:val="24"/>
        </w:rPr>
        <w:t>款商定或确定发包人从承包人处得到赔付的金额和（或）</w:t>
      </w:r>
      <w:r>
        <w:rPr>
          <w:rFonts w:ascii="宋体" w:hAnsi="宋体" w:cs="宋体"/>
          <w:color w:val="auto"/>
          <w:spacing w:val="1"/>
          <w:sz w:val="24"/>
        </w:rPr>
        <w:t>缺陷责任期的延长期。承包人应付给发包人的金额可从拟</w:t>
      </w:r>
      <w:r>
        <w:rPr>
          <w:rFonts w:ascii="宋体" w:hAnsi="宋体" w:cs="宋体"/>
          <w:color w:val="auto"/>
          <w:sz w:val="24"/>
        </w:rPr>
        <w:t>支付给承包人的合同价款</w:t>
      </w:r>
      <w:r>
        <w:rPr>
          <w:rFonts w:ascii="宋体" w:hAnsi="宋体" w:cs="宋体"/>
          <w:color w:val="auto"/>
          <w:spacing w:val="-1"/>
          <w:sz w:val="24"/>
        </w:rPr>
        <w:t>中扣除，或由承包人以其他方式支付给发包人。</w:t>
      </w:r>
    </w:p>
    <w:p w14:paraId="4C13E17F">
      <w:pPr>
        <w:pStyle w:val="21"/>
        <w:spacing w:line="345" w:lineRule="auto"/>
        <w:rPr>
          <w:color w:val="auto"/>
        </w:rPr>
      </w:pPr>
    </w:p>
    <w:p w14:paraId="32BF0348">
      <w:pPr>
        <w:spacing w:before="79" w:line="219" w:lineRule="auto"/>
        <w:ind w:left="478"/>
        <w:outlineLvl w:val="2"/>
        <w:rPr>
          <w:rFonts w:ascii="宋体" w:hAnsi="宋体" w:cs="宋体"/>
          <w:color w:val="auto"/>
          <w:sz w:val="24"/>
        </w:rPr>
      </w:pPr>
      <w:bookmarkStart w:id="180" w:name="bookmark53"/>
      <w:bookmarkEnd w:id="180"/>
      <w:bookmarkStart w:id="181" w:name="bookmark54"/>
      <w:bookmarkEnd w:id="181"/>
      <w:r>
        <w:rPr>
          <w:rFonts w:eastAsia="Times New Roman"/>
          <w:b/>
          <w:bCs/>
          <w:color w:val="auto"/>
          <w:spacing w:val="-4"/>
          <w:sz w:val="24"/>
        </w:rPr>
        <w:t>24.</w:t>
      </w:r>
      <w:r>
        <w:rPr>
          <w:rFonts w:ascii="宋体" w:hAnsi="宋体" w:cs="宋体"/>
          <w:b/>
          <w:bCs/>
          <w:color w:val="auto"/>
          <w:spacing w:val="-4"/>
          <w:sz w:val="24"/>
        </w:rPr>
        <w:t>争议的解决</w:t>
      </w:r>
    </w:p>
    <w:p w14:paraId="242EFDFB">
      <w:pPr>
        <w:spacing w:before="260" w:line="219" w:lineRule="auto"/>
        <w:ind w:left="478"/>
        <w:outlineLvl w:val="3"/>
        <w:rPr>
          <w:rFonts w:ascii="宋体" w:hAnsi="宋体" w:cs="宋体"/>
          <w:color w:val="auto"/>
          <w:sz w:val="24"/>
        </w:rPr>
      </w:pPr>
      <w:r>
        <w:rPr>
          <w:rFonts w:eastAsia="Times New Roman"/>
          <w:b/>
          <w:bCs/>
          <w:color w:val="auto"/>
          <w:spacing w:val="-2"/>
          <w:sz w:val="24"/>
        </w:rPr>
        <w:t xml:space="preserve">24.1  </w:t>
      </w:r>
      <w:r>
        <w:rPr>
          <w:rFonts w:ascii="宋体" w:hAnsi="宋体" w:cs="宋体"/>
          <w:b/>
          <w:bCs/>
          <w:color w:val="auto"/>
          <w:spacing w:val="-2"/>
          <w:sz w:val="24"/>
        </w:rPr>
        <w:t>争议的解决方式</w:t>
      </w:r>
    </w:p>
    <w:p w14:paraId="03D56BCD">
      <w:pPr>
        <w:spacing w:before="124" w:line="308" w:lineRule="auto"/>
        <w:ind w:right="166" w:firstLine="485"/>
        <w:rPr>
          <w:rFonts w:ascii="宋体" w:hAnsi="宋体" w:cs="宋体"/>
          <w:color w:val="auto"/>
          <w:sz w:val="24"/>
        </w:rPr>
      </w:pPr>
      <w:r>
        <w:rPr>
          <w:rFonts w:ascii="宋体" w:hAnsi="宋体" w:cs="宋体"/>
          <w:color w:val="auto"/>
          <w:spacing w:val="1"/>
          <w:sz w:val="24"/>
        </w:rPr>
        <w:t>发包人和承包人在履行合同中发生争议的，</w:t>
      </w:r>
      <w:r>
        <w:rPr>
          <w:rFonts w:ascii="宋体" w:hAnsi="宋体" w:cs="宋体"/>
          <w:color w:val="auto"/>
          <w:sz w:val="24"/>
        </w:rPr>
        <w:t>可以友好协商解决或者通过第三方</w:t>
      </w:r>
      <w:r>
        <w:rPr>
          <w:rFonts w:ascii="宋体" w:hAnsi="宋体" w:cs="宋体"/>
          <w:color w:val="auto"/>
          <w:spacing w:val="1"/>
          <w:sz w:val="24"/>
        </w:rPr>
        <w:t>进行调解。合同当事人友好协商解决或者调解不成，可在</w:t>
      </w:r>
      <w:r>
        <w:rPr>
          <w:rFonts w:ascii="宋体" w:hAnsi="宋体" w:cs="宋体"/>
          <w:color w:val="auto"/>
          <w:sz w:val="24"/>
        </w:rPr>
        <w:t>专用合同条款中约定下列</w:t>
      </w:r>
      <w:r>
        <w:rPr>
          <w:rFonts w:ascii="宋体" w:hAnsi="宋体" w:cs="宋体"/>
          <w:color w:val="auto"/>
          <w:spacing w:val="-2"/>
          <w:sz w:val="24"/>
        </w:rPr>
        <w:t>一种方式解决：</w:t>
      </w:r>
    </w:p>
    <w:p w14:paraId="3ED45710">
      <w:pPr>
        <w:spacing w:before="1" w:line="218" w:lineRule="auto"/>
        <w:ind w:left="493"/>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1</w:t>
      </w:r>
      <w:r>
        <w:rPr>
          <w:rFonts w:ascii="宋体" w:hAnsi="宋体" w:cs="宋体"/>
          <w:color w:val="auto"/>
          <w:spacing w:val="-2"/>
          <w:sz w:val="24"/>
        </w:rPr>
        <w:t>）向约定的仲裁委员会申请仲裁；</w:t>
      </w:r>
    </w:p>
    <w:p w14:paraId="651F3BF2">
      <w:pPr>
        <w:spacing w:before="116" w:line="219" w:lineRule="auto"/>
        <w:ind w:left="493"/>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2</w:t>
      </w:r>
      <w:r>
        <w:rPr>
          <w:rFonts w:ascii="宋体" w:hAnsi="宋体" w:cs="宋体"/>
          <w:color w:val="auto"/>
          <w:spacing w:val="-2"/>
          <w:sz w:val="24"/>
        </w:rPr>
        <w:t>）向有管辖权的人民法院提起诉讼。</w:t>
      </w:r>
    </w:p>
    <w:p w14:paraId="6FCC6ECE">
      <w:pPr>
        <w:spacing w:before="105" w:line="219" w:lineRule="auto"/>
        <w:ind w:left="478"/>
        <w:outlineLvl w:val="3"/>
        <w:rPr>
          <w:rFonts w:ascii="宋体" w:hAnsi="宋体" w:cs="宋体"/>
          <w:color w:val="auto"/>
          <w:sz w:val="24"/>
        </w:rPr>
      </w:pPr>
      <w:r>
        <w:rPr>
          <w:rFonts w:eastAsia="Times New Roman"/>
          <w:b/>
          <w:bCs/>
          <w:color w:val="auto"/>
          <w:spacing w:val="-2"/>
          <w:sz w:val="24"/>
        </w:rPr>
        <w:t xml:space="preserve">24.2  </w:t>
      </w:r>
      <w:r>
        <w:rPr>
          <w:rFonts w:ascii="宋体" w:hAnsi="宋体" w:cs="宋体"/>
          <w:b/>
          <w:bCs/>
          <w:color w:val="auto"/>
          <w:spacing w:val="-2"/>
          <w:sz w:val="24"/>
        </w:rPr>
        <w:t>友好解决</w:t>
      </w:r>
    </w:p>
    <w:p w14:paraId="552F786F">
      <w:pPr>
        <w:spacing w:before="126" w:line="310" w:lineRule="auto"/>
        <w:ind w:left="2" w:right="164" w:firstLine="478"/>
        <w:rPr>
          <w:rFonts w:ascii="宋体" w:hAnsi="宋体" w:cs="宋体"/>
          <w:color w:val="auto"/>
          <w:sz w:val="24"/>
        </w:rPr>
      </w:pPr>
      <w:r>
        <w:rPr>
          <w:rFonts w:ascii="宋体" w:hAnsi="宋体" w:cs="宋体"/>
          <w:color w:val="auto"/>
          <w:spacing w:val="1"/>
          <w:sz w:val="24"/>
        </w:rPr>
        <w:t>在仲裁或者诉讼前，以及在仲裁或诉讼过程中，发包人和承</w:t>
      </w:r>
      <w:r>
        <w:rPr>
          <w:rFonts w:ascii="宋体" w:hAnsi="宋体" w:cs="宋体"/>
          <w:color w:val="auto"/>
          <w:sz w:val="24"/>
        </w:rPr>
        <w:t>包人均可共同努力</w:t>
      </w:r>
      <w:r>
        <w:rPr>
          <w:rFonts w:ascii="宋体" w:hAnsi="宋体" w:cs="宋体"/>
          <w:color w:val="auto"/>
          <w:spacing w:val="-2"/>
          <w:sz w:val="24"/>
        </w:rPr>
        <w:t>友好协商解决争议。</w:t>
      </w:r>
    </w:p>
    <w:p w14:paraId="0216ED0F">
      <w:pPr>
        <w:spacing w:before="271" w:line="219" w:lineRule="auto"/>
        <w:ind w:left="478"/>
        <w:outlineLvl w:val="3"/>
        <w:rPr>
          <w:rFonts w:ascii="宋体" w:hAnsi="宋体" w:cs="宋体"/>
          <w:color w:val="auto"/>
          <w:sz w:val="24"/>
        </w:rPr>
      </w:pPr>
      <w:bookmarkStart w:id="182" w:name="bookmark230"/>
      <w:bookmarkEnd w:id="182"/>
      <w:r>
        <w:rPr>
          <w:rFonts w:eastAsia="Times New Roman"/>
          <w:b/>
          <w:bCs/>
          <w:color w:val="auto"/>
          <w:spacing w:val="-2"/>
          <w:sz w:val="24"/>
        </w:rPr>
        <w:t xml:space="preserve">24.3 </w:t>
      </w:r>
      <w:r>
        <w:rPr>
          <w:rFonts w:ascii="宋体" w:hAnsi="宋体" w:cs="宋体"/>
          <w:b/>
          <w:bCs/>
          <w:color w:val="auto"/>
          <w:spacing w:val="-2"/>
          <w:sz w:val="24"/>
        </w:rPr>
        <w:t>第三方调解</w:t>
      </w:r>
    </w:p>
    <w:p w14:paraId="61216F3B">
      <w:pPr>
        <w:spacing w:before="124" w:line="304" w:lineRule="auto"/>
        <w:ind w:left="2" w:right="145" w:firstLine="482"/>
        <w:rPr>
          <w:rFonts w:ascii="宋体" w:hAnsi="宋体" w:cs="宋体"/>
          <w:color w:val="auto"/>
          <w:sz w:val="24"/>
        </w:rPr>
      </w:pPr>
      <w:r>
        <w:rPr>
          <w:rFonts w:ascii="宋体" w:hAnsi="宋体" w:cs="宋体"/>
          <w:color w:val="auto"/>
          <w:spacing w:val="1"/>
          <w:sz w:val="24"/>
        </w:rPr>
        <w:t>发包人和承包人可以就争议通过第三方进行调解</w:t>
      </w:r>
      <w:r>
        <w:rPr>
          <w:rFonts w:ascii="宋体" w:hAnsi="宋体" w:cs="宋体"/>
          <w:color w:val="auto"/>
          <w:sz w:val="24"/>
        </w:rPr>
        <w:t>，调解达成协议的，经双方签</w:t>
      </w:r>
      <w:r>
        <w:rPr>
          <w:rFonts w:ascii="宋体" w:hAnsi="宋体" w:cs="宋体"/>
          <w:color w:val="auto"/>
          <w:spacing w:val="-1"/>
          <w:sz w:val="24"/>
        </w:rPr>
        <w:t>字盖章后作为合同的补充文件，双方均应遵照执行。</w:t>
      </w:r>
    </w:p>
    <w:p w14:paraId="0D1385AF">
      <w:pPr>
        <w:spacing w:line="219" w:lineRule="auto"/>
        <w:ind w:left="478"/>
        <w:outlineLvl w:val="3"/>
        <w:rPr>
          <w:rFonts w:ascii="宋体" w:hAnsi="宋体" w:cs="宋体"/>
          <w:color w:val="auto"/>
          <w:sz w:val="24"/>
        </w:rPr>
      </w:pPr>
      <w:r>
        <w:rPr>
          <w:rFonts w:eastAsia="Times New Roman"/>
          <w:b/>
          <w:bCs/>
          <w:color w:val="auto"/>
          <w:spacing w:val="-4"/>
          <w:sz w:val="24"/>
        </w:rPr>
        <w:t>24.4</w:t>
      </w:r>
      <w:r>
        <w:rPr>
          <w:rFonts w:ascii="宋体" w:hAnsi="宋体" w:cs="宋体"/>
          <w:b/>
          <w:bCs/>
          <w:color w:val="auto"/>
          <w:spacing w:val="-4"/>
          <w:sz w:val="24"/>
        </w:rPr>
        <w:t>仲裁</w:t>
      </w:r>
    </w:p>
    <w:p w14:paraId="331EF105">
      <w:pPr>
        <w:spacing w:before="124" w:line="263" w:lineRule="auto"/>
        <w:ind w:left="2" w:right="145" w:firstLine="490"/>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1</w:t>
      </w:r>
      <w:r>
        <w:rPr>
          <w:rFonts w:ascii="宋体" w:hAnsi="宋体" w:cs="宋体"/>
          <w:color w:val="auto"/>
          <w:spacing w:val="4"/>
          <w:sz w:val="24"/>
        </w:rPr>
        <w:t>）对于未能友好解决或未能通过调解解决的争议，发包人或承包人任</w:t>
      </w:r>
      <w:r>
        <w:rPr>
          <w:rFonts w:ascii="宋体" w:hAnsi="宋体" w:cs="宋体"/>
          <w:color w:val="auto"/>
          <w:spacing w:val="3"/>
          <w:sz w:val="24"/>
        </w:rPr>
        <w:t>一方</w:t>
      </w:r>
      <w:r>
        <w:rPr>
          <w:rFonts w:ascii="宋体" w:hAnsi="宋体" w:cs="宋体"/>
          <w:color w:val="auto"/>
          <w:spacing w:val="-1"/>
          <w:sz w:val="24"/>
        </w:rPr>
        <w:t>均有权提交给第</w:t>
      </w:r>
      <w:r>
        <w:rPr>
          <w:rFonts w:eastAsia="Times New Roman"/>
          <w:color w:val="auto"/>
          <w:spacing w:val="-1"/>
          <w:sz w:val="24"/>
        </w:rPr>
        <w:t xml:space="preserve">24.1 </w:t>
      </w:r>
      <w:r>
        <w:rPr>
          <w:rFonts w:ascii="宋体" w:hAnsi="宋体" w:cs="宋体"/>
          <w:color w:val="auto"/>
          <w:spacing w:val="-1"/>
          <w:sz w:val="24"/>
        </w:rPr>
        <w:t>款约定的仲裁委员会仲裁。</w:t>
      </w:r>
    </w:p>
    <w:p w14:paraId="68FEF14A">
      <w:pPr>
        <w:spacing w:before="115" w:line="278" w:lineRule="auto"/>
        <w:ind w:right="145" w:firstLine="493"/>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2</w:t>
      </w:r>
      <w:r>
        <w:rPr>
          <w:rFonts w:ascii="宋体" w:hAnsi="宋体" w:cs="宋体"/>
          <w:color w:val="auto"/>
          <w:spacing w:val="4"/>
          <w:sz w:val="24"/>
        </w:rPr>
        <w:t>）仲裁可在交工之前或之后进行，但发包人、咨询人和承包人各自的</w:t>
      </w:r>
      <w:r>
        <w:rPr>
          <w:rFonts w:ascii="宋体" w:hAnsi="宋体" w:cs="宋体"/>
          <w:color w:val="auto"/>
          <w:spacing w:val="3"/>
          <w:sz w:val="24"/>
        </w:rPr>
        <w:t>义务</w:t>
      </w:r>
      <w:r>
        <w:rPr>
          <w:rFonts w:ascii="宋体" w:hAnsi="宋体" w:cs="宋体"/>
          <w:color w:val="auto"/>
          <w:spacing w:val="1"/>
          <w:sz w:val="24"/>
        </w:rPr>
        <w:t>不得因在养护项目实施期间进行仲裁而有所改变。如果仲裁是</w:t>
      </w:r>
      <w:r>
        <w:rPr>
          <w:rFonts w:ascii="宋体" w:hAnsi="宋体" w:cs="宋体"/>
          <w:color w:val="auto"/>
          <w:sz w:val="24"/>
        </w:rPr>
        <w:t>在终止合同的情况下</w:t>
      </w:r>
      <w:r>
        <w:rPr>
          <w:rFonts w:ascii="宋体" w:hAnsi="宋体" w:cs="宋体"/>
          <w:color w:val="auto"/>
          <w:spacing w:val="-1"/>
          <w:sz w:val="24"/>
        </w:rPr>
        <w:t>进行，则对养护项目应采取保护措施，措施费由败诉方承担。</w:t>
      </w:r>
    </w:p>
    <w:p w14:paraId="72108FA1">
      <w:pPr>
        <w:spacing w:before="117" w:line="219" w:lineRule="auto"/>
        <w:ind w:left="493"/>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3</w:t>
      </w:r>
      <w:r>
        <w:rPr>
          <w:rFonts w:ascii="宋体" w:hAnsi="宋体" w:cs="宋体"/>
          <w:color w:val="auto"/>
          <w:spacing w:val="-1"/>
          <w:sz w:val="24"/>
        </w:rPr>
        <w:t>）仲裁裁决是终局性的并对发包人和承包人双方具有约束力。</w:t>
      </w:r>
    </w:p>
    <w:p w14:paraId="238AA407">
      <w:pPr>
        <w:spacing w:before="115" w:line="219" w:lineRule="auto"/>
        <w:ind w:left="493"/>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4</w:t>
      </w:r>
      <w:r>
        <w:rPr>
          <w:rFonts w:ascii="宋体" w:hAnsi="宋体" w:cs="宋体"/>
          <w:color w:val="auto"/>
          <w:spacing w:val="-1"/>
          <w:sz w:val="24"/>
        </w:rPr>
        <w:t>）全部仲裁费用应由败诉方承担；或按仲裁委员会裁决的比例分担。</w:t>
      </w:r>
    </w:p>
    <w:p w14:paraId="4E4C9F3F">
      <w:pPr>
        <w:spacing w:before="105" w:line="219" w:lineRule="auto"/>
        <w:ind w:left="478"/>
        <w:outlineLvl w:val="3"/>
        <w:rPr>
          <w:rFonts w:ascii="宋体" w:hAnsi="宋体" w:cs="宋体"/>
          <w:color w:val="auto"/>
          <w:sz w:val="24"/>
        </w:rPr>
      </w:pPr>
      <w:r>
        <w:rPr>
          <w:rFonts w:eastAsia="Times New Roman"/>
          <w:b/>
          <w:bCs/>
          <w:color w:val="auto"/>
          <w:spacing w:val="-2"/>
          <w:sz w:val="24"/>
        </w:rPr>
        <w:t xml:space="preserve">24.5  </w:t>
      </w:r>
      <w:r>
        <w:rPr>
          <w:rFonts w:ascii="宋体" w:hAnsi="宋体" w:cs="宋体"/>
          <w:b/>
          <w:bCs/>
          <w:color w:val="auto"/>
          <w:spacing w:val="-2"/>
          <w:sz w:val="24"/>
        </w:rPr>
        <w:t>争议解决条款效力</w:t>
      </w:r>
    </w:p>
    <w:p w14:paraId="05FA905F">
      <w:pPr>
        <w:spacing w:before="127" w:line="310" w:lineRule="auto"/>
        <w:ind w:left="5" w:firstLine="477"/>
        <w:rPr>
          <w:rFonts w:ascii="宋体" w:hAnsi="宋体" w:cs="宋体"/>
          <w:color w:val="auto"/>
          <w:sz w:val="24"/>
        </w:rPr>
      </w:pPr>
      <w:r>
        <w:rPr>
          <w:rFonts w:ascii="宋体" w:hAnsi="宋体" w:cs="宋体"/>
          <w:color w:val="auto"/>
          <w:spacing w:val="-2"/>
          <w:sz w:val="24"/>
        </w:rPr>
        <w:t>合同有关争议解决的条款独立存在，合同的不生效、无效、被撤销或者终止的，</w:t>
      </w:r>
      <w:r>
        <w:rPr>
          <w:rFonts w:ascii="宋体" w:hAnsi="宋体" w:cs="宋体"/>
          <w:color w:val="auto"/>
          <w:spacing w:val="-1"/>
          <w:sz w:val="24"/>
        </w:rPr>
        <w:t>不影响合同中有关争议解决条款的效力。</w:t>
      </w:r>
    </w:p>
    <w:p w14:paraId="73EADAA1">
      <w:pPr>
        <w:spacing w:line="310" w:lineRule="auto"/>
        <w:rPr>
          <w:rFonts w:ascii="宋体" w:hAnsi="宋体" w:cs="宋体"/>
          <w:color w:val="auto"/>
          <w:sz w:val="24"/>
        </w:rPr>
        <w:sectPr>
          <w:footerReference r:id="rId11" w:type="default"/>
          <w:pgSz w:w="11907" w:h="16840"/>
          <w:pgMar w:top="1431" w:right="1441" w:bottom="1195" w:left="1651" w:header="0" w:footer="1017" w:gutter="0"/>
          <w:cols w:space="720" w:num="1"/>
        </w:sectPr>
      </w:pPr>
    </w:p>
    <w:p w14:paraId="5EAE0A3B">
      <w:pPr>
        <w:spacing w:before="114" w:line="227" w:lineRule="auto"/>
        <w:jc w:val="center"/>
        <w:outlineLvl w:val="1"/>
        <w:rPr>
          <w:rFonts w:ascii="宋体" w:hAnsi="宋体" w:cs="宋体"/>
          <w:b/>
          <w:bCs/>
          <w:color w:val="auto"/>
          <w:spacing w:val="-5"/>
          <w:sz w:val="24"/>
        </w:rPr>
      </w:pPr>
      <w:bookmarkStart w:id="183" w:name="_Toc32314"/>
      <w:r>
        <w:rPr>
          <w:rFonts w:hint="eastAsia" w:ascii="黑体" w:hAnsi="黑体" w:eastAsia="黑体" w:cs="黑体"/>
          <w:color w:val="auto"/>
          <w:spacing w:val="8"/>
          <w:sz w:val="35"/>
          <w:szCs w:val="35"/>
        </w:rPr>
        <w:t>第三节 合同附件格式</w:t>
      </w:r>
    </w:p>
    <w:p w14:paraId="3368F4AE">
      <w:pPr>
        <w:spacing w:before="253" w:line="219" w:lineRule="auto"/>
        <w:ind w:left="19"/>
        <w:outlineLvl w:val="2"/>
        <w:rPr>
          <w:rFonts w:ascii="宋体" w:hAnsi="宋体" w:cs="宋体"/>
          <w:color w:val="auto"/>
          <w:sz w:val="24"/>
        </w:rPr>
      </w:pPr>
      <w:r>
        <w:rPr>
          <w:rFonts w:ascii="宋体" w:hAnsi="宋体" w:cs="宋体"/>
          <w:b/>
          <w:bCs/>
          <w:color w:val="auto"/>
          <w:spacing w:val="-5"/>
          <w:sz w:val="24"/>
        </w:rPr>
        <w:t>附件一廉政合同</w:t>
      </w:r>
    </w:p>
    <w:p w14:paraId="03EEA291">
      <w:pPr>
        <w:spacing w:before="270" w:line="219" w:lineRule="auto"/>
        <w:ind w:left="3916"/>
        <w:rPr>
          <w:color w:val="auto"/>
        </w:rPr>
      </w:pPr>
      <w:r>
        <w:rPr>
          <w:rFonts w:ascii="宋体" w:hAnsi="宋体" w:cs="宋体"/>
          <w:color w:val="auto"/>
          <w:spacing w:val="-7"/>
          <w:sz w:val="24"/>
        </w:rPr>
        <w:t>廉政合同</w:t>
      </w:r>
    </w:p>
    <w:p w14:paraId="3018A38D">
      <w:pPr>
        <w:spacing w:before="78" w:line="307" w:lineRule="auto"/>
        <w:ind w:right="25" w:firstLine="480"/>
        <w:rPr>
          <w:rFonts w:ascii="宋体" w:hAnsi="宋体" w:cs="宋体"/>
          <w:color w:val="auto"/>
          <w:sz w:val="24"/>
        </w:rPr>
      </w:pPr>
      <w:r>
        <w:rPr>
          <w:rFonts w:ascii="宋体" w:hAnsi="宋体" w:cs="宋体"/>
          <w:color w:val="auto"/>
          <w:spacing w:val="1"/>
          <w:sz w:val="24"/>
        </w:rPr>
        <w:t>根据国家以及地方有关廉政建设的规定，为做好公路养护</w:t>
      </w:r>
      <w:r>
        <w:rPr>
          <w:rFonts w:ascii="宋体" w:hAnsi="宋体" w:cs="宋体"/>
          <w:color w:val="auto"/>
          <w:sz w:val="24"/>
        </w:rPr>
        <w:t>项目中的党风廉政建</w:t>
      </w:r>
      <w:r>
        <w:rPr>
          <w:rFonts w:ascii="宋体" w:hAnsi="宋体" w:cs="宋体"/>
          <w:color w:val="auto"/>
          <w:spacing w:val="3"/>
          <w:sz w:val="24"/>
        </w:rPr>
        <w:t>设，保证养护质量高效优质，保证养护资金的</w:t>
      </w:r>
      <w:r>
        <w:rPr>
          <w:rFonts w:ascii="宋体" w:hAnsi="宋体" w:cs="宋体"/>
          <w:color w:val="auto"/>
          <w:spacing w:val="2"/>
          <w:sz w:val="24"/>
        </w:rPr>
        <w:t>安全和有效使用</w:t>
      </w:r>
      <w:r>
        <w:rPr>
          <w:rFonts w:ascii="宋体" w:hAnsi="宋体" w:cs="宋体"/>
          <w:color w:val="auto"/>
          <w:spacing w:val="-32"/>
          <w:sz w:val="24"/>
        </w:rPr>
        <w:t>，</w:t>
      </w:r>
      <w:r>
        <w:rPr>
          <w:rFonts w:hint="eastAsia" w:ascii="宋体" w:hAnsi="宋体" w:cs="宋体"/>
          <w:color w:val="auto"/>
          <w:spacing w:val="1"/>
          <w:sz w:val="24"/>
          <w:u w:val="single"/>
        </w:rPr>
        <w:t>广西壮族自治区钦州钦北公路养护中心2026年普通国省干线公路安全设施精细化提升工程（G210满都拉至防城港K3543+900～K3552+678段）</w:t>
      </w:r>
      <w:r>
        <w:rPr>
          <w:rFonts w:ascii="宋体" w:hAnsi="宋体" w:cs="宋体"/>
          <w:color w:val="auto"/>
          <w:spacing w:val="-32"/>
          <w:sz w:val="24"/>
        </w:rPr>
        <w:t>（</w:t>
      </w:r>
      <w:r>
        <w:rPr>
          <w:rFonts w:ascii="宋体" w:hAnsi="宋体" w:cs="宋体"/>
          <w:color w:val="auto"/>
          <w:spacing w:val="2"/>
          <w:sz w:val="24"/>
        </w:rPr>
        <w:t>项目名</w:t>
      </w:r>
      <w:r>
        <w:rPr>
          <w:rFonts w:ascii="宋体" w:hAnsi="宋体" w:cs="宋体"/>
          <w:color w:val="auto"/>
          <w:sz w:val="24"/>
        </w:rPr>
        <w:t>称）的发包人</w:t>
      </w:r>
      <w:r>
        <w:rPr>
          <w:rFonts w:hint="eastAsia" w:ascii="宋体" w:hAnsi="宋体" w:cs="宋体"/>
          <w:color w:val="auto"/>
          <w:sz w:val="24"/>
        </w:rPr>
        <w:t>广西壮族自治区钦州钦北公路养护中心</w:t>
      </w:r>
      <w:r>
        <w:rPr>
          <w:rFonts w:ascii="宋体" w:hAnsi="宋体" w:cs="宋体"/>
          <w:color w:val="auto"/>
          <w:sz w:val="24"/>
        </w:rPr>
        <w:t>（发包人名称，以下简称</w:t>
      </w:r>
      <w:r>
        <w:rPr>
          <w:rFonts w:ascii="宋体" w:hAnsi="宋体" w:cs="宋体"/>
          <w:color w:val="auto"/>
          <w:spacing w:val="-1"/>
          <w:sz w:val="24"/>
        </w:rPr>
        <w:t>“发包人”）与</w:t>
      </w:r>
      <w:r>
        <w:rPr>
          <w:rFonts w:hint="eastAsia" w:ascii="宋体" w:hAnsi="宋体" w:cs="宋体"/>
          <w:color w:val="auto"/>
          <w:spacing w:val="1"/>
          <w:sz w:val="24"/>
          <w:u w:val="single"/>
        </w:rPr>
        <w:t>广西壮族自治区钦州钦北公路养护中心2026年普通国省干线公路安全设施精细化提升工程（G210满都拉至防城港K3543+900～K3552+678段）</w:t>
      </w:r>
      <w:r>
        <w:rPr>
          <w:rFonts w:ascii="宋体" w:hAnsi="宋体" w:cs="宋体"/>
          <w:color w:val="auto"/>
          <w:spacing w:val="-1"/>
          <w:sz w:val="24"/>
        </w:rPr>
        <w:t>的承包人（承包人名称，以</w:t>
      </w:r>
      <w:r>
        <w:rPr>
          <w:rFonts w:ascii="宋体" w:hAnsi="宋体" w:cs="宋体"/>
          <w:color w:val="auto"/>
          <w:spacing w:val="-2"/>
          <w:sz w:val="24"/>
        </w:rPr>
        <w:t>下简称“承包人”</w:t>
      </w:r>
      <w:r>
        <w:rPr>
          <w:rFonts w:ascii="宋体" w:hAnsi="宋体" w:cs="宋体"/>
          <w:color w:val="auto"/>
          <w:spacing w:val="-44"/>
          <w:w w:val="70"/>
          <w:sz w:val="24"/>
        </w:rPr>
        <w:t>），</w:t>
      </w:r>
      <w:r>
        <w:rPr>
          <w:rFonts w:ascii="宋体" w:hAnsi="宋体" w:cs="宋体"/>
          <w:color w:val="auto"/>
          <w:spacing w:val="-2"/>
          <w:sz w:val="24"/>
        </w:rPr>
        <w:t>特订立如下合同。</w:t>
      </w:r>
    </w:p>
    <w:p w14:paraId="4346E7B8">
      <w:pPr>
        <w:spacing w:line="219" w:lineRule="auto"/>
        <w:ind w:left="499"/>
        <w:rPr>
          <w:rFonts w:ascii="宋体" w:hAnsi="宋体" w:cs="宋体"/>
          <w:color w:val="auto"/>
          <w:sz w:val="24"/>
        </w:rPr>
      </w:pPr>
      <w:r>
        <w:rPr>
          <w:rFonts w:eastAsia="Times New Roman"/>
          <w:color w:val="auto"/>
          <w:spacing w:val="-2"/>
          <w:sz w:val="24"/>
        </w:rPr>
        <w:t xml:space="preserve">1.  </w:t>
      </w:r>
      <w:r>
        <w:rPr>
          <w:rFonts w:ascii="宋体" w:hAnsi="宋体" w:cs="宋体"/>
          <w:color w:val="auto"/>
          <w:spacing w:val="-2"/>
          <w:sz w:val="24"/>
        </w:rPr>
        <w:t>发包人和承包人双方的权利和义务</w:t>
      </w:r>
    </w:p>
    <w:p w14:paraId="3B2DCED0">
      <w:pPr>
        <w:spacing w:before="116" w:line="219" w:lineRule="auto"/>
        <w:ind w:left="492"/>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1</w:t>
      </w:r>
      <w:r>
        <w:rPr>
          <w:rFonts w:ascii="宋体" w:hAnsi="宋体" w:cs="宋体"/>
          <w:color w:val="auto"/>
          <w:spacing w:val="-1"/>
          <w:sz w:val="24"/>
        </w:rPr>
        <w:t>）严格遵守党的政策规定和国家有关法律法规及交通运输部的有关规定。</w:t>
      </w:r>
    </w:p>
    <w:p w14:paraId="7B3BB61E">
      <w:pPr>
        <w:spacing w:before="116" w:line="219" w:lineRule="auto"/>
        <w:ind w:left="492"/>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2</w:t>
      </w:r>
      <w:r>
        <w:rPr>
          <w:rFonts w:ascii="宋体" w:hAnsi="宋体" w:cs="宋体"/>
          <w:color w:val="auto"/>
          <w:spacing w:val="-2"/>
          <w:sz w:val="24"/>
        </w:rPr>
        <w:t>）严格执行</w:t>
      </w:r>
      <w:r>
        <w:rPr>
          <w:rFonts w:hint="eastAsia" w:ascii="宋体" w:hAnsi="宋体" w:cs="宋体"/>
          <w:color w:val="auto"/>
          <w:spacing w:val="1"/>
          <w:sz w:val="24"/>
          <w:u w:val="single"/>
        </w:rPr>
        <w:t>广西壮族自治区钦州钦北公路养护中心2026年普通国省干线公路安全设施精细化提升工程（G210满都拉至防城港K3543+900～K3552+678段）</w:t>
      </w:r>
      <w:r>
        <w:rPr>
          <w:rFonts w:ascii="宋体" w:hAnsi="宋体" w:cs="宋体"/>
          <w:color w:val="auto"/>
          <w:spacing w:val="-2"/>
          <w:sz w:val="24"/>
        </w:rPr>
        <w:t>（项目名称）养护合同文件，自觉按合同办事。</w:t>
      </w:r>
    </w:p>
    <w:p w14:paraId="67CF4F47">
      <w:pPr>
        <w:spacing w:before="115" w:line="278" w:lineRule="auto"/>
        <w:ind w:right="25" w:firstLine="492"/>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3</w:t>
      </w:r>
      <w:r>
        <w:rPr>
          <w:rFonts w:ascii="宋体" w:hAnsi="宋体" w:cs="宋体"/>
          <w:color w:val="auto"/>
          <w:spacing w:val="4"/>
          <w:sz w:val="24"/>
        </w:rPr>
        <w:t>）双方的业务活动坚持公开、公正、诚信、透明的原则（法律认定的</w:t>
      </w:r>
      <w:r>
        <w:rPr>
          <w:rFonts w:ascii="宋体" w:hAnsi="宋体" w:cs="宋体"/>
          <w:color w:val="auto"/>
          <w:spacing w:val="3"/>
          <w:sz w:val="24"/>
        </w:rPr>
        <w:t>商业秘密和合同文件另有规定除外</w:t>
      </w:r>
      <w:r>
        <w:rPr>
          <w:rFonts w:ascii="宋体" w:hAnsi="宋体" w:cs="宋体"/>
          <w:color w:val="auto"/>
          <w:spacing w:val="-39"/>
          <w:sz w:val="24"/>
        </w:rPr>
        <w:t>），</w:t>
      </w:r>
      <w:r>
        <w:rPr>
          <w:rFonts w:ascii="宋体" w:hAnsi="宋体" w:cs="宋体"/>
          <w:color w:val="auto"/>
          <w:spacing w:val="3"/>
          <w:sz w:val="24"/>
        </w:rPr>
        <w:t>不得损害国家和集体利益，不得违反养护相关的</w:t>
      </w:r>
      <w:r>
        <w:rPr>
          <w:rFonts w:ascii="宋体" w:hAnsi="宋体" w:cs="宋体"/>
          <w:color w:val="auto"/>
          <w:spacing w:val="-2"/>
          <w:sz w:val="24"/>
        </w:rPr>
        <w:t>管理规章制度。</w:t>
      </w:r>
    </w:p>
    <w:p w14:paraId="2A9C2E01">
      <w:pPr>
        <w:spacing w:before="113" w:line="264" w:lineRule="auto"/>
        <w:ind w:left="1" w:right="84" w:firstLine="490"/>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4</w:t>
      </w:r>
      <w:r>
        <w:rPr>
          <w:rFonts w:ascii="宋体" w:hAnsi="宋体" w:cs="宋体"/>
          <w:color w:val="auto"/>
          <w:spacing w:val="2"/>
          <w:sz w:val="24"/>
        </w:rPr>
        <w:t>）建立健全廉政制度，开展廉政教育，设立廉政告示牌，公布举报电话，</w:t>
      </w:r>
      <w:r>
        <w:rPr>
          <w:rFonts w:ascii="宋体" w:hAnsi="宋体" w:cs="宋体"/>
          <w:color w:val="auto"/>
          <w:spacing w:val="-1"/>
          <w:sz w:val="24"/>
        </w:rPr>
        <w:t>监督并认真查处违法违纪行为。</w:t>
      </w:r>
    </w:p>
    <w:p w14:paraId="07609A90">
      <w:pPr>
        <w:spacing w:before="116" w:line="263" w:lineRule="auto"/>
        <w:ind w:right="25" w:firstLine="492"/>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5</w:t>
      </w:r>
      <w:r>
        <w:rPr>
          <w:rFonts w:ascii="宋体" w:hAnsi="宋体" w:cs="宋体"/>
          <w:color w:val="auto"/>
          <w:spacing w:val="4"/>
          <w:sz w:val="24"/>
        </w:rPr>
        <w:t>）发现对方在业务活动中有违反廉政规定的行为，有及时提醒对方纠</w:t>
      </w:r>
      <w:r>
        <w:rPr>
          <w:rFonts w:ascii="宋体" w:hAnsi="宋体" w:cs="宋体"/>
          <w:color w:val="auto"/>
          <w:spacing w:val="3"/>
          <w:sz w:val="24"/>
        </w:rPr>
        <w:t>正的</w:t>
      </w:r>
      <w:r>
        <w:rPr>
          <w:rFonts w:ascii="宋体" w:hAnsi="宋体" w:cs="宋体"/>
          <w:color w:val="auto"/>
          <w:spacing w:val="-2"/>
          <w:sz w:val="24"/>
        </w:rPr>
        <w:t>权利和义务。</w:t>
      </w:r>
    </w:p>
    <w:p w14:paraId="05BB1E53">
      <w:pPr>
        <w:spacing w:before="116" w:line="263" w:lineRule="auto"/>
        <w:ind w:left="3" w:right="65" w:firstLine="488"/>
        <w:rPr>
          <w:rFonts w:ascii="宋体" w:hAnsi="宋体" w:cs="宋体"/>
          <w:color w:val="auto"/>
          <w:sz w:val="24"/>
        </w:rPr>
      </w:pPr>
      <w:r>
        <w:rPr>
          <w:rFonts w:ascii="宋体" w:hAnsi="宋体" w:cs="宋体"/>
          <w:color w:val="auto"/>
          <w:spacing w:val="3"/>
          <w:sz w:val="24"/>
        </w:rPr>
        <w:t>（</w:t>
      </w:r>
      <w:r>
        <w:rPr>
          <w:rFonts w:eastAsia="Times New Roman"/>
          <w:color w:val="auto"/>
          <w:spacing w:val="3"/>
          <w:sz w:val="24"/>
        </w:rPr>
        <w:t>6</w:t>
      </w:r>
      <w:r>
        <w:rPr>
          <w:rFonts w:ascii="宋体" w:hAnsi="宋体" w:cs="宋体"/>
          <w:color w:val="auto"/>
          <w:spacing w:val="3"/>
          <w:sz w:val="24"/>
        </w:rPr>
        <w:t>）发现对方严重违反本合同义务条款的行为，有向其上</w:t>
      </w:r>
      <w:r>
        <w:rPr>
          <w:rFonts w:ascii="宋体" w:hAnsi="宋体" w:cs="宋体"/>
          <w:color w:val="auto"/>
          <w:spacing w:val="2"/>
          <w:sz w:val="24"/>
        </w:rPr>
        <w:t>级有关部门举报、</w:t>
      </w:r>
      <w:r>
        <w:rPr>
          <w:rFonts w:ascii="宋体" w:hAnsi="宋体" w:cs="宋体"/>
          <w:color w:val="auto"/>
          <w:spacing w:val="-1"/>
          <w:sz w:val="24"/>
        </w:rPr>
        <w:t>建议给予处理并要求告知处理结果的权利。</w:t>
      </w:r>
    </w:p>
    <w:p w14:paraId="756D163F">
      <w:pPr>
        <w:spacing w:before="115" w:line="219" w:lineRule="auto"/>
        <w:ind w:left="476"/>
        <w:rPr>
          <w:rFonts w:ascii="宋体" w:hAnsi="宋体" w:cs="宋体"/>
          <w:color w:val="auto"/>
          <w:sz w:val="24"/>
        </w:rPr>
      </w:pPr>
      <w:r>
        <w:rPr>
          <w:rFonts w:eastAsia="Times New Roman"/>
          <w:color w:val="auto"/>
          <w:spacing w:val="-1"/>
          <w:sz w:val="24"/>
        </w:rPr>
        <w:t xml:space="preserve">2.  </w:t>
      </w:r>
      <w:r>
        <w:rPr>
          <w:rFonts w:ascii="宋体" w:hAnsi="宋体" w:cs="宋体"/>
          <w:color w:val="auto"/>
          <w:spacing w:val="-1"/>
          <w:sz w:val="24"/>
        </w:rPr>
        <w:t>发包人的义务</w:t>
      </w:r>
    </w:p>
    <w:p w14:paraId="5276CA5D">
      <w:pPr>
        <w:spacing w:before="115" w:line="264" w:lineRule="auto"/>
        <w:ind w:left="20" w:right="25" w:firstLine="471"/>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1</w:t>
      </w:r>
      <w:r>
        <w:rPr>
          <w:rFonts w:ascii="宋体" w:hAnsi="宋体" w:cs="宋体"/>
          <w:color w:val="auto"/>
          <w:spacing w:val="4"/>
          <w:sz w:val="24"/>
        </w:rPr>
        <w:t>）发包人及其工作人员不得索要或接受承包人的礼金、有价证券和贵</w:t>
      </w:r>
      <w:r>
        <w:rPr>
          <w:rFonts w:ascii="宋体" w:hAnsi="宋体" w:cs="宋体"/>
          <w:color w:val="auto"/>
          <w:spacing w:val="3"/>
          <w:sz w:val="24"/>
        </w:rPr>
        <w:t>重物</w:t>
      </w:r>
      <w:r>
        <w:rPr>
          <w:rFonts w:ascii="宋体" w:hAnsi="宋体" w:cs="宋体"/>
          <w:color w:val="auto"/>
          <w:spacing w:val="-1"/>
          <w:sz w:val="24"/>
        </w:rPr>
        <w:t>品，不得让承包人报销任何应由发包人或发包人工作人员个人支付的费用等。</w:t>
      </w:r>
    </w:p>
    <w:p w14:paraId="53F5C008">
      <w:pPr>
        <w:spacing w:before="115" w:line="263" w:lineRule="auto"/>
        <w:ind w:left="5" w:right="25" w:firstLine="486"/>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2</w:t>
      </w:r>
      <w:r>
        <w:rPr>
          <w:rFonts w:ascii="宋体" w:hAnsi="宋体" w:cs="宋体"/>
          <w:color w:val="auto"/>
          <w:spacing w:val="4"/>
          <w:sz w:val="24"/>
        </w:rPr>
        <w:t>）发包人工作人员不得参加承包人安排的超标准宴请和娱乐活动；不</w:t>
      </w:r>
      <w:r>
        <w:rPr>
          <w:rFonts w:ascii="宋体" w:hAnsi="宋体" w:cs="宋体"/>
          <w:color w:val="auto"/>
          <w:spacing w:val="3"/>
          <w:sz w:val="24"/>
        </w:rPr>
        <w:t>得接</w:t>
      </w:r>
      <w:r>
        <w:rPr>
          <w:rFonts w:ascii="宋体" w:hAnsi="宋体" w:cs="宋体"/>
          <w:color w:val="auto"/>
          <w:spacing w:val="-1"/>
          <w:sz w:val="24"/>
        </w:rPr>
        <w:t>受承包人提供的通信工具、交通工具和高档办公用品等。</w:t>
      </w:r>
    </w:p>
    <w:p w14:paraId="06608D89">
      <w:pPr>
        <w:spacing w:before="115" w:line="263" w:lineRule="auto"/>
        <w:ind w:left="4" w:right="25" w:firstLine="487"/>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3</w:t>
      </w:r>
      <w:r>
        <w:rPr>
          <w:rFonts w:ascii="宋体" w:hAnsi="宋体" w:cs="宋体"/>
          <w:color w:val="auto"/>
          <w:spacing w:val="4"/>
          <w:sz w:val="24"/>
        </w:rPr>
        <w:t>）发包人及其工作人员不得要求或者接受承包人为其住房装修、婚丧</w:t>
      </w:r>
      <w:r>
        <w:rPr>
          <w:rFonts w:ascii="宋体" w:hAnsi="宋体" w:cs="宋体"/>
          <w:color w:val="auto"/>
          <w:spacing w:val="3"/>
          <w:sz w:val="24"/>
        </w:rPr>
        <w:t>嫁娶</w:t>
      </w:r>
      <w:r>
        <w:rPr>
          <w:rFonts w:ascii="宋体" w:hAnsi="宋体" w:cs="宋体"/>
          <w:color w:val="auto"/>
          <w:spacing w:val="-1"/>
          <w:sz w:val="24"/>
        </w:rPr>
        <w:t>活动、配偶子女的工作安排以及出国出境、旅游等提供方便等。</w:t>
      </w:r>
    </w:p>
    <w:p w14:paraId="14FA51B3">
      <w:pPr>
        <w:spacing w:before="118" w:line="263" w:lineRule="auto"/>
        <w:ind w:left="4" w:right="25" w:firstLine="487"/>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4</w:t>
      </w:r>
      <w:r>
        <w:rPr>
          <w:rFonts w:ascii="宋体" w:hAnsi="宋体" w:cs="宋体"/>
          <w:color w:val="auto"/>
          <w:spacing w:val="4"/>
          <w:sz w:val="24"/>
        </w:rPr>
        <w:t>）发包人工作人员及其配偶、子女不得从事与发包人养护项目有关的</w:t>
      </w:r>
      <w:r>
        <w:rPr>
          <w:rFonts w:ascii="宋体" w:hAnsi="宋体" w:cs="宋体"/>
          <w:color w:val="auto"/>
          <w:spacing w:val="3"/>
          <w:sz w:val="24"/>
        </w:rPr>
        <w:t>材料</w:t>
      </w:r>
      <w:r>
        <w:rPr>
          <w:rFonts w:ascii="宋体" w:hAnsi="宋体" w:cs="宋体"/>
          <w:color w:val="auto"/>
          <w:spacing w:val="-1"/>
          <w:sz w:val="24"/>
        </w:rPr>
        <w:t>设备供应、分包、劳务等经济活动等。</w:t>
      </w:r>
    </w:p>
    <w:p w14:paraId="01822B34">
      <w:pPr>
        <w:spacing w:before="115" w:line="263" w:lineRule="auto"/>
        <w:ind w:left="4" w:firstLine="487"/>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5</w:t>
      </w:r>
      <w:r>
        <w:rPr>
          <w:rFonts w:ascii="宋体" w:hAnsi="宋体" w:cs="宋体"/>
          <w:color w:val="auto"/>
          <w:spacing w:val="-2"/>
          <w:sz w:val="24"/>
        </w:rPr>
        <w:t>）发包人及其工作人员不得以任何理由向承包人推</w:t>
      </w:r>
      <w:r>
        <w:rPr>
          <w:rFonts w:ascii="宋体" w:hAnsi="宋体" w:cs="宋体"/>
          <w:color w:val="auto"/>
          <w:spacing w:val="-3"/>
          <w:sz w:val="24"/>
        </w:rPr>
        <w:t>荐分包单位或推销材料，</w:t>
      </w:r>
      <w:r>
        <w:rPr>
          <w:rFonts w:ascii="宋体" w:hAnsi="宋体" w:cs="宋体"/>
          <w:color w:val="auto"/>
          <w:spacing w:val="-1"/>
          <w:sz w:val="24"/>
        </w:rPr>
        <w:t>不得要求承包人购买合同约定外的材料和设备。</w:t>
      </w:r>
    </w:p>
    <w:p w14:paraId="73135CB1">
      <w:pPr>
        <w:spacing w:before="116" w:line="263" w:lineRule="auto"/>
        <w:ind w:left="2" w:right="25" w:firstLine="489"/>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6</w:t>
      </w:r>
      <w:r>
        <w:rPr>
          <w:rFonts w:ascii="宋体" w:hAnsi="宋体" w:cs="宋体"/>
          <w:color w:val="auto"/>
          <w:spacing w:val="4"/>
          <w:sz w:val="24"/>
        </w:rPr>
        <w:t>）发包人工作人员要秉公办事，不准营私舞弊，不准利用职权从事各</w:t>
      </w:r>
      <w:r>
        <w:rPr>
          <w:rFonts w:ascii="宋体" w:hAnsi="宋体" w:cs="宋体"/>
          <w:color w:val="auto"/>
          <w:spacing w:val="3"/>
          <w:sz w:val="24"/>
        </w:rPr>
        <w:t>种个</w:t>
      </w:r>
      <w:r>
        <w:rPr>
          <w:rFonts w:ascii="宋体" w:hAnsi="宋体" w:cs="宋体"/>
          <w:color w:val="auto"/>
          <w:spacing w:val="-1"/>
          <w:sz w:val="24"/>
        </w:rPr>
        <w:t>人有偿中介活动和安排个人施工队伍。</w:t>
      </w:r>
    </w:p>
    <w:p w14:paraId="3DA5B280">
      <w:pPr>
        <w:spacing w:before="281" w:line="219" w:lineRule="auto"/>
        <w:ind w:left="481"/>
        <w:rPr>
          <w:rFonts w:ascii="宋体" w:hAnsi="宋体" w:cs="宋体"/>
          <w:color w:val="auto"/>
          <w:sz w:val="24"/>
        </w:rPr>
      </w:pPr>
      <w:bookmarkStart w:id="184" w:name="bookmark232"/>
      <w:bookmarkEnd w:id="184"/>
      <w:r>
        <w:rPr>
          <w:rFonts w:eastAsia="Times New Roman"/>
          <w:color w:val="auto"/>
          <w:spacing w:val="-1"/>
          <w:sz w:val="24"/>
        </w:rPr>
        <w:t xml:space="preserve">3.  </w:t>
      </w:r>
      <w:r>
        <w:rPr>
          <w:rFonts w:ascii="宋体" w:hAnsi="宋体" w:cs="宋体"/>
          <w:color w:val="auto"/>
          <w:spacing w:val="-1"/>
          <w:sz w:val="24"/>
        </w:rPr>
        <w:t>承包人的义务</w:t>
      </w:r>
    </w:p>
    <w:p w14:paraId="4566D19C">
      <w:pPr>
        <w:spacing w:before="115" w:line="263" w:lineRule="auto"/>
        <w:ind w:right="164" w:firstLine="492"/>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1</w:t>
      </w:r>
      <w:r>
        <w:rPr>
          <w:rFonts w:ascii="宋体" w:hAnsi="宋体" w:cs="宋体"/>
          <w:color w:val="auto"/>
          <w:spacing w:val="4"/>
          <w:sz w:val="24"/>
        </w:rPr>
        <w:t>）承包人不得以任何理由向发包人及其工作人员行贿或馈赠礼金、有</w:t>
      </w:r>
      <w:r>
        <w:rPr>
          <w:rFonts w:ascii="宋体" w:hAnsi="宋体" w:cs="宋体"/>
          <w:color w:val="auto"/>
          <w:spacing w:val="3"/>
          <w:sz w:val="24"/>
        </w:rPr>
        <w:t>价证</w:t>
      </w:r>
      <w:r>
        <w:rPr>
          <w:rFonts w:ascii="宋体" w:hAnsi="宋体" w:cs="宋体"/>
          <w:color w:val="auto"/>
          <w:spacing w:val="-2"/>
          <w:sz w:val="24"/>
        </w:rPr>
        <w:t>券、贵重礼品。</w:t>
      </w:r>
    </w:p>
    <w:p w14:paraId="17896624">
      <w:pPr>
        <w:spacing w:before="115" w:line="264" w:lineRule="auto"/>
        <w:ind w:left="2" w:right="164" w:firstLine="489"/>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2</w:t>
      </w:r>
      <w:r>
        <w:rPr>
          <w:rFonts w:ascii="宋体" w:hAnsi="宋体" w:cs="宋体"/>
          <w:color w:val="auto"/>
          <w:spacing w:val="4"/>
          <w:sz w:val="24"/>
        </w:rPr>
        <w:t>）承包人不得以任何名义为发包人及其工作人员报销应由发包人单位</w:t>
      </w:r>
      <w:r>
        <w:rPr>
          <w:rFonts w:ascii="宋体" w:hAnsi="宋体" w:cs="宋体"/>
          <w:color w:val="auto"/>
          <w:spacing w:val="3"/>
          <w:sz w:val="24"/>
        </w:rPr>
        <w:t>或个</w:t>
      </w:r>
      <w:r>
        <w:rPr>
          <w:rFonts w:ascii="宋体" w:hAnsi="宋体" w:cs="宋体"/>
          <w:color w:val="auto"/>
          <w:spacing w:val="-2"/>
          <w:sz w:val="24"/>
        </w:rPr>
        <w:t>人支付的任何费用。</w:t>
      </w:r>
    </w:p>
    <w:p w14:paraId="444859A2">
      <w:pPr>
        <w:spacing w:before="113" w:line="219" w:lineRule="auto"/>
        <w:ind w:left="492"/>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3</w:t>
      </w:r>
      <w:r>
        <w:rPr>
          <w:rFonts w:ascii="宋体" w:hAnsi="宋体" w:cs="宋体"/>
          <w:color w:val="auto"/>
          <w:spacing w:val="-1"/>
          <w:sz w:val="24"/>
        </w:rPr>
        <w:t>）承包人不得以任何理由安排发包人工作人员参加超标准宴请及娱乐活动。</w:t>
      </w:r>
    </w:p>
    <w:p w14:paraId="6E355A8D">
      <w:pPr>
        <w:spacing w:before="115" w:line="264" w:lineRule="auto"/>
        <w:ind w:left="5" w:right="164" w:firstLine="486"/>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4</w:t>
      </w:r>
      <w:r>
        <w:rPr>
          <w:rFonts w:ascii="宋体" w:hAnsi="宋体" w:cs="宋体"/>
          <w:color w:val="auto"/>
          <w:spacing w:val="4"/>
          <w:sz w:val="24"/>
        </w:rPr>
        <w:t>）承包人不得为发包人单位和个人购置或提供通信工具、交通工具和</w:t>
      </w:r>
      <w:r>
        <w:rPr>
          <w:rFonts w:ascii="宋体" w:hAnsi="宋体" w:cs="宋体"/>
          <w:color w:val="auto"/>
          <w:spacing w:val="3"/>
          <w:sz w:val="24"/>
        </w:rPr>
        <w:t>高档</w:t>
      </w:r>
      <w:r>
        <w:rPr>
          <w:rFonts w:ascii="宋体" w:hAnsi="宋体" w:cs="宋体"/>
          <w:color w:val="auto"/>
          <w:spacing w:val="-3"/>
          <w:sz w:val="24"/>
        </w:rPr>
        <w:t>办公用品等。</w:t>
      </w:r>
    </w:p>
    <w:p w14:paraId="4318E22C">
      <w:pPr>
        <w:spacing w:before="113" w:line="219" w:lineRule="auto"/>
        <w:ind w:left="475"/>
        <w:rPr>
          <w:rFonts w:ascii="宋体" w:hAnsi="宋体" w:cs="宋体"/>
          <w:color w:val="auto"/>
          <w:sz w:val="24"/>
        </w:rPr>
      </w:pPr>
      <w:r>
        <w:rPr>
          <w:rFonts w:eastAsia="Times New Roman"/>
          <w:color w:val="auto"/>
          <w:spacing w:val="-1"/>
          <w:sz w:val="24"/>
        </w:rPr>
        <w:t xml:space="preserve">4.  </w:t>
      </w:r>
      <w:r>
        <w:rPr>
          <w:rFonts w:ascii="宋体" w:hAnsi="宋体" w:cs="宋体"/>
          <w:color w:val="auto"/>
          <w:spacing w:val="-1"/>
          <w:sz w:val="24"/>
        </w:rPr>
        <w:t>违约责任</w:t>
      </w:r>
    </w:p>
    <w:p w14:paraId="01FD0C5B">
      <w:pPr>
        <w:spacing w:before="116" w:line="278" w:lineRule="auto"/>
        <w:ind w:left="1" w:right="164" w:firstLine="490"/>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1</w:t>
      </w:r>
      <w:r>
        <w:rPr>
          <w:rFonts w:ascii="宋体" w:hAnsi="宋体" w:cs="宋体"/>
          <w:color w:val="auto"/>
          <w:spacing w:val="-1"/>
          <w:sz w:val="24"/>
        </w:rPr>
        <w:t>）发包人及其工作人员违反本合同第</w:t>
      </w:r>
      <w:r>
        <w:rPr>
          <w:rFonts w:eastAsia="Times New Roman"/>
          <w:color w:val="auto"/>
          <w:spacing w:val="-1"/>
          <w:sz w:val="24"/>
        </w:rPr>
        <w:t>1</w:t>
      </w:r>
      <w:r>
        <w:rPr>
          <w:rFonts w:ascii="宋体" w:hAnsi="宋体" w:cs="宋体"/>
          <w:color w:val="auto"/>
          <w:spacing w:val="-1"/>
          <w:sz w:val="24"/>
        </w:rPr>
        <w:t>、</w:t>
      </w:r>
      <w:r>
        <w:rPr>
          <w:rFonts w:eastAsia="Times New Roman"/>
          <w:color w:val="auto"/>
          <w:spacing w:val="-1"/>
          <w:sz w:val="24"/>
        </w:rPr>
        <w:t xml:space="preserve">2 </w:t>
      </w:r>
      <w:r>
        <w:rPr>
          <w:rFonts w:ascii="宋体" w:hAnsi="宋体" w:cs="宋体"/>
          <w:color w:val="auto"/>
          <w:spacing w:val="-1"/>
          <w:sz w:val="24"/>
        </w:rPr>
        <w:t>条，按管理权限</w:t>
      </w:r>
      <w:r>
        <w:rPr>
          <w:rFonts w:ascii="宋体" w:hAnsi="宋体" w:cs="宋体"/>
          <w:color w:val="auto"/>
          <w:spacing w:val="-2"/>
          <w:sz w:val="24"/>
        </w:rPr>
        <w:t>，依据有关规定</w:t>
      </w:r>
      <w:r>
        <w:rPr>
          <w:rFonts w:ascii="宋体" w:hAnsi="宋体" w:cs="宋体"/>
          <w:color w:val="auto"/>
          <w:spacing w:val="1"/>
          <w:sz w:val="24"/>
        </w:rPr>
        <w:t>给予党纪、政纪或组织处理；涉嫌犯罪的，移交司法机</w:t>
      </w:r>
      <w:r>
        <w:rPr>
          <w:rFonts w:ascii="宋体" w:hAnsi="宋体" w:cs="宋体"/>
          <w:color w:val="auto"/>
          <w:sz w:val="24"/>
        </w:rPr>
        <w:t>关追究刑事责任；给承包人</w:t>
      </w:r>
      <w:r>
        <w:rPr>
          <w:rFonts w:ascii="宋体" w:hAnsi="宋体" w:cs="宋体"/>
          <w:color w:val="auto"/>
          <w:spacing w:val="-1"/>
          <w:sz w:val="24"/>
        </w:rPr>
        <w:t>单位造成经济损失的，应予以赔偿。</w:t>
      </w:r>
    </w:p>
    <w:p w14:paraId="0186DB20">
      <w:pPr>
        <w:spacing w:before="114" w:line="286" w:lineRule="auto"/>
        <w:ind w:left="1" w:right="164" w:firstLine="490"/>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2</w:t>
      </w:r>
      <w:r>
        <w:rPr>
          <w:rFonts w:ascii="宋体" w:hAnsi="宋体" w:cs="宋体"/>
          <w:color w:val="auto"/>
          <w:spacing w:val="-1"/>
          <w:sz w:val="24"/>
        </w:rPr>
        <w:t>）承包人及其工作人员违反本合同第</w:t>
      </w:r>
      <w:r>
        <w:rPr>
          <w:rFonts w:eastAsia="Times New Roman"/>
          <w:color w:val="auto"/>
          <w:spacing w:val="-1"/>
          <w:sz w:val="24"/>
        </w:rPr>
        <w:t>1</w:t>
      </w:r>
      <w:r>
        <w:rPr>
          <w:rFonts w:ascii="宋体" w:hAnsi="宋体" w:cs="宋体"/>
          <w:color w:val="auto"/>
          <w:spacing w:val="-1"/>
          <w:sz w:val="24"/>
        </w:rPr>
        <w:t>、</w:t>
      </w:r>
      <w:r>
        <w:rPr>
          <w:rFonts w:eastAsia="Times New Roman"/>
          <w:color w:val="auto"/>
          <w:spacing w:val="-1"/>
          <w:sz w:val="24"/>
        </w:rPr>
        <w:t xml:space="preserve">3 </w:t>
      </w:r>
      <w:r>
        <w:rPr>
          <w:rFonts w:ascii="宋体" w:hAnsi="宋体" w:cs="宋体"/>
          <w:color w:val="auto"/>
          <w:spacing w:val="-1"/>
          <w:sz w:val="24"/>
        </w:rPr>
        <w:t>条，按管理权限</w:t>
      </w:r>
      <w:r>
        <w:rPr>
          <w:rFonts w:ascii="宋体" w:hAnsi="宋体" w:cs="宋体"/>
          <w:color w:val="auto"/>
          <w:spacing w:val="-2"/>
          <w:sz w:val="24"/>
        </w:rPr>
        <w:t>，依据有关规定</w:t>
      </w:r>
      <w:r>
        <w:rPr>
          <w:rFonts w:ascii="宋体" w:hAnsi="宋体" w:cs="宋体"/>
          <w:color w:val="auto"/>
          <w:spacing w:val="1"/>
          <w:sz w:val="24"/>
        </w:rPr>
        <w:t>给予党纪、政纪或组织处理；给发包人单位造成经济损</w:t>
      </w:r>
      <w:r>
        <w:rPr>
          <w:rFonts w:ascii="宋体" w:hAnsi="宋体" w:cs="宋体"/>
          <w:color w:val="auto"/>
          <w:sz w:val="24"/>
        </w:rPr>
        <w:t>失的，应予以赔偿；情节严</w:t>
      </w:r>
      <w:r>
        <w:rPr>
          <w:rFonts w:ascii="宋体" w:hAnsi="宋体" w:cs="宋体"/>
          <w:color w:val="auto"/>
          <w:spacing w:val="1"/>
          <w:sz w:val="24"/>
        </w:rPr>
        <w:t>重的，发包人建议交通运输主管部门给予承包人一至三</w:t>
      </w:r>
      <w:r>
        <w:rPr>
          <w:rFonts w:ascii="宋体" w:hAnsi="宋体" w:cs="宋体"/>
          <w:color w:val="auto"/>
          <w:sz w:val="24"/>
        </w:rPr>
        <w:t>年内不得进入其主管的公路</w:t>
      </w:r>
      <w:r>
        <w:rPr>
          <w:rFonts w:ascii="宋体" w:hAnsi="宋体" w:cs="宋体"/>
          <w:color w:val="auto"/>
          <w:spacing w:val="-2"/>
          <w:sz w:val="24"/>
        </w:rPr>
        <w:t>养护市场的处罚。</w:t>
      </w:r>
    </w:p>
    <w:p w14:paraId="60FF22D6">
      <w:pPr>
        <w:spacing w:before="114" w:line="278" w:lineRule="auto"/>
        <w:ind w:left="3" w:right="164" w:firstLine="479"/>
        <w:rPr>
          <w:rFonts w:ascii="宋体" w:hAnsi="宋体" w:cs="宋体"/>
          <w:color w:val="auto"/>
          <w:sz w:val="24"/>
        </w:rPr>
      </w:pPr>
      <w:r>
        <w:rPr>
          <w:rFonts w:eastAsia="Times New Roman"/>
          <w:color w:val="auto"/>
          <w:spacing w:val="6"/>
          <w:sz w:val="24"/>
        </w:rPr>
        <w:t xml:space="preserve">5.  </w:t>
      </w:r>
      <w:r>
        <w:rPr>
          <w:rFonts w:ascii="宋体" w:hAnsi="宋体" w:cs="宋体"/>
          <w:color w:val="auto"/>
          <w:spacing w:val="6"/>
          <w:sz w:val="24"/>
        </w:rPr>
        <w:t>双方约定：本合同由双方或双方上级单位的</w:t>
      </w:r>
      <w:r>
        <w:rPr>
          <w:rFonts w:ascii="宋体" w:hAnsi="宋体" w:cs="宋体"/>
          <w:color w:val="auto"/>
          <w:spacing w:val="5"/>
          <w:sz w:val="24"/>
        </w:rPr>
        <w:t>纪检监察部门负责监督执行。</w:t>
      </w:r>
      <w:r>
        <w:rPr>
          <w:rFonts w:ascii="宋体" w:hAnsi="宋体" w:cs="宋体"/>
          <w:color w:val="auto"/>
          <w:spacing w:val="1"/>
          <w:sz w:val="24"/>
        </w:rPr>
        <w:t>由发包人或发包人上级单位的纪检监察部门约请承</w:t>
      </w:r>
      <w:r>
        <w:rPr>
          <w:rFonts w:ascii="宋体" w:hAnsi="宋体" w:cs="宋体"/>
          <w:color w:val="auto"/>
          <w:sz w:val="24"/>
        </w:rPr>
        <w:t>包人或承包人上级单位纪检监察</w:t>
      </w:r>
      <w:r>
        <w:rPr>
          <w:rFonts w:ascii="宋体" w:hAnsi="宋体" w:cs="宋体"/>
          <w:color w:val="auto"/>
          <w:spacing w:val="-1"/>
          <w:sz w:val="24"/>
        </w:rPr>
        <w:t>部门对本合同执行情况进行检查，提出在本合同约定范围内的裁定意见。</w:t>
      </w:r>
    </w:p>
    <w:p w14:paraId="4F5A46DF">
      <w:pPr>
        <w:spacing w:before="117" w:line="219" w:lineRule="auto"/>
        <w:ind w:left="481"/>
        <w:rPr>
          <w:rFonts w:ascii="宋体" w:hAnsi="宋体" w:cs="宋体"/>
          <w:color w:val="auto"/>
          <w:sz w:val="24"/>
        </w:rPr>
      </w:pPr>
      <w:r>
        <w:rPr>
          <w:rFonts w:eastAsia="Times New Roman"/>
          <w:color w:val="auto"/>
          <w:spacing w:val="-1"/>
          <w:sz w:val="24"/>
        </w:rPr>
        <w:t xml:space="preserve">6.  </w:t>
      </w:r>
      <w:r>
        <w:rPr>
          <w:rFonts w:ascii="宋体" w:hAnsi="宋体" w:cs="宋体"/>
          <w:color w:val="auto"/>
          <w:spacing w:val="-1"/>
          <w:sz w:val="24"/>
        </w:rPr>
        <w:t>本合同自发包人和承包人签署之日起生效。</w:t>
      </w:r>
    </w:p>
    <w:p w14:paraId="79A15F22">
      <w:pPr>
        <w:spacing w:before="115" w:line="263" w:lineRule="auto"/>
        <w:ind w:left="20" w:firstLine="459"/>
        <w:rPr>
          <w:rFonts w:ascii="宋体" w:hAnsi="宋体" w:cs="宋体"/>
          <w:color w:val="auto"/>
          <w:sz w:val="24"/>
        </w:rPr>
      </w:pPr>
      <w:r>
        <w:rPr>
          <w:rFonts w:eastAsia="Times New Roman"/>
          <w:color w:val="auto"/>
          <w:spacing w:val="2"/>
          <w:sz w:val="24"/>
        </w:rPr>
        <w:t xml:space="preserve">7.  </w:t>
      </w:r>
      <w:r>
        <w:rPr>
          <w:rFonts w:ascii="宋体" w:hAnsi="宋体" w:cs="宋体"/>
          <w:color w:val="auto"/>
          <w:spacing w:val="2"/>
          <w:sz w:val="24"/>
        </w:rPr>
        <w:t>本合同作为</w:t>
      </w:r>
      <w:r>
        <w:rPr>
          <w:rFonts w:hint="eastAsia" w:ascii="宋体" w:hAnsi="宋体" w:cs="宋体"/>
          <w:color w:val="auto"/>
          <w:spacing w:val="1"/>
          <w:sz w:val="24"/>
          <w:u w:val="single"/>
        </w:rPr>
        <w:t>广西壮族自治区钦州钦北公路养护中心2026年普通国省干线公路安全设施精细化提升工程（G210满都拉至防城港K3543+900～K3552+678段）</w:t>
      </w:r>
      <w:r>
        <w:rPr>
          <w:rFonts w:ascii="宋体" w:hAnsi="宋体" w:cs="宋体"/>
          <w:color w:val="auto"/>
          <w:spacing w:val="2"/>
          <w:sz w:val="24"/>
        </w:rPr>
        <w:t>（项目名称）养护合同的附件，与养护合同具有同等</w:t>
      </w:r>
      <w:r>
        <w:rPr>
          <w:rFonts w:ascii="宋体" w:hAnsi="宋体" w:cs="宋体"/>
          <w:color w:val="auto"/>
          <w:spacing w:val="-3"/>
          <w:sz w:val="24"/>
        </w:rPr>
        <w:t>的法律效力，自合同双方法定代表人或其委托代理人签名并加盖单</w:t>
      </w:r>
      <w:r>
        <w:rPr>
          <w:rFonts w:ascii="宋体" w:hAnsi="宋体" w:cs="宋体"/>
          <w:color w:val="auto"/>
          <w:spacing w:val="-4"/>
          <w:sz w:val="24"/>
        </w:rPr>
        <w:t>位章之日起生效。</w:t>
      </w:r>
    </w:p>
    <w:p w14:paraId="23AE1EBD">
      <w:pPr>
        <w:spacing w:before="116" w:line="263" w:lineRule="auto"/>
        <w:ind w:left="5" w:right="164" w:firstLine="480"/>
        <w:rPr>
          <w:rFonts w:ascii="宋体" w:hAnsi="宋体" w:cs="宋体"/>
          <w:color w:val="auto"/>
          <w:sz w:val="24"/>
        </w:rPr>
      </w:pPr>
      <w:r>
        <w:rPr>
          <w:rFonts w:eastAsia="Times New Roman"/>
          <w:color w:val="auto"/>
          <w:spacing w:val="6"/>
          <w:sz w:val="24"/>
        </w:rPr>
        <w:t xml:space="preserve">8.  </w:t>
      </w:r>
      <w:r>
        <w:rPr>
          <w:rFonts w:hint="eastAsia" w:eastAsia="Times New Roman"/>
          <w:color w:val="auto"/>
          <w:spacing w:val="6"/>
          <w:sz w:val="24"/>
        </w:rPr>
        <w:t>本协议书一式陆份，甲方执肆份，乙方执贰份</w:t>
      </w:r>
      <w:r>
        <w:rPr>
          <w:rFonts w:hint="eastAsia"/>
          <w:color w:val="auto"/>
          <w:spacing w:val="6"/>
          <w:sz w:val="24"/>
        </w:rPr>
        <w:t>，</w:t>
      </w:r>
      <w:r>
        <w:rPr>
          <w:rFonts w:hint="eastAsia" w:eastAsia="Times New Roman"/>
          <w:color w:val="auto"/>
          <w:spacing w:val="6"/>
          <w:sz w:val="24"/>
        </w:rPr>
        <w:t>具有同等法律效力</w:t>
      </w:r>
      <w:r>
        <w:rPr>
          <w:rFonts w:ascii="宋体" w:hAnsi="宋体" w:cs="宋体"/>
          <w:color w:val="auto"/>
          <w:spacing w:val="-3"/>
          <w:sz w:val="24"/>
        </w:rPr>
        <w:t>。</w:t>
      </w:r>
    </w:p>
    <w:p w14:paraId="4C7A548C">
      <w:pPr>
        <w:spacing w:before="227"/>
        <w:rPr>
          <w:color w:val="auto"/>
        </w:rPr>
      </w:pPr>
    </w:p>
    <w:p w14:paraId="36514C49">
      <w:pPr>
        <w:rPr>
          <w:color w:val="auto"/>
        </w:rPr>
        <w:sectPr>
          <w:footerReference r:id="rId12" w:type="default"/>
          <w:pgSz w:w="11907" w:h="16840"/>
          <w:pgMar w:top="1431" w:right="1422" w:bottom="1195" w:left="1652" w:header="0" w:footer="1017" w:gutter="0"/>
          <w:cols w:space="720" w:num="1"/>
        </w:sectPr>
      </w:pPr>
    </w:p>
    <w:p w14:paraId="6B90D556">
      <w:pPr>
        <w:spacing w:before="49" w:line="307" w:lineRule="auto"/>
        <w:ind w:left="1" w:right="146" w:firstLine="2"/>
        <w:rPr>
          <w:rFonts w:ascii="宋体" w:hAnsi="宋体" w:cs="宋体"/>
          <w:color w:val="auto"/>
          <w:sz w:val="24"/>
        </w:rPr>
      </w:pPr>
      <w:r>
        <w:rPr>
          <w:rFonts w:ascii="宋体" w:hAnsi="宋体" w:cs="宋体"/>
          <w:color w:val="auto"/>
          <w:spacing w:val="29"/>
          <w:sz w:val="24"/>
        </w:rPr>
        <w:t>发包人</w:t>
      </w:r>
      <w:r>
        <w:rPr>
          <w:rFonts w:ascii="宋体" w:hAnsi="宋体" w:cs="宋体"/>
          <w:color w:val="auto"/>
          <w:spacing w:val="-18"/>
          <w:sz w:val="24"/>
        </w:rPr>
        <w:t>：</w:t>
      </w:r>
      <w:r>
        <w:rPr>
          <w:rFonts w:hint="eastAsia" w:ascii="宋体" w:hAnsi="宋体" w:cs="宋体"/>
          <w:color w:val="auto"/>
          <w:spacing w:val="99"/>
          <w:sz w:val="24"/>
          <w:u w:val="single"/>
        </w:rPr>
        <w:t>广西壮族自治区钦州钦北公路养护中心</w:t>
      </w:r>
      <w:r>
        <w:rPr>
          <w:rFonts w:ascii="宋体" w:hAnsi="宋体" w:cs="宋体"/>
          <w:color w:val="auto"/>
          <w:spacing w:val="-18"/>
          <w:sz w:val="24"/>
        </w:rPr>
        <w:t>（</w:t>
      </w:r>
      <w:r>
        <w:rPr>
          <w:rFonts w:ascii="宋体" w:hAnsi="宋体" w:cs="宋体"/>
          <w:color w:val="auto"/>
          <w:spacing w:val="29"/>
          <w:sz w:val="24"/>
        </w:rPr>
        <w:t>盖单位章）</w:t>
      </w:r>
      <w:r>
        <w:rPr>
          <w:rFonts w:ascii="宋体" w:hAnsi="宋体" w:cs="宋体"/>
          <w:color w:val="auto"/>
          <w:spacing w:val="-3"/>
          <w:sz w:val="24"/>
        </w:rPr>
        <w:t>法定代表人</w:t>
      </w:r>
    </w:p>
    <w:p w14:paraId="641D98D0">
      <w:pPr>
        <w:spacing w:before="1" w:line="219" w:lineRule="auto"/>
        <w:ind w:left="3"/>
        <w:rPr>
          <w:rFonts w:ascii="宋体" w:hAnsi="宋体" w:cs="宋体"/>
          <w:color w:val="auto"/>
          <w:sz w:val="24"/>
        </w:rPr>
      </w:pPr>
      <w:r>
        <w:rPr>
          <w:rFonts w:ascii="宋体" w:hAnsi="宋体" w:cs="宋体"/>
          <w:color w:val="auto"/>
          <w:spacing w:val="13"/>
          <w:sz w:val="24"/>
        </w:rPr>
        <w:t>或其委托代理人</w:t>
      </w:r>
      <w:r>
        <w:rPr>
          <w:rFonts w:ascii="宋体" w:hAnsi="宋体" w:cs="宋体"/>
          <w:color w:val="auto"/>
          <w:spacing w:val="-18"/>
          <w:sz w:val="24"/>
        </w:rPr>
        <w:t>：（</w:t>
      </w:r>
      <w:r>
        <w:rPr>
          <w:rFonts w:ascii="宋体" w:hAnsi="宋体" w:cs="宋体"/>
          <w:color w:val="auto"/>
          <w:spacing w:val="13"/>
          <w:sz w:val="24"/>
        </w:rPr>
        <w:t>签名）</w:t>
      </w:r>
    </w:p>
    <w:p w14:paraId="24CB0332">
      <w:pPr>
        <w:spacing w:before="116" w:line="219" w:lineRule="auto"/>
        <w:ind w:left="1921"/>
        <w:rPr>
          <w:rFonts w:ascii="宋体" w:hAnsi="宋体" w:cs="宋体"/>
          <w:color w:val="auto"/>
          <w:sz w:val="24"/>
        </w:rPr>
      </w:pPr>
      <w:r>
        <w:rPr>
          <w:rFonts w:ascii="宋体" w:hAnsi="宋体" w:cs="宋体"/>
          <w:color w:val="auto"/>
          <w:spacing w:val="-9"/>
          <w:sz w:val="24"/>
        </w:rPr>
        <w:t>年月日</w:t>
      </w:r>
    </w:p>
    <w:p w14:paraId="0FA1101A">
      <w:pPr>
        <w:spacing w:before="113" w:line="220" w:lineRule="auto"/>
        <w:ind w:left="4"/>
        <w:rPr>
          <w:rFonts w:ascii="宋体" w:hAnsi="宋体" w:cs="宋体"/>
          <w:color w:val="auto"/>
          <w:sz w:val="24"/>
        </w:rPr>
      </w:pPr>
      <w:r>
        <w:rPr>
          <w:rFonts w:ascii="宋体" w:hAnsi="宋体" w:cs="宋体"/>
          <w:color w:val="auto"/>
          <w:spacing w:val="7"/>
          <w:sz w:val="24"/>
        </w:rPr>
        <w:t>发包人监督单位</w:t>
      </w:r>
      <w:r>
        <w:rPr>
          <w:rFonts w:ascii="宋体" w:hAnsi="宋体" w:cs="宋体"/>
          <w:color w:val="auto"/>
          <w:spacing w:val="-9"/>
          <w:sz w:val="24"/>
        </w:rPr>
        <w:t>：（</w:t>
      </w:r>
      <w:r>
        <w:rPr>
          <w:rFonts w:ascii="宋体" w:hAnsi="宋体" w:cs="宋体"/>
          <w:color w:val="auto"/>
          <w:spacing w:val="7"/>
          <w:sz w:val="24"/>
        </w:rPr>
        <w:t>全称）</w:t>
      </w:r>
    </w:p>
    <w:p w14:paraId="0F8EB547">
      <w:pPr>
        <w:spacing w:line="23" w:lineRule="auto"/>
        <w:rPr>
          <w:rFonts w:ascii="Arial"/>
          <w:color w:val="auto"/>
          <w:sz w:val="2"/>
        </w:rPr>
      </w:pPr>
    </w:p>
    <w:p w14:paraId="28D1CA55">
      <w:pPr>
        <w:pStyle w:val="21"/>
        <w:spacing w:line="14" w:lineRule="auto"/>
        <w:rPr>
          <w:color w:val="auto"/>
          <w:sz w:val="2"/>
        </w:rPr>
      </w:pPr>
      <w:r>
        <w:rPr>
          <w:color w:val="auto"/>
          <w:sz w:val="2"/>
          <w:szCs w:val="2"/>
        </w:rPr>
        <w:br w:type="column"/>
      </w:r>
    </w:p>
    <w:p w14:paraId="712F7044">
      <w:pPr>
        <w:spacing w:before="48" w:line="307" w:lineRule="auto"/>
        <w:ind w:right="187"/>
        <w:rPr>
          <w:rFonts w:ascii="宋体" w:hAnsi="宋体" w:cs="宋体"/>
          <w:color w:val="auto"/>
          <w:sz w:val="24"/>
        </w:rPr>
      </w:pPr>
      <w:r>
        <w:rPr>
          <w:rFonts w:ascii="宋体" w:hAnsi="宋体" w:cs="宋体"/>
          <w:color w:val="auto"/>
          <w:spacing w:val="29"/>
          <w:sz w:val="24"/>
        </w:rPr>
        <w:t>承包人</w:t>
      </w:r>
      <w:r>
        <w:rPr>
          <w:rFonts w:ascii="宋体" w:hAnsi="宋体" w:cs="宋体"/>
          <w:color w:val="auto"/>
          <w:spacing w:val="-16"/>
          <w:sz w:val="24"/>
        </w:rPr>
        <w:t>：（</w:t>
      </w:r>
      <w:r>
        <w:rPr>
          <w:rFonts w:ascii="宋体" w:hAnsi="宋体" w:cs="宋体"/>
          <w:color w:val="auto"/>
          <w:spacing w:val="29"/>
          <w:sz w:val="24"/>
        </w:rPr>
        <w:t>盖单位章）</w:t>
      </w:r>
      <w:r>
        <w:rPr>
          <w:rFonts w:ascii="宋体" w:hAnsi="宋体" w:cs="宋体"/>
          <w:color w:val="auto"/>
          <w:spacing w:val="-3"/>
          <w:sz w:val="24"/>
        </w:rPr>
        <w:t>法定代表人</w:t>
      </w:r>
    </w:p>
    <w:p w14:paraId="69D91B93">
      <w:pPr>
        <w:spacing w:line="219" w:lineRule="auto"/>
        <w:ind w:left="2"/>
        <w:rPr>
          <w:rFonts w:ascii="宋体" w:hAnsi="宋体" w:cs="宋体"/>
          <w:color w:val="auto"/>
          <w:sz w:val="24"/>
        </w:rPr>
      </w:pPr>
      <w:r>
        <w:rPr>
          <w:rFonts w:ascii="宋体" w:hAnsi="宋体" w:cs="宋体"/>
          <w:color w:val="auto"/>
          <w:spacing w:val="13"/>
          <w:sz w:val="24"/>
        </w:rPr>
        <w:t>或其委托代理人</w:t>
      </w:r>
      <w:r>
        <w:rPr>
          <w:rFonts w:ascii="宋体" w:hAnsi="宋体" w:cs="宋体"/>
          <w:color w:val="auto"/>
          <w:spacing w:val="-18"/>
          <w:sz w:val="24"/>
        </w:rPr>
        <w:t>：（</w:t>
      </w:r>
      <w:r>
        <w:rPr>
          <w:rFonts w:ascii="宋体" w:hAnsi="宋体" w:cs="宋体"/>
          <w:color w:val="auto"/>
          <w:spacing w:val="13"/>
          <w:sz w:val="24"/>
        </w:rPr>
        <w:t>签名）</w:t>
      </w:r>
    </w:p>
    <w:p w14:paraId="40AFC3BF">
      <w:pPr>
        <w:spacing w:before="116" w:line="219" w:lineRule="auto"/>
        <w:ind w:left="2040"/>
        <w:rPr>
          <w:rFonts w:ascii="宋体" w:hAnsi="宋体" w:cs="宋体"/>
          <w:color w:val="auto"/>
          <w:sz w:val="24"/>
        </w:rPr>
      </w:pPr>
      <w:r>
        <w:rPr>
          <w:rFonts w:ascii="宋体" w:hAnsi="宋体" w:cs="宋体"/>
          <w:color w:val="auto"/>
          <w:spacing w:val="-9"/>
          <w:sz w:val="24"/>
        </w:rPr>
        <w:t>年月日</w:t>
      </w:r>
    </w:p>
    <w:p w14:paraId="15DB7ED6">
      <w:pPr>
        <w:spacing w:before="114" w:line="219" w:lineRule="auto"/>
        <w:rPr>
          <w:rFonts w:ascii="宋体" w:hAnsi="宋体" w:cs="宋体"/>
          <w:color w:val="auto"/>
          <w:sz w:val="24"/>
        </w:rPr>
      </w:pPr>
      <w:r>
        <w:rPr>
          <w:rFonts w:ascii="宋体" w:hAnsi="宋体" w:cs="宋体"/>
          <w:color w:val="auto"/>
          <w:spacing w:val="8"/>
          <w:sz w:val="24"/>
        </w:rPr>
        <w:t>承包人监督单位</w:t>
      </w:r>
      <w:r>
        <w:rPr>
          <w:rFonts w:ascii="宋体" w:hAnsi="宋体" w:cs="宋体"/>
          <w:color w:val="auto"/>
          <w:spacing w:val="-10"/>
          <w:sz w:val="24"/>
        </w:rPr>
        <w:t>：（</w:t>
      </w:r>
      <w:r>
        <w:rPr>
          <w:rFonts w:ascii="宋体" w:hAnsi="宋体" w:cs="宋体"/>
          <w:color w:val="auto"/>
          <w:spacing w:val="8"/>
          <w:sz w:val="24"/>
        </w:rPr>
        <w:t>全称）</w:t>
      </w:r>
    </w:p>
    <w:p w14:paraId="392115C6">
      <w:pPr>
        <w:spacing w:line="219" w:lineRule="auto"/>
        <w:rPr>
          <w:rFonts w:ascii="宋体" w:hAnsi="宋体" w:cs="宋体"/>
          <w:color w:val="auto"/>
          <w:sz w:val="24"/>
        </w:rPr>
        <w:sectPr>
          <w:type w:val="continuous"/>
          <w:pgSz w:w="11907" w:h="16840"/>
          <w:pgMar w:top="1431" w:right="1422" w:bottom="1195" w:left="1652" w:header="0" w:footer="1017" w:gutter="0"/>
          <w:cols w:equalWidth="0" w:num="2">
            <w:col w:w="4346" w:space="100"/>
            <w:col w:w="4387"/>
          </w:cols>
        </w:sectPr>
      </w:pPr>
    </w:p>
    <w:p w14:paraId="2CC1C5AD">
      <w:pPr>
        <w:spacing w:before="113" w:line="184" w:lineRule="auto"/>
        <w:ind w:left="12"/>
        <w:outlineLvl w:val="2"/>
        <w:rPr>
          <w:rFonts w:ascii="宋体" w:hAnsi="宋体" w:cs="宋体"/>
          <w:color w:val="auto"/>
          <w:sz w:val="24"/>
        </w:rPr>
      </w:pPr>
      <w:r>
        <w:rPr>
          <w:rFonts w:ascii="宋体" w:hAnsi="宋体" w:cs="宋体"/>
          <w:color w:val="auto"/>
          <w:spacing w:val="1"/>
          <w:sz w:val="24"/>
        </w:rPr>
        <w:t>（盖单位章</w:t>
      </w:r>
      <w:r>
        <w:rPr>
          <w:rFonts w:ascii="宋体" w:hAnsi="宋体" w:cs="宋体"/>
          <w:color w:val="auto"/>
          <w:spacing w:val="-16"/>
          <w:sz w:val="24"/>
        </w:rPr>
        <w:t>）（</w:t>
      </w:r>
      <w:r>
        <w:rPr>
          <w:rFonts w:ascii="宋体" w:hAnsi="宋体" w:cs="宋体"/>
          <w:color w:val="auto"/>
          <w:spacing w:val="1"/>
          <w:sz w:val="24"/>
        </w:rPr>
        <w:t>盖单位章）</w:t>
      </w:r>
    </w:p>
    <w:p w14:paraId="6C5D333D">
      <w:pPr>
        <w:spacing w:line="184" w:lineRule="auto"/>
        <w:rPr>
          <w:rFonts w:ascii="宋体" w:hAnsi="宋体" w:cs="宋体"/>
          <w:color w:val="auto"/>
          <w:sz w:val="24"/>
        </w:rPr>
        <w:sectPr>
          <w:type w:val="continuous"/>
          <w:pgSz w:w="11907" w:h="16840"/>
          <w:pgMar w:top="1431" w:right="1422" w:bottom="1195" w:left="1652" w:header="0" w:footer="1017" w:gutter="0"/>
          <w:cols w:space="720" w:num="1"/>
        </w:sectPr>
      </w:pPr>
    </w:p>
    <w:p w14:paraId="356CDC5B">
      <w:pPr>
        <w:spacing w:before="191" w:line="219" w:lineRule="auto"/>
        <w:ind w:left="19"/>
        <w:outlineLvl w:val="2"/>
        <w:rPr>
          <w:rFonts w:ascii="宋体" w:hAnsi="宋体" w:cs="宋体"/>
          <w:color w:val="auto"/>
          <w:sz w:val="24"/>
        </w:rPr>
      </w:pPr>
      <w:bookmarkStart w:id="185" w:name="bookmark60"/>
      <w:bookmarkEnd w:id="185"/>
      <w:bookmarkStart w:id="186" w:name="bookmark59"/>
      <w:bookmarkEnd w:id="186"/>
      <w:r>
        <w:rPr>
          <w:rFonts w:ascii="宋体" w:hAnsi="宋体" w:cs="宋体"/>
          <w:b/>
          <w:bCs/>
          <w:color w:val="auto"/>
          <w:spacing w:val="-4"/>
          <w:sz w:val="24"/>
        </w:rPr>
        <w:t>附件二安全生产合同</w:t>
      </w:r>
    </w:p>
    <w:p w14:paraId="0440E9B6">
      <w:pPr>
        <w:spacing w:before="270" w:line="219" w:lineRule="auto"/>
        <w:ind w:left="3862"/>
        <w:rPr>
          <w:rFonts w:ascii="宋体" w:hAnsi="宋体" w:cs="宋体"/>
          <w:color w:val="auto"/>
          <w:sz w:val="24"/>
        </w:rPr>
      </w:pPr>
      <w:r>
        <w:rPr>
          <w:rFonts w:ascii="宋体" w:hAnsi="宋体" w:cs="宋体"/>
          <w:color w:val="auto"/>
          <w:spacing w:val="-3"/>
          <w:sz w:val="24"/>
        </w:rPr>
        <w:t>安全生产合同</w:t>
      </w:r>
    </w:p>
    <w:p w14:paraId="6771345F">
      <w:pPr>
        <w:pStyle w:val="21"/>
        <w:spacing w:line="437" w:lineRule="auto"/>
        <w:rPr>
          <w:color w:val="auto"/>
        </w:rPr>
      </w:pPr>
    </w:p>
    <w:p w14:paraId="10E36971">
      <w:pPr>
        <w:spacing w:before="78" w:line="307" w:lineRule="auto"/>
        <w:ind w:right="87" w:firstLine="483"/>
        <w:rPr>
          <w:rFonts w:ascii="宋体" w:hAnsi="宋体" w:cs="宋体"/>
          <w:color w:val="auto"/>
          <w:sz w:val="24"/>
        </w:rPr>
      </w:pPr>
      <w:r>
        <w:rPr>
          <w:rFonts w:ascii="宋体" w:hAnsi="宋体" w:cs="宋体"/>
          <w:color w:val="auto"/>
          <w:spacing w:val="4"/>
          <w:sz w:val="24"/>
        </w:rPr>
        <w:t>为在</w:t>
      </w:r>
      <w:r>
        <w:rPr>
          <w:rFonts w:hint="eastAsia" w:ascii="宋体" w:hAnsi="宋体" w:cs="宋体"/>
          <w:color w:val="auto"/>
          <w:spacing w:val="4"/>
          <w:sz w:val="24"/>
          <w:u w:val="single"/>
        </w:rPr>
        <w:t>广西壮族自治区钦州钦北公路养护中心2026年普通国省干线公路安全设施精细化提升工程（G210满都拉至防城港K3543+900～K3552+678段）</w:t>
      </w:r>
      <w:r>
        <w:rPr>
          <w:rFonts w:ascii="宋体" w:hAnsi="宋体" w:cs="宋体"/>
          <w:color w:val="auto"/>
          <w:spacing w:val="4"/>
          <w:sz w:val="24"/>
        </w:rPr>
        <w:t>（项目名称）养护合同的实施</w:t>
      </w:r>
      <w:r>
        <w:rPr>
          <w:rFonts w:ascii="宋体" w:hAnsi="宋体" w:cs="宋体"/>
          <w:color w:val="auto"/>
          <w:spacing w:val="3"/>
          <w:sz w:val="24"/>
        </w:rPr>
        <w:t>过程中创造安全、高效的养护作</w:t>
      </w:r>
      <w:r>
        <w:rPr>
          <w:rFonts w:ascii="宋体" w:hAnsi="宋体" w:cs="宋体"/>
          <w:color w:val="auto"/>
          <w:spacing w:val="-2"/>
          <w:sz w:val="24"/>
        </w:rPr>
        <w:t>业环境，切实做好本项目的安全管理工作，本项目发包人</w:t>
      </w:r>
      <w:r>
        <w:rPr>
          <w:rFonts w:hint="eastAsia" w:ascii="宋体" w:hAnsi="宋体" w:cs="宋体"/>
          <w:color w:val="auto"/>
          <w:spacing w:val="-2"/>
          <w:sz w:val="24"/>
          <w:u w:val="single"/>
        </w:rPr>
        <w:t>广西壮族自治区钦州钦北公路养护中心</w:t>
      </w:r>
      <w:r>
        <w:rPr>
          <w:rFonts w:ascii="宋体" w:hAnsi="宋体" w:cs="宋体"/>
          <w:color w:val="auto"/>
          <w:spacing w:val="-2"/>
          <w:sz w:val="24"/>
        </w:rPr>
        <w:t>（发包人名称，</w:t>
      </w:r>
      <w:r>
        <w:rPr>
          <w:rFonts w:ascii="宋体" w:hAnsi="宋体" w:cs="宋体"/>
          <w:color w:val="auto"/>
          <w:spacing w:val="-4"/>
          <w:sz w:val="24"/>
        </w:rPr>
        <w:t>以下简称“发包人”）与承包人（承包人名称，以下简称</w:t>
      </w:r>
      <w:r>
        <w:rPr>
          <w:rFonts w:ascii="宋体" w:hAnsi="宋体" w:cs="宋体"/>
          <w:color w:val="auto"/>
          <w:spacing w:val="-5"/>
          <w:sz w:val="24"/>
        </w:rPr>
        <w:t>“承包人”）特</w:t>
      </w:r>
      <w:r>
        <w:rPr>
          <w:rFonts w:ascii="宋体" w:hAnsi="宋体" w:cs="宋体"/>
          <w:color w:val="auto"/>
          <w:spacing w:val="-1"/>
          <w:sz w:val="24"/>
        </w:rPr>
        <w:t>此签订安全生产合同。</w:t>
      </w:r>
    </w:p>
    <w:p w14:paraId="7C039BC3">
      <w:pPr>
        <w:spacing w:line="220" w:lineRule="auto"/>
        <w:ind w:left="499"/>
        <w:rPr>
          <w:rFonts w:ascii="宋体" w:hAnsi="宋体" w:cs="宋体"/>
          <w:color w:val="auto"/>
          <w:sz w:val="24"/>
        </w:rPr>
      </w:pPr>
      <w:r>
        <w:rPr>
          <w:rFonts w:eastAsia="Times New Roman"/>
          <w:color w:val="auto"/>
          <w:spacing w:val="-5"/>
          <w:sz w:val="24"/>
        </w:rPr>
        <w:t>1.</w:t>
      </w:r>
      <w:r>
        <w:rPr>
          <w:rFonts w:ascii="宋体" w:hAnsi="宋体" w:cs="宋体"/>
          <w:color w:val="auto"/>
          <w:spacing w:val="-5"/>
          <w:sz w:val="24"/>
        </w:rPr>
        <w:t>发包人职责</w:t>
      </w:r>
    </w:p>
    <w:p w14:paraId="4FBDCF20">
      <w:pPr>
        <w:spacing w:before="115" w:line="264" w:lineRule="auto"/>
        <w:ind w:left="4" w:right="112" w:firstLine="487"/>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1</w:t>
      </w:r>
      <w:r>
        <w:rPr>
          <w:rFonts w:ascii="宋体" w:hAnsi="宋体" w:cs="宋体"/>
          <w:color w:val="auto"/>
          <w:spacing w:val="4"/>
          <w:sz w:val="24"/>
        </w:rPr>
        <w:t>）严格遵守国家有关安全生产的法律法规，认真执行养护项目合同中</w:t>
      </w:r>
      <w:r>
        <w:rPr>
          <w:rFonts w:ascii="宋体" w:hAnsi="宋体" w:cs="宋体"/>
          <w:color w:val="auto"/>
          <w:spacing w:val="3"/>
          <w:sz w:val="24"/>
        </w:rPr>
        <w:t>的有</w:t>
      </w:r>
      <w:r>
        <w:rPr>
          <w:rFonts w:ascii="宋体" w:hAnsi="宋体" w:cs="宋体"/>
          <w:color w:val="auto"/>
          <w:spacing w:val="-3"/>
          <w:sz w:val="24"/>
        </w:rPr>
        <w:t>关安全要求。</w:t>
      </w:r>
    </w:p>
    <w:p w14:paraId="3DD5CCF6">
      <w:pPr>
        <w:spacing w:before="110" w:line="283" w:lineRule="auto"/>
        <w:ind w:left="20" w:firstLine="471"/>
        <w:rPr>
          <w:rFonts w:ascii="宋体" w:hAnsi="宋体" w:cs="宋体"/>
          <w:color w:val="auto"/>
          <w:sz w:val="24"/>
        </w:rPr>
      </w:pPr>
      <w:r>
        <w:rPr>
          <w:rFonts w:ascii="宋体" w:hAnsi="宋体" w:cs="宋体"/>
          <w:color w:val="auto"/>
          <w:spacing w:val="5"/>
          <w:sz w:val="24"/>
        </w:rPr>
        <w:t>（</w:t>
      </w:r>
      <w:r>
        <w:rPr>
          <w:rFonts w:eastAsia="Times New Roman"/>
          <w:color w:val="auto"/>
          <w:spacing w:val="5"/>
          <w:sz w:val="24"/>
        </w:rPr>
        <w:t>2</w:t>
      </w:r>
      <w:r>
        <w:rPr>
          <w:rFonts w:ascii="宋体" w:hAnsi="宋体" w:cs="宋体"/>
          <w:color w:val="auto"/>
          <w:spacing w:val="5"/>
          <w:sz w:val="24"/>
        </w:rPr>
        <w:t>）按照“安全第一、预防为主、综合治理”和坚持“管生产必须管安全”</w:t>
      </w:r>
      <w:r>
        <w:rPr>
          <w:rFonts w:ascii="宋体" w:hAnsi="宋体" w:cs="宋体"/>
          <w:color w:val="auto"/>
          <w:sz w:val="24"/>
        </w:rPr>
        <w:t>的原则进行安全生产管理，做到生产与安全工作同时计划、布置、检查、总结和评</w:t>
      </w:r>
      <w:r>
        <w:rPr>
          <w:rFonts w:ascii="宋体" w:hAnsi="宋体" w:cs="宋体"/>
          <w:color w:val="auto"/>
          <w:spacing w:val="-15"/>
          <w:sz w:val="24"/>
        </w:rPr>
        <w:t>比。</w:t>
      </w:r>
    </w:p>
    <w:p w14:paraId="57B53BF5">
      <w:pPr>
        <w:spacing w:before="99" w:line="219" w:lineRule="auto"/>
        <w:ind w:left="492"/>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3</w:t>
      </w:r>
      <w:r>
        <w:rPr>
          <w:rFonts w:ascii="宋体" w:hAnsi="宋体" w:cs="宋体"/>
          <w:color w:val="auto"/>
          <w:spacing w:val="-1"/>
          <w:sz w:val="24"/>
        </w:rPr>
        <w:t>）重要的安全设施必须坚持与养护作业设备同时投入使用。</w:t>
      </w:r>
    </w:p>
    <w:p w14:paraId="7D0F7CCB">
      <w:pPr>
        <w:spacing w:before="115" w:line="219" w:lineRule="auto"/>
        <w:ind w:left="492"/>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4</w:t>
      </w:r>
      <w:r>
        <w:rPr>
          <w:rFonts w:ascii="宋体" w:hAnsi="宋体" w:cs="宋体"/>
          <w:color w:val="auto"/>
          <w:spacing w:val="-1"/>
          <w:sz w:val="24"/>
        </w:rPr>
        <w:t>）定期召开安全生产调度会，及时传达中央及地方有关安全生产的精神。</w:t>
      </w:r>
    </w:p>
    <w:p w14:paraId="2B8CF956">
      <w:pPr>
        <w:spacing w:before="117" w:line="263" w:lineRule="auto"/>
        <w:ind w:left="2" w:right="112" w:firstLine="489"/>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5</w:t>
      </w:r>
      <w:r>
        <w:rPr>
          <w:rFonts w:ascii="宋体" w:hAnsi="宋体" w:cs="宋体"/>
          <w:color w:val="auto"/>
          <w:spacing w:val="4"/>
          <w:sz w:val="24"/>
        </w:rPr>
        <w:t>）组织对承包人养护作业场地进行安全生产检查，监督承包人及时处</w:t>
      </w:r>
      <w:r>
        <w:rPr>
          <w:rFonts w:ascii="宋体" w:hAnsi="宋体" w:cs="宋体"/>
          <w:color w:val="auto"/>
          <w:spacing w:val="3"/>
          <w:sz w:val="24"/>
        </w:rPr>
        <w:t>理发</w:t>
      </w:r>
      <w:r>
        <w:rPr>
          <w:rFonts w:ascii="宋体" w:hAnsi="宋体" w:cs="宋体"/>
          <w:color w:val="auto"/>
          <w:spacing w:val="-2"/>
          <w:sz w:val="24"/>
        </w:rPr>
        <w:t>现的各种安全隐患。</w:t>
      </w:r>
    </w:p>
    <w:p w14:paraId="7D8EFED0">
      <w:pPr>
        <w:spacing w:before="116" w:line="219" w:lineRule="auto"/>
        <w:ind w:left="476"/>
        <w:rPr>
          <w:rFonts w:ascii="宋体" w:hAnsi="宋体" w:cs="宋体"/>
          <w:color w:val="auto"/>
          <w:sz w:val="24"/>
        </w:rPr>
      </w:pPr>
      <w:r>
        <w:rPr>
          <w:rFonts w:eastAsia="Times New Roman"/>
          <w:color w:val="auto"/>
          <w:spacing w:val="-1"/>
          <w:sz w:val="24"/>
        </w:rPr>
        <w:t>2.</w:t>
      </w:r>
      <w:r>
        <w:rPr>
          <w:rFonts w:ascii="宋体" w:hAnsi="宋体" w:cs="宋体"/>
          <w:color w:val="auto"/>
          <w:spacing w:val="-1"/>
          <w:sz w:val="24"/>
        </w:rPr>
        <w:t>承包人职责</w:t>
      </w:r>
    </w:p>
    <w:p w14:paraId="0AFC2111">
      <w:pPr>
        <w:spacing w:before="115" w:line="286" w:lineRule="auto"/>
        <w:ind w:left="1" w:right="112" w:firstLine="490"/>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1</w:t>
      </w:r>
      <w:r>
        <w:rPr>
          <w:rFonts w:ascii="宋体" w:hAnsi="宋体" w:cs="宋体"/>
          <w:color w:val="auto"/>
          <w:spacing w:val="4"/>
          <w:sz w:val="24"/>
        </w:rPr>
        <w:t>）严格遵守《中华人民共和国安全生产法》等国家有关安全生产的法</w:t>
      </w:r>
      <w:r>
        <w:rPr>
          <w:rFonts w:ascii="宋体" w:hAnsi="宋体" w:cs="宋体"/>
          <w:color w:val="auto"/>
          <w:spacing w:val="3"/>
          <w:sz w:val="24"/>
        </w:rPr>
        <w:t>律法</w:t>
      </w:r>
      <w:r>
        <w:rPr>
          <w:rFonts w:ascii="宋体" w:hAnsi="宋体" w:cs="宋体"/>
          <w:color w:val="auto"/>
          <w:spacing w:val="-6"/>
          <w:sz w:val="24"/>
        </w:rPr>
        <w:t>规、《公路水运工程安全生产监督管理办法》、《公路养护安全作业规程》和《公路</w:t>
      </w:r>
      <w:r>
        <w:rPr>
          <w:rFonts w:ascii="宋体" w:hAnsi="宋体" w:cs="宋体"/>
          <w:color w:val="auto"/>
          <w:spacing w:val="1"/>
          <w:sz w:val="24"/>
        </w:rPr>
        <w:t>工程施工安全技术规范》等有关安全生产的规定。认真</w:t>
      </w:r>
      <w:r>
        <w:rPr>
          <w:rFonts w:ascii="宋体" w:hAnsi="宋体" w:cs="宋体"/>
          <w:color w:val="auto"/>
          <w:sz w:val="24"/>
        </w:rPr>
        <w:t>执行养护合同中的有关安全</w:t>
      </w:r>
      <w:r>
        <w:rPr>
          <w:rFonts w:ascii="宋体" w:hAnsi="宋体" w:cs="宋体"/>
          <w:color w:val="auto"/>
          <w:spacing w:val="-4"/>
          <w:sz w:val="24"/>
        </w:rPr>
        <w:t>要求。</w:t>
      </w:r>
    </w:p>
    <w:p w14:paraId="2AC9A388">
      <w:pPr>
        <w:spacing w:before="114" w:line="293" w:lineRule="auto"/>
        <w:ind w:left="1" w:right="112" w:firstLine="490"/>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2</w:t>
      </w:r>
      <w:r>
        <w:rPr>
          <w:rFonts w:ascii="宋体" w:hAnsi="宋体" w:cs="宋体"/>
          <w:color w:val="auto"/>
          <w:spacing w:val="2"/>
          <w:sz w:val="24"/>
        </w:rPr>
        <w:t>）坚持“安全第一、预防为主、综合治理”和“管生产</w:t>
      </w:r>
      <w:r>
        <w:rPr>
          <w:rFonts w:ascii="宋体" w:hAnsi="宋体" w:cs="宋体"/>
          <w:color w:val="auto"/>
          <w:spacing w:val="1"/>
          <w:sz w:val="24"/>
        </w:rPr>
        <w:t>必须管安全”的原则，加强安全生产宣传教育，增强全员安全生产意识，</w:t>
      </w:r>
      <w:r>
        <w:rPr>
          <w:rFonts w:ascii="宋体" w:hAnsi="宋体" w:cs="宋体"/>
          <w:color w:val="auto"/>
          <w:sz w:val="24"/>
        </w:rPr>
        <w:t>建立健全各项安全生产的管</w:t>
      </w:r>
      <w:r>
        <w:rPr>
          <w:rFonts w:ascii="宋体" w:hAnsi="宋体" w:cs="宋体"/>
          <w:color w:val="auto"/>
          <w:spacing w:val="1"/>
          <w:sz w:val="24"/>
        </w:rPr>
        <w:t>理机构和安全生产管理制度，配备专职及兼职安全生产</w:t>
      </w:r>
      <w:r>
        <w:rPr>
          <w:rFonts w:ascii="宋体" w:hAnsi="宋体" w:cs="宋体"/>
          <w:color w:val="auto"/>
          <w:sz w:val="24"/>
        </w:rPr>
        <w:t>检查人员，有组织有领导地</w:t>
      </w:r>
      <w:r>
        <w:rPr>
          <w:rFonts w:ascii="宋体" w:hAnsi="宋体" w:cs="宋体"/>
          <w:color w:val="auto"/>
          <w:spacing w:val="1"/>
          <w:sz w:val="24"/>
        </w:rPr>
        <w:t>开展安全生产活动。各级领导、养护技术人员、生产管</w:t>
      </w:r>
      <w:r>
        <w:rPr>
          <w:rFonts w:ascii="宋体" w:hAnsi="宋体" w:cs="宋体"/>
          <w:color w:val="auto"/>
          <w:sz w:val="24"/>
        </w:rPr>
        <w:t>理人员和具体操作人员，必</w:t>
      </w:r>
      <w:r>
        <w:rPr>
          <w:rFonts w:ascii="宋体" w:hAnsi="宋体" w:cs="宋体"/>
          <w:color w:val="auto"/>
          <w:spacing w:val="1"/>
          <w:sz w:val="24"/>
        </w:rPr>
        <w:t>须熟悉和遵守本合同的各项约定，做到生产与安全工作</w:t>
      </w:r>
      <w:r>
        <w:rPr>
          <w:rFonts w:ascii="宋体" w:hAnsi="宋体" w:cs="宋体"/>
          <w:color w:val="auto"/>
          <w:sz w:val="24"/>
        </w:rPr>
        <w:t>同时计划、布置、检查、总</w:t>
      </w:r>
      <w:r>
        <w:rPr>
          <w:rFonts w:ascii="宋体" w:hAnsi="宋体" w:cs="宋体"/>
          <w:color w:val="auto"/>
          <w:spacing w:val="-3"/>
          <w:sz w:val="24"/>
        </w:rPr>
        <w:t>结和评比。</w:t>
      </w:r>
    </w:p>
    <w:p w14:paraId="05859041">
      <w:pPr>
        <w:spacing w:before="112" w:line="293" w:lineRule="auto"/>
        <w:ind w:right="112" w:firstLine="491"/>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3</w:t>
      </w:r>
      <w:r>
        <w:rPr>
          <w:rFonts w:ascii="宋体" w:hAnsi="宋体" w:cs="宋体"/>
          <w:color w:val="auto"/>
          <w:spacing w:val="4"/>
          <w:sz w:val="24"/>
        </w:rPr>
        <w:t>）建立健全安全生产责任制。从派往项目实施的项目经理到生产工人</w:t>
      </w:r>
      <w:r>
        <w:rPr>
          <w:rFonts w:ascii="宋体" w:hAnsi="宋体" w:cs="宋体"/>
          <w:color w:val="auto"/>
          <w:spacing w:val="3"/>
          <w:sz w:val="24"/>
        </w:rPr>
        <w:t>（包</w:t>
      </w:r>
      <w:r>
        <w:rPr>
          <w:rFonts w:ascii="宋体" w:hAnsi="宋体" w:cs="宋体"/>
          <w:color w:val="auto"/>
          <w:spacing w:val="1"/>
          <w:sz w:val="24"/>
        </w:rPr>
        <w:t>括临时雇请的农民工）的安全生产管理系统必须做到纵向</w:t>
      </w:r>
      <w:r>
        <w:rPr>
          <w:rFonts w:ascii="宋体" w:hAnsi="宋体" w:cs="宋体"/>
          <w:color w:val="auto"/>
          <w:sz w:val="24"/>
        </w:rPr>
        <w:t>到底，一环不漏；各职能</w:t>
      </w:r>
      <w:r>
        <w:rPr>
          <w:rFonts w:ascii="宋体" w:hAnsi="宋体" w:cs="宋体"/>
          <w:color w:val="auto"/>
          <w:spacing w:val="1"/>
          <w:sz w:val="24"/>
        </w:rPr>
        <w:t>部门、人员的安全生产责任制做到横向到边，人人有责。</w:t>
      </w:r>
      <w:r>
        <w:rPr>
          <w:rFonts w:ascii="宋体" w:hAnsi="宋体" w:cs="宋体"/>
          <w:color w:val="auto"/>
          <w:sz w:val="24"/>
        </w:rPr>
        <w:t>项目经理是安全生产的第</w:t>
      </w:r>
      <w:r>
        <w:rPr>
          <w:rFonts w:ascii="宋体" w:hAnsi="宋体" w:cs="宋体"/>
          <w:color w:val="auto"/>
          <w:spacing w:val="1"/>
          <w:sz w:val="24"/>
        </w:rPr>
        <w:t>一责任人。现场设置的安全机构，应按养护合同约定配备</w:t>
      </w:r>
      <w:r>
        <w:rPr>
          <w:rFonts w:ascii="宋体" w:hAnsi="宋体" w:cs="宋体"/>
          <w:color w:val="auto"/>
          <w:sz w:val="24"/>
        </w:rPr>
        <w:t>专职安全生产管理人员，</w:t>
      </w:r>
      <w:r>
        <w:rPr>
          <w:rFonts w:ascii="宋体" w:hAnsi="宋体" w:cs="宋体"/>
          <w:color w:val="auto"/>
          <w:spacing w:val="1"/>
          <w:sz w:val="24"/>
        </w:rPr>
        <w:t>专职负责所有员工的安全和治安保卫工作及预防事故的发</w:t>
      </w:r>
      <w:r>
        <w:rPr>
          <w:rFonts w:ascii="宋体" w:hAnsi="宋体" w:cs="宋体"/>
          <w:color w:val="auto"/>
          <w:sz w:val="24"/>
        </w:rPr>
        <w:t>生。安全机构人员有权按</w:t>
      </w:r>
      <w:r>
        <w:rPr>
          <w:rFonts w:ascii="宋体" w:hAnsi="宋体" w:cs="宋体"/>
          <w:color w:val="auto"/>
          <w:spacing w:val="-1"/>
          <w:sz w:val="24"/>
        </w:rPr>
        <w:t>有关规定发布指令，并采取保护性措施防止事故发生。</w:t>
      </w:r>
    </w:p>
    <w:p w14:paraId="537F838A">
      <w:pPr>
        <w:spacing w:line="293" w:lineRule="auto"/>
        <w:rPr>
          <w:rFonts w:ascii="宋体" w:hAnsi="宋体" w:cs="宋体"/>
          <w:color w:val="auto"/>
          <w:sz w:val="24"/>
        </w:rPr>
        <w:sectPr>
          <w:footerReference r:id="rId13" w:type="default"/>
          <w:pgSz w:w="11907" w:h="16840"/>
          <w:pgMar w:top="1431" w:right="1474" w:bottom="1195" w:left="1652" w:header="0" w:footer="1017" w:gutter="0"/>
          <w:cols w:space="720" w:num="1"/>
        </w:sectPr>
      </w:pPr>
    </w:p>
    <w:p w14:paraId="3B92DCAF">
      <w:pPr>
        <w:spacing w:before="282" w:line="263" w:lineRule="auto"/>
        <w:ind w:right="145" w:firstLine="491"/>
        <w:rPr>
          <w:rFonts w:ascii="宋体" w:hAnsi="宋体" w:cs="宋体"/>
          <w:color w:val="auto"/>
          <w:sz w:val="24"/>
        </w:rPr>
      </w:pPr>
      <w:bookmarkStart w:id="187" w:name="bookmark233"/>
      <w:bookmarkEnd w:id="187"/>
      <w:r>
        <w:rPr>
          <w:rFonts w:ascii="宋体" w:hAnsi="宋体" w:cs="宋体"/>
          <w:color w:val="auto"/>
          <w:spacing w:val="4"/>
          <w:sz w:val="24"/>
        </w:rPr>
        <w:t>（</w:t>
      </w:r>
      <w:r>
        <w:rPr>
          <w:rFonts w:eastAsia="Times New Roman"/>
          <w:color w:val="auto"/>
          <w:spacing w:val="4"/>
          <w:sz w:val="24"/>
        </w:rPr>
        <w:t>4</w:t>
      </w:r>
      <w:r>
        <w:rPr>
          <w:rFonts w:ascii="宋体" w:hAnsi="宋体" w:cs="宋体"/>
          <w:color w:val="auto"/>
          <w:spacing w:val="4"/>
          <w:sz w:val="24"/>
        </w:rPr>
        <w:t>）承包人在任何时候都应采取各种合理的预防措施，防止其员工发生</w:t>
      </w:r>
      <w:r>
        <w:rPr>
          <w:rFonts w:ascii="宋体" w:hAnsi="宋体" w:cs="宋体"/>
          <w:color w:val="auto"/>
          <w:spacing w:val="3"/>
          <w:sz w:val="24"/>
        </w:rPr>
        <w:t>任何</w:t>
      </w:r>
      <w:r>
        <w:rPr>
          <w:rFonts w:ascii="宋体" w:hAnsi="宋体" w:cs="宋体"/>
          <w:color w:val="auto"/>
          <w:spacing w:val="-1"/>
          <w:sz w:val="24"/>
        </w:rPr>
        <w:t>违法、违禁、暴力或妨碍治安的行为。</w:t>
      </w:r>
    </w:p>
    <w:p w14:paraId="165A787A">
      <w:pPr>
        <w:spacing w:before="115" w:line="293" w:lineRule="auto"/>
        <w:ind w:right="145" w:firstLine="492"/>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5</w:t>
      </w:r>
      <w:r>
        <w:rPr>
          <w:rFonts w:ascii="宋体" w:hAnsi="宋体" w:cs="宋体"/>
          <w:color w:val="auto"/>
          <w:spacing w:val="4"/>
          <w:sz w:val="24"/>
        </w:rPr>
        <w:t>）承包人参加养护作业实施的人员，必须接受安全技术教育，熟知和</w:t>
      </w:r>
      <w:r>
        <w:rPr>
          <w:rFonts w:ascii="宋体" w:hAnsi="宋体" w:cs="宋体"/>
          <w:color w:val="auto"/>
          <w:spacing w:val="3"/>
          <w:sz w:val="24"/>
        </w:rPr>
        <w:t>遵守</w:t>
      </w:r>
      <w:r>
        <w:rPr>
          <w:rFonts w:ascii="宋体" w:hAnsi="宋体" w:cs="宋体"/>
          <w:color w:val="auto"/>
          <w:spacing w:val="1"/>
          <w:sz w:val="24"/>
        </w:rPr>
        <w:t>本工种的各项安全技术操作规程，定期进行安全技术考核，</w:t>
      </w:r>
      <w:r>
        <w:rPr>
          <w:rFonts w:ascii="宋体" w:hAnsi="宋体" w:cs="宋体"/>
          <w:color w:val="auto"/>
          <w:sz w:val="24"/>
        </w:rPr>
        <w:t>合格者方准上岗操作。</w:t>
      </w:r>
      <w:r>
        <w:rPr>
          <w:rFonts w:ascii="宋体" w:hAnsi="宋体" w:cs="宋体"/>
          <w:color w:val="auto"/>
          <w:spacing w:val="1"/>
          <w:sz w:val="24"/>
        </w:rPr>
        <w:t>对于从事电气、起重、建筑登高架设作业、锅炉、压力容器</w:t>
      </w:r>
      <w:r>
        <w:rPr>
          <w:rFonts w:ascii="宋体" w:hAnsi="宋体" w:cs="宋体"/>
          <w:color w:val="auto"/>
          <w:sz w:val="24"/>
        </w:rPr>
        <w:t>、焊接、机动车船艇驾</w:t>
      </w:r>
      <w:r>
        <w:rPr>
          <w:rFonts w:ascii="宋体" w:hAnsi="宋体" w:cs="宋体"/>
          <w:color w:val="auto"/>
          <w:spacing w:val="1"/>
          <w:sz w:val="24"/>
        </w:rPr>
        <w:t>驶、爆破、潜水、瓦斯检验等特殊工种的人员，经过专业培</w:t>
      </w:r>
      <w:r>
        <w:rPr>
          <w:rFonts w:ascii="宋体" w:hAnsi="宋体" w:cs="宋体"/>
          <w:color w:val="auto"/>
          <w:sz w:val="24"/>
        </w:rPr>
        <w:t>训，获得《安全操作合</w:t>
      </w:r>
      <w:r>
        <w:rPr>
          <w:rFonts w:ascii="宋体" w:hAnsi="宋体" w:cs="宋体"/>
          <w:color w:val="auto"/>
          <w:spacing w:val="1"/>
          <w:sz w:val="24"/>
        </w:rPr>
        <w:t>格证》后，方准持证上岗。养护作业场地如出现特种作业无</w:t>
      </w:r>
      <w:r>
        <w:rPr>
          <w:rFonts w:ascii="宋体" w:hAnsi="宋体" w:cs="宋体"/>
          <w:color w:val="auto"/>
          <w:sz w:val="24"/>
        </w:rPr>
        <w:t>证操作现象时，项目经</w:t>
      </w:r>
      <w:r>
        <w:rPr>
          <w:rFonts w:ascii="宋体" w:hAnsi="宋体" w:cs="宋体"/>
          <w:color w:val="auto"/>
          <w:spacing w:val="-1"/>
          <w:sz w:val="24"/>
        </w:rPr>
        <w:t>理必须承担管理责任。</w:t>
      </w:r>
    </w:p>
    <w:p w14:paraId="6CC0BB02">
      <w:pPr>
        <w:spacing w:before="113" w:line="278" w:lineRule="auto"/>
        <w:ind w:right="145" w:firstLine="492"/>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6</w:t>
      </w:r>
      <w:r>
        <w:rPr>
          <w:rFonts w:ascii="宋体" w:hAnsi="宋体" w:cs="宋体"/>
          <w:color w:val="auto"/>
          <w:spacing w:val="4"/>
          <w:sz w:val="24"/>
        </w:rPr>
        <w:t>）对于易燃易爆的材料除应专门妥善保管之外，还应配备有足够的消</w:t>
      </w:r>
      <w:r>
        <w:rPr>
          <w:rFonts w:ascii="宋体" w:hAnsi="宋体" w:cs="宋体"/>
          <w:color w:val="auto"/>
          <w:spacing w:val="3"/>
          <w:sz w:val="24"/>
        </w:rPr>
        <w:t>防设</w:t>
      </w:r>
      <w:r>
        <w:rPr>
          <w:rFonts w:ascii="宋体" w:hAnsi="宋体" w:cs="宋体"/>
          <w:color w:val="auto"/>
          <w:spacing w:val="1"/>
          <w:sz w:val="24"/>
        </w:rPr>
        <w:t>施，所有养护人员都应熟悉消防设备的性能和使用方法；承</w:t>
      </w:r>
      <w:r>
        <w:rPr>
          <w:rFonts w:ascii="宋体" w:hAnsi="宋体" w:cs="宋体"/>
          <w:color w:val="auto"/>
          <w:sz w:val="24"/>
        </w:rPr>
        <w:t>包人不得将任何种类的爆炸物给予、易货或以其他方式转让给任何其他人，或允许</w:t>
      </w:r>
      <w:r>
        <w:rPr>
          <w:rFonts w:ascii="宋体" w:hAnsi="宋体" w:cs="宋体"/>
          <w:color w:val="auto"/>
          <w:spacing w:val="-1"/>
          <w:sz w:val="24"/>
        </w:rPr>
        <w:t>、容忍上述同样行为。</w:t>
      </w:r>
    </w:p>
    <w:p w14:paraId="41614CC6">
      <w:pPr>
        <w:spacing w:before="114" w:line="264" w:lineRule="auto"/>
        <w:ind w:left="10" w:right="145" w:firstLine="482"/>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7</w:t>
      </w:r>
      <w:r>
        <w:rPr>
          <w:rFonts w:ascii="宋体" w:hAnsi="宋体" w:cs="宋体"/>
          <w:color w:val="auto"/>
          <w:spacing w:val="4"/>
          <w:sz w:val="24"/>
        </w:rPr>
        <w:t>）操作人员上岗，必须按规定穿戴防护用品。养护项目负责人和安全</w:t>
      </w:r>
      <w:r>
        <w:rPr>
          <w:rFonts w:ascii="宋体" w:hAnsi="宋体" w:cs="宋体"/>
          <w:color w:val="auto"/>
          <w:spacing w:val="3"/>
          <w:sz w:val="24"/>
        </w:rPr>
        <w:t>检查</w:t>
      </w:r>
      <w:r>
        <w:rPr>
          <w:rFonts w:ascii="宋体" w:hAnsi="宋体" w:cs="宋体"/>
          <w:color w:val="auto"/>
          <w:spacing w:val="-1"/>
          <w:sz w:val="24"/>
        </w:rPr>
        <w:t>员应随时检查劳动防护用品的穿戴情况，不按规定穿戴防护用品的人员不得上岗。</w:t>
      </w:r>
    </w:p>
    <w:p w14:paraId="68C0AC08">
      <w:pPr>
        <w:spacing w:before="114" w:line="279" w:lineRule="auto"/>
        <w:ind w:right="145" w:firstLine="491"/>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8</w:t>
      </w:r>
      <w:r>
        <w:rPr>
          <w:rFonts w:ascii="宋体" w:hAnsi="宋体" w:cs="宋体"/>
          <w:color w:val="auto"/>
          <w:spacing w:val="4"/>
          <w:sz w:val="24"/>
        </w:rPr>
        <w:t>）所有养护作业机具设备和高空作业的设备均应定期检查，并有安全</w:t>
      </w:r>
      <w:r>
        <w:rPr>
          <w:rFonts w:ascii="宋体" w:hAnsi="宋体" w:cs="宋体"/>
          <w:color w:val="auto"/>
          <w:spacing w:val="3"/>
          <w:sz w:val="24"/>
        </w:rPr>
        <w:t>员的</w:t>
      </w:r>
      <w:r>
        <w:rPr>
          <w:rFonts w:ascii="宋体" w:hAnsi="宋体" w:cs="宋体"/>
          <w:color w:val="auto"/>
          <w:spacing w:val="1"/>
          <w:sz w:val="24"/>
        </w:rPr>
        <w:t>签字记录，保证其经常处于完好状态；不合格的机具、设</w:t>
      </w:r>
      <w:r>
        <w:rPr>
          <w:rFonts w:ascii="宋体" w:hAnsi="宋体" w:cs="宋体"/>
          <w:color w:val="auto"/>
          <w:sz w:val="24"/>
        </w:rPr>
        <w:t>备和劳动保护用品严禁使</w:t>
      </w:r>
      <w:r>
        <w:rPr>
          <w:rFonts w:ascii="宋体" w:hAnsi="宋体" w:cs="宋体"/>
          <w:color w:val="auto"/>
          <w:spacing w:val="-5"/>
          <w:sz w:val="24"/>
        </w:rPr>
        <w:t>用。</w:t>
      </w:r>
    </w:p>
    <w:p w14:paraId="6D6C260F">
      <w:pPr>
        <w:spacing w:before="113" w:line="263" w:lineRule="auto"/>
        <w:ind w:left="6" w:right="145" w:firstLine="485"/>
        <w:rPr>
          <w:rFonts w:ascii="宋体" w:hAnsi="宋体" w:cs="宋体"/>
          <w:color w:val="auto"/>
          <w:sz w:val="24"/>
        </w:rPr>
      </w:pPr>
      <w:r>
        <w:rPr>
          <w:rFonts w:ascii="宋体" w:hAnsi="宋体" w:cs="宋体"/>
          <w:color w:val="auto"/>
          <w:spacing w:val="4"/>
          <w:sz w:val="24"/>
        </w:rPr>
        <w:t>（</w:t>
      </w:r>
      <w:r>
        <w:rPr>
          <w:rFonts w:eastAsia="Times New Roman"/>
          <w:color w:val="auto"/>
          <w:spacing w:val="4"/>
          <w:sz w:val="24"/>
        </w:rPr>
        <w:t>9</w:t>
      </w:r>
      <w:r>
        <w:rPr>
          <w:rFonts w:ascii="宋体" w:hAnsi="宋体" w:cs="宋体"/>
          <w:color w:val="auto"/>
          <w:spacing w:val="4"/>
          <w:sz w:val="24"/>
        </w:rPr>
        <w:t>）养护作业实施过程中采用新技术、新工艺、新设备、新材料时，必</w:t>
      </w:r>
      <w:r>
        <w:rPr>
          <w:rFonts w:ascii="宋体" w:hAnsi="宋体" w:cs="宋体"/>
          <w:color w:val="auto"/>
          <w:spacing w:val="3"/>
          <w:sz w:val="24"/>
        </w:rPr>
        <w:t>须制</w:t>
      </w:r>
      <w:r>
        <w:rPr>
          <w:rFonts w:ascii="宋体" w:hAnsi="宋体" w:cs="宋体"/>
          <w:color w:val="auto"/>
          <w:spacing w:val="-1"/>
          <w:sz w:val="24"/>
        </w:rPr>
        <w:t>定相应的安全技术措施，养护作业场地必须具有相关的安全标志牌。</w:t>
      </w:r>
    </w:p>
    <w:p w14:paraId="22E2C955">
      <w:pPr>
        <w:spacing w:before="118" w:line="285" w:lineRule="auto"/>
        <w:ind w:firstLine="491"/>
        <w:rPr>
          <w:rFonts w:ascii="宋体" w:hAnsi="宋体" w:cs="宋体"/>
          <w:color w:val="auto"/>
          <w:sz w:val="24"/>
        </w:rPr>
      </w:pPr>
      <w:r>
        <w:rPr>
          <w:rFonts w:ascii="宋体" w:hAnsi="宋体" w:cs="宋体"/>
          <w:color w:val="auto"/>
          <w:sz w:val="24"/>
        </w:rPr>
        <w:t>（</w:t>
      </w:r>
      <w:r>
        <w:rPr>
          <w:rFonts w:eastAsia="Times New Roman"/>
          <w:color w:val="auto"/>
          <w:sz w:val="24"/>
        </w:rPr>
        <w:t>10</w:t>
      </w:r>
      <w:r>
        <w:rPr>
          <w:rFonts w:ascii="宋体" w:hAnsi="宋体" w:cs="宋体"/>
          <w:color w:val="auto"/>
          <w:sz w:val="24"/>
        </w:rPr>
        <w:t>）承包人必须按照养护项目特点，组织制定养护项目实施中的生产安全事</w:t>
      </w:r>
      <w:r>
        <w:rPr>
          <w:rFonts w:ascii="宋体" w:hAnsi="宋体" w:cs="宋体"/>
          <w:color w:val="auto"/>
          <w:spacing w:val="1"/>
          <w:sz w:val="24"/>
        </w:rPr>
        <w:t>故应急救援预案；如果发生安全事故，应按照《国务院关</w:t>
      </w:r>
      <w:r>
        <w:rPr>
          <w:rFonts w:ascii="宋体" w:hAnsi="宋体" w:cs="宋体"/>
          <w:color w:val="auto"/>
          <w:sz w:val="24"/>
        </w:rPr>
        <w:t>于特大安全事故行政责任</w:t>
      </w:r>
      <w:r>
        <w:rPr>
          <w:rFonts w:ascii="宋体" w:hAnsi="宋体" w:cs="宋体"/>
          <w:color w:val="auto"/>
          <w:spacing w:val="-4"/>
          <w:sz w:val="24"/>
        </w:rPr>
        <w:t>追究的规定》以及其他有关规定，及时上报有关部门，并坚持“四不放过”的原则，</w:t>
      </w:r>
      <w:r>
        <w:rPr>
          <w:rFonts w:ascii="宋体" w:hAnsi="宋体" w:cs="宋体"/>
          <w:color w:val="auto"/>
          <w:spacing w:val="-1"/>
          <w:sz w:val="24"/>
        </w:rPr>
        <w:t>严肃处理相关责任人。</w:t>
      </w:r>
    </w:p>
    <w:p w14:paraId="7B8D455A">
      <w:pPr>
        <w:spacing w:before="116" w:line="290" w:lineRule="auto"/>
        <w:ind w:left="3" w:right="145" w:firstLine="488"/>
        <w:rPr>
          <w:rFonts w:ascii="宋体" w:hAnsi="宋体" w:cs="宋体"/>
          <w:color w:val="auto"/>
          <w:sz w:val="24"/>
        </w:rPr>
      </w:pPr>
      <w:r>
        <w:rPr>
          <w:rFonts w:ascii="宋体" w:hAnsi="宋体" w:cs="宋体"/>
          <w:color w:val="auto"/>
          <w:sz w:val="24"/>
        </w:rPr>
        <w:t>（</w:t>
      </w:r>
      <w:r>
        <w:rPr>
          <w:rFonts w:eastAsia="Times New Roman"/>
          <w:color w:val="auto"/>
          <w:sz w:val="24"/>
        </w:rPr>
        <w:t>11</w:t>
      </w:r>
      <w:r>
        <w:rPr>
          <w:rFonts w:ascii="宋体" w:hAnsi="宋体" w:cs="宋体"/>
          <w:color w:val="auto"/>
          <w:sz w:val="24"/>
        </w:rPr>
        <w:t>）承包人应办理通车路段作业的有关许可手续，并服从和配合路政与交管</w:t>
      </w:r>
      <w:r>
        <w:rPr>
          <w:rFonts w:ascii="宋体" w:hAnsi="宋体" w:cs="宋体"/>
          <w:color w:val="auto"/>
          <w:spacing w:val="1"/>
          <w:sz w:val="24"/>
        </w:rPr>
        <w:t>部门的统一监管。承包人应按发包人及有关行政主</w:t>
      </w:r>
      <w:r>
        <w:rPr>
          <w:rFonts w:ascii="宋体" w:hAnsi="宋体" w:cs="宋体"/>
          <w:color w:val="auto"/>
          <w:sz w:val="24"/>
        </w:rPr>
        <w:t>管部门批准的交通组织方案设置</w:t>
      </w:r>
      <w:r>
        <w:rPr>
          <w:rFonts w:ascii="宋体" w:hAnsi="宋体" w:cs="宋体"/>
          <w:color w:val="auto"/>
          <w:spacing w:val="1"/>
          <w:sz w:val="24"/>
        </w:rPr>
        <w:t>交通安全标志、标牌、护栏、隔离等交通安全防护</w:t>
      </w:r>
      <w:r>
        <w:rPr>
          <w:rFonts w:ascii="宋体" w:hAnsi="宋体" w:cs="宋体"/>
          <w:color w:val="auto"/>
          <w:sz w:val="24"/>
        </w:rPr>
        <w:t>设施，在执行过程中，应按照执</w:t>
      </w:r>
      <w:r>
        <w:rPr>
          <w:rFonts w:ascii="宋体" w:hAnsi="宋体" w:cs="宋体"/>
          <w:color w:val="auto"/>
          <w:spacing w:val="1"/>
          <w:sz w:val="24"/>
        </w:rPr>
        <w:t>行效果实时作出调整，安排应急处理设备或设施，</w:t>
      </w:r>
      <w:r>
        <w:rPr>
          <w:rFonts w:ascii="宋体" w:hAnsi="宋体" w:cs="宋体"/>
          <w:color w:val="auto"/>
          <w:sz w:val="24"/>
        </w:rPr>
        <w:t>确保其他影响道路的信息准确、</w:t>
      </w:r>
      <w:r>
        <w:rPr>
          <w:rFonts w:ascii="宋体" w:hAnsi="宋体" w:cs="宋体"/>
          <w:color w:val="auto"/>
          <w:spacing w:val="-3"/>
          <w:sz w:val="24"/>
        </w:rPr>
        <w:t>安全畅通。</w:t>
      </w:r>
    </w:p>
    <w:p w14:paraId="64EE24E2">
      <w:pPr>
        <w:spacing w:before="114" w:line="264" w:lineRule="auto"/>
        <w:ind w:left="1" w:right="145" w:firstLine="490"/>
        <w:rPr>
          <w:rFonts w:ascii="宋体" w:hAnsi="宋体" w:cs="宋体"/>
          <w:color w:val="auto"/>
          <w:sz w:val="24"/>
        </w:rPr>
      </w:pPr>
      <w:r>
        <w:rPr>
          <w:rFonts w:ascii="宋体" w:hAnsi="宋体" w:cs="宋体"/>
          <w:color w:val="auto"/>
          <w:sz w:val="24"/>
        </w:rPr>
        <w:t>（</w:t>
      </w:r>
      <w:r>
        <w:rPr>
          <w:rFonts w:eastAsia="Times New Roman"/>
          <w:color w:val="auto"/>
          <w:sz w:val="24"/>
        </w:rPr>
        <w:t>12</w:t>
      </w:r>
      <w:r>
        <w:rPr>
          <w:rFonts w:ascii="宋体" w:hAnsi="宋体" w:cs="宋体"/>
          <w:color w:val="auto"/>
          <w:sz w:val="24"/>
        </w:rPr>
        <w:t>）安全生产费用参照《公路水运工程安全生产监督管理办法》的相关规定</w:t>
      </w:r>
      <w:r>
        <w:rPr>
          <w:rFonts w:ascii="宋体" w:hAnsi="宋体" w:cs="宋体"/>
          <w:color w:val="auto"/>
          <w:spacing w:val="-2"/>
          <w:sz w:val="24"/>
        </w:rPr>
        <w:t>使用和管理。</w:t>
      </w:r>
    </w:p>
    <w:p w14:paraId="5FD3CD08">
      <w:pPr>
        <w:spacing w:before="114" w:line="219" w:lineRule="auto"/>
        <w:ind w:left="481"/>
        <w:rPr>
          <w:rFonts w:ascii="宋体" w:hAnsi="宋体" w:cs="宋体"/>
          <w:color w:val="auto"/>
          <w:sz w:val="24"/>
        </w:rPr>
      </w:pPr>
      <w:r>
        <w:rPr>
          <w:rFonts w:eastAsia="Times New Roman"/>
          <w:color w:val="auto"/>
          <w:spacing w:val="-2"/>
          <w:sz w:val="24"/>
        </w:rPr>
        <w:t>3.</w:t>
      </w:r>
      <w:r>
        <w:rPr>
          <w:rFonts w:ascii="宋体" w:hAnsi="宋体" w:cs="宋体"/>
          <w:color w:val="auto"/>
          <w:spacing w:val="-2"/>
          <w:sz w:val="24"/>
        </w:rPr>
        <w:t>违约责任</w:t>
      </w:r>
    </w:p>
    <w:p w14:paraId="33B28883">
      <w:pPr>
        <w:spacing w:before="117" w:line="307" w:lineRule="auto"/>
        <w:ind w:left="12" w:right="145" w:firstLine="472"/>
        <w:rPr>
          <w:rFonts w:ascii="宋体" w:hAnsi="宋体" w:cs="宋体"/>
          <w:color w:val="auto"/>
          <w:sz w:val="24"/>
        </w:rPr>
      </w:pPr>
      <w:r>
        <w:rPr>
          <w:rFonts w:ascii="宋体" w:hAnsi="宋体" w:cs="宋体"/>
          <w:color w:val="auto"/>
          <w:spacing w:val="1"/>
          <w:sz w:val="24"/>
        </w:rPr>
        <w:t>如因发包人或承包人违约造成安全事故，应赔偿</w:t>
      </w:r>
      <w:r>
        <w:rPr>
          <w:rFonts w:ascii="宋体" w:hAnsi="宋体" w:cs="宋体"/>
          <w:color w:val="auto"/>
          <w:sz w:val="24"/>
        </w:rPr>
        <w:t>对方受到的全部损失并依法追</w:t>
      </w:r>
      <w:r>
        <w:rPr>
          <w:rFonts w:ascii="宋体" w:hAnsi="宋体" w:cs="宋体"/>
          <w:color w:val="auto"/>
          <w:spacing w:val="-6"/>
          <w:sz w:val="24"/>
        </w:rPr>
        <w:t>究责任。</w:t>
      </w:r>
    </w:p>
    <w:p w14:paraId="34D17862">
      <w:pPr>
        <w:spacing w:before="1" w:line="218" w:lineRule="auto"/>
        <w:ind w:left="475"/>
        <w:rPr>
          <w:rFonts w:ascii="宋体" w:hAnsi="宋体" w:cs="宋体"/>
          <w:color w:val="auto"/>
          <w:sz w:val="24"/>
        </w:rPr>
      </w:pPr>
      <w:r>
        <w:rPr>
          <w:rFonts w:eastAsia="Times New Roman"/>
          <w:color w:val="auto"/>
          <w:sz w:val="24"/>
        </w:rPr>
        <w:t xml:space="preserve">4. </w:t>
      </w:r>
      <w:r>
        <w:rPr>
          <w:rFonts w:ascii="宋体" w:hAnsi="宋体" w:cs="宋体"/>
          <w:color w:val="auto"/>
          <w:sz w:val="24"/>
        </w:rPr>
        <w:t>本合同由双方法定代表人或其授权的代理人签名并加盖单位</w:t>
      </w:r>
      <w:r>
        <w:rPr>
          <w:rFonts w:ascii="宋体" w:hAnsi="宋体" w:cs="宋体"/>
          <w:color w:val="auto"/>
          <w:spacing w:val="-1"/>
          <w:sz w:val="24"/>
        </w:rPr>
        <w:t>章后生效。</w:t>
      </w:r>
    </w:p>
    <w:p w14:paraId="58047252">
      <w:pPr>
        <w:spacing w:before="116" w:line="290" w:lineRule="auto"/>
        <w:ind w:left="3" w:right="145" w:firstLine="488"/>
        <w:rPr>
          <w:rFonts w:ascii="宋体" w:hAnsi="宋体" w:cs="宋体"/>
          <w:color w:val="auto"/>
          <w:sz w:val="24"/>
        </w:rPr>
      </w:pPr>
      <w:r>
        <w:rPr>
          <w:rFonts w:hint="eastAsia"/>
          <w:color w:val="auto"/>
          <w:sz w:val="24"/>
        </w:rPr>
        <w:t>5</w:t>
      </w:r>
      <w:r>
        <w:rPr>
          <w:rFonts w:eastAsia="Times New Roman"/>
          <w:color w:val="auto"/>
          <w:sz w:val="24"/>
        </w:rPr>
        <w:t xml:space="preserve">. </w:t>
      </w:r>
      <w:r>
        <w:rPr>
          <w:rFonts w:hint="eastAsia" w:ascii="宋体" w:hAnsi="宋体" w:cs="宋体"/>
          <w:color w:val="auto"/>
          <w:sz w:val="24"/>
        </w:rPr>
        <w:t>本协议书一式</w:t>
      </w:r>
      <w:r>
        <w:rPr>
          <w:rFonts w:hint="eastAsia" w:ascii="宋体" w:hAnsi="宋体" w:cs="宋体"/>
          <w:color w:val="auto"/>
          <w:sz w:val="24"/>
          <w:u w:val="single"/>
        </w:rPr>
        <w:t>陆</w:t>
      </w:r>
      <w:r>
        <w:rPr>
          <w:rFonts w:hint="eastAsia" w:ascii="宋体" w:hAnsi="宋体" w:cs="宋体"/>
          <w:color w:val="auto"/>
          <w:sz w:val="24"/>
        </w:rPr>
        <w:t>份，甲方执</w:t>
      </w:r>
      <w:r>
        <w:rPr>
          <w:rFonts w:hint="eastAsia" w:ascii="宋体" w:hAnsi="宋体" w:cs="宋体"/>
          <w:color w:val="auto"/>
          <w:sz w:val="24"/>
          <w:u w:val="single"/>
        </w:rPr>
        <w:t>肆</w:t>
      </w:r>
      <w:r>
        <w:rPr>
          <w:rFonts w:hint="eastAsia" w:ascii="宋体" w:hAnsi="宋体" w:cs="宋体"/>
          <w:color w:val="auto"/>
          <w:sz w:val="24"/>
        </w:rPr>
        <w:t>份，乙方执</w:t>
      </w:r>
      <w:r>
        <w:rPr>
          <w:rFonts w:hint="eastAsia" w:ascii="宋体" w:hAnsi="宋体" w:cs="宋体"/>
          <w:color w:val="auto"/>
          <w:sz w:val="24"/>
          <w:u w:val="single"/>
        </w:rPr>
        <w:t>贰</w:t>
      </w:r>
      <w:r>
        <w:rPr>
          <w:rFonts w:hint="eastAsia" w:ascii="宋体" w:hAnsi="宋体" w:cs="宋体"/>
          <w:color w:val="auto"/>
          <w:sz w:val="24"/>
        </w:rPr>
        <w:t>份，具有同等法律效力</w:t>
      </w:r>
      <w:r>
        <w:rPr>
          <w:rFonts w:ascii="宋体" w:hAnsi="宋体" w:cs="宋体"/>
          <w:color w:val="auto"/>
          <w:sz w:val="24"/>
        </w:rPr>
        <w:t>。</w:t>
      </w:r>
    </w:p>
    <w:p w14:paraId="52081D09">
      <w:pPr>
        <w:rPr>
          <w:color w:val="auto"/>
        </w:rPr>
        <w:sectPr>
          <w:footerReference r:id="rId14" w:type="default"/>
          <w:pgSz w:w="11907" w:h="16840"/>
          <w:pgMar w:top="1431" w:right="1586" w:bottom="1195" w:left="1654" w:header="0" w:footer="1017" w:gutter="0"/>
          <w:cols w:space="720" w:num="1"/>
        </w:sectPr>
      </w:pPr>
    </w:p>
    <w:p w14:paraId="33453EF6">
      <w:pPr>
        <w:spacing w:before="48" w:line="308" w:lineRule="auto"/>
        <w:ind w:right="175" w:firstLine="2"/>
        <w:rPr>
          <w:rFonts w:ascii="宋体" w:hAnsi="宋体" w:cs="宋体"/>
          <w:color w:val="auto"/>
          <w:sz w:val="24"/>
        </w:rPr>
      </w:pPr>
      <w:r>
        <w:rPr>
          <w:rFonts w:ascii="宋体" w:hAnsi="宋体" w:cs="宋体"/>
          <w:color w:val="auto"/>
          <w:sz w:val="24"/>
        </w:rPr>
        <w:t>发包人</w:t>
      </w:r>
      <w:r>
        <w:rPr>
          <w:rFonts w:ascii="宋体" w:hAnsi="宋体" w:cs="宋体"/>
          <w:color w:val="auto"/>
          <w:spacing w:val="-18"/>
          <w:sz w:val="24"/>
        </w:rPr>
        <w:t>：</w:t>
      </w:r>
      <w:r>
        <w:rPr>
          <w:rFonts w:hint="eastAsia" w:ascii="宋体" w:hAnsi="宋体" w:cs="宋体"/>
          <w:color w:val="auto"/>
          <w:sz w:val="24"/>
          <w:u w:val="single"/>
        </w:rPr>
        <w:t>广西壮族自治区钦州钦北公路养护中心</w:t>
      </w:r>
      <w:r>
        <w:rPr>
          <w:rFonts w:ascii="宋体" w:hAnsi="宋体" w:cs="宋体"/>
          <w:color w:val="auto"/>
          <w:spacing w:val="-18"/>
          <w:sz w:val="24"/>
        </w:rPr>
        <w:t>（</w:t>
      </w:r>
      <w:r>
        <w:rPr>
          <w:rFonts w:ascii="宋体" w:hAnsi="宋体" w:cs="宋体"/>
          <w:color w:val="auto"/>
          <w:sz w:val="24"/>
        </w:rPr>
        <w:t>盖单位章）</w:t>
      </w:r>
    </w:p>
    <w:p w14:paraId="7FB17630">
      <w:pPr>
        <w:spacing w:before="48" w:line="308" w:lineRule="auto"/>
        <w:ind w:right="175" w:firstLine="2"/>
        <w:rPr>
          <w:rFonts w:ascii="宋体" w:hAnsi="宋体" w:cs="宋体"/>
          <w:color w:val="auto"/>
          <w:sz w:val="24"/>
        </w:rPr>
      </w:pPr>
      <w:r>
        <w:rPr>
          <w:rFonts w:ascii="宋体" w:hAnsi="宋体" w:cs="宋体"/>
          <w:color w:val="auto"/>
          <w:spacing w:val="-3"/>
          <w:sz w:val="24"/>
        </w:rPr>
        <w:t>法定代表人</w:t>
      </w:r>
    </w:p>
    <w:p w14:paraId="28D77833">
      <w:pPr>
        <w:spacing w:line="219" w:lineRule="auto"/>
        <w:ind w:left="1"/>
        <w:outlineLvl w:val="2"/>
        <w:rPr>
          <w:rFonts w:ascii="宋体" w:hAnsi="宋体" w:cs="宋体"/>
          <w:color w:val="auto"/>
          <w:sz w:val="24"/>
        </w:rPr>
      </w:pPr>
      <w:r>
        <w:rPr>
          <w:rFonts w:ascii="宋体" w:hAnsi="宋体" w:cs="宋体"/>
          <w:color w:val="auto"/>
          <w:spacing w:val="2"/>
          <w:sz w:val="24"/>
        </w:rPr>
        <w:t>或其委托代理人</w:t>
      </w:r>
      <w:r>
        <w:rPr>
          <w:rFonts w:ascii="宋体" w:hAnsi="宋体" w:cs="宋体"/>
          <w:color w:val="auto"/>
          <w:spacing w:val="-17"/>
          <w:sz w:val="24"/>
        </w:rPr>
        <w:t>：（</w:t>
      </w:r>
      <w:r>
        <w:rPr>
          <w:rFonts w:ascii="宋体" w:hAnsi="宋体" w:cs="宋体"/>
          <w:color w:val="auto"/>
          <w:spacing w:val="2"/>
          <w:sz w:val="24"/>
        </w:rPr>
        <w:t>签名）</w:t>
      </w:r>
    </w:p>
    <w:p w14:paraId="14B06C84">
      <w:pPr>
        <w:spacing w:before="114" w:line="184" w:lineRule="auto"/>
        <w:ind w:left="2308"/>
        <w:rPr>
          <w:rFonts w:ascii="宋体" w:hAnsi="宋体" w:cs="宋体"/>
          <w:color w:val="auto"/>
          <w:sz w:val="24"/>
        </w:rPr>
      </w:pPr>
      <w:r>
        <w:rPr>
          <w:rFonts w:ascii="宋体" w:hAnsi="宋体" w:cs="宋体"/>
          <w:color w:val="auto"/>
          <w:spacing w:val="-9"/>
          <w:sz w:val="24"/>
        </w:rPr>
        <w:t>年月日</w:t>
      </w:r>
    </w:p>
    <w:p w14:paraId="0BC2BEF2">
      <w:pPr>
        <w:pStyle w:val="21"/>
        <w:spacing w:line="14" w:lineRule="auto"/>
        <w:rPr>
          <w:color w:val="auto"/>
          <w:sz w:val="2"/>
        </w:rPr>
      </w:pPr>
      <w:r>
        <w:rPr>
          <w:color w:val="auto"/>
          <w:sz w:val="2"/>
          <w:szCs w:val="2"/>
        </w:rPr>
        <w:br w:type="column"/>
      </w:r>
    </w:p>
    <w:p w14:paraId="54EDA8A8">
      <w:pPr>
        <w:spacing w:before="47" w:line="308" w:lineRule="auto"/>
        <w:ind w:right="52"/>
        <w:rPr>
          <w:rFonts w:ascii="宋体" w:hAnsi="宋体" w:cs="宋体"/>
          <w:color w:val="auto"/>
          <w:sz w:val="24"/>
        </w:rPr>
      </w:pPr>
      <w:r>
        <w:rPr>
          <w:rFonts w:ascii="宋体" w:hAnsi="宋体" w:cs="宋体"/>
          <w:color w:val="auto"/>
          <w:sz w:val="24"/>
        </w:rPr>
        <w:t>承包人</w:t>
      </w:r>
      <w:r>
        <w:rPr>
          <w:rFonts w:ascii="宋体" w:hAnsi="宋体" w:cs="宋体"/>
          <w:color w:val="auto"/>
          <w:spacing w:val="-16"/>
          <w:sz w:val="24"/>
        </w:rPr>
        <w:t>：（</w:t>
      </w:r>
      <w:r>
        <w:rPr>
          <w:rFonts w:ascii="宋体" w:hAnsi="宋体" w:cs="宋体"/>
          <w:color w:val="auto"/>
          <w:sz w:val="24"/>
        </w:rPr>
        <w:t>盖单位章）</w:t>
      </w:r>
      <w:r>
        <w:rPr>
          <w:rFonts w:ascii="宋体" w:hAnsi="宋体" w:cs="宋体"/>
          <w:color w:val="auto"/>
          <w:spacing w:val="-3"/>
          <w:sz w:val="24"/>
        </w:rPr>
        <w:t>法定代表人</w:t>
      </w:r>
    </w:p>
    <w:p w14:paraId="133501FF">
      <w:pPr>
        <w:spacing w:line="219" w:lineRule="auto"/>
        <w:ind w:left="2"/>
        <w:rPr>
          <w:rFonts w:ascii="宋体" w:hAnsi="宋体" w:cs="宋体"/>
          <w:color w:val="auto"/>
          <w:sz w:val="24"/>
        </w:rPr>
      </w:pPr>
      <w:r>
        <w:rPr>
          <w:rFonts w:ascii="宋体" w:hAnsi="宋体" w:cs="宋体"/>
          <w:color w:val="auto"/>
          <w:spacing w:val="2"/>
          <w:sz w:val="24"/>
        </w:rPr>
        <w:t>或其委托代理人</w:t>
      </w:r>
      <w:r>
        <w:rPr>
          <w:rFonts w:ascii="宋体" w:hAnsi="宋体" w:cs="宋体"/>
          <w:color w:val="auto"/>
          <w:spacing w:val="-17"/>
          <w:sz w:val="24"/>
        </w:rPr>
        <w:t>：（</w:t>
      </w:r>
      <w:r>
        <w:rPr>
          <w:rFonts w:ascii="宋体" w:hAnsi="宋体" w:cs="宋体"/>
          <w:color w:val="auto"/>
          <w:spacing w:val="2"/>
          <w:sz w:val="24"/>
        </w:rPr>
        <w:t>签名）</w:t>
      </w:r>
    </w:p>
    <w:p w14:paraId="101E399F">
      <w:pPr>
        <w:spacing w:before="113" w:line="184" w:lineRule="auto"/>
        <w:jc w:val="right"/>
        <w:rPr>
          <w:rFonts w:ascii="宋体" w:hAnsi="宋体" w:cs="宋体"/>
          <w:color w:val="auto"/>
          <w:sz w:val="24"/>
        </w:rPr>
      </w:pPr>
      <w:r>
        <w:rPr>
          <w:rFonts w:ascii="宋体" w:hAnsi="宋体" w:cs="宋体"/>
          <w:color w:val="auto"/>
          <w:spacing w:val="-17"/>
          <w:sz w:val="24"/>
        </w:rPr>
        <w:t>年月      日</w:t>
      </w:r>
    </w:p>
    <w:p w14:paraId="0B94CB7A">
      <w:pPr>
        <w:spacing w:line="184" w:lineRule="auto"/>
        <w:rPr>
          <w:rFonts w:ascii="宋体" w:hAnsi="宋体" w:cs="宋体"/>
          <w:color w:val="auto"/>
          <w:sz w:val="24"/>
        </w:rPr>
        <w:sectPr>
          <w:type w:val="continuous"/>
          <w:pgSz w:w="11907" w:h="16840"/>
          <w:pgMar w:top="1431" w:right="1586" w:bottom="1195" w:left="1654" w:header="0" w:footer="1017" w:gutter="0"/>
          <w:cols w:equalWidth="0" w:num="2">
            <w:col w:w="4344" w:space="100"/>
            <w:col w:w="4222"/>
          </w:cols>
        </w:sectPr>
      </w:pPr>
    </w:p>
    <w:p w14:paraId="3989881B">
      <w:pPr>
        <w:spacing w:before="173" w:line="233" w:lineRule="auto"/>
        <w:outlineLvl w:val="2"/>
        <w:rPr>
          <w:rFonts w:ascii="宋体" w:hAnsi="宋体" w:cs="宋体"/>
          <w:color w:val="auto"/>
          <w:sz w:val="12"/>
          <w:szCs w:val="12"/>
        </w:rPr>
      </w:pPr>
      <w:bookmarkStart w:id="188" w:name="bookmark62"/>
      <w:bookmarkEnd w:id="188"/>
      <w:bookmarkStart w:id="189" w:name="bookmark61"/>
      <w:bookmarkEnd w:id="189"/>
      <w:r>
        <w:rPr>
          <w:rFonts w:ascii="宋体" w:hAnsi="宋体" w:cs="宋体"/>
          <w:b/>
          <w:bCs/>
          <w:color w:val="auto"/>
          <w:spacing w:val="-4"/>
          <w:sz w:val="24"/>
        </w:rPr>
        <w:t>附件三其他管理和技术人员</w:t>
      </w:r>
      <w:r>
        <w:rPr>
          <w:color w:val="auto"/>
        </w:rPr>
        <w:fldChar w:fldCharType="begin"/>
      </w:r>
      <w:r>
        <w:rPr>
          <w:color w:val="auto"/>
        </w:rPr>
        <w:instrText xml:space="preserve"> HYPERLINK \l "bookmark234" </w:instrText>
      </w:r>
      <w:r>
        <w:rPr>
          <w:color w:val="auto"/>
        </w:rPr>
        <w:fldChar w:fldCharType="separate"/>
      </w:r>
      <w:r>
        <w:rPr>
          <w:rFonts w:ascii="宋体" w:hAnsi="宋体" w:cs="宋体"/>
          <w:b/>
          <w:bCs/>
          <w:color w:val="auto"/>
          <w:spacing w:val="-4"/>
          <w:position w:val="11"/>
          <w:sz w:val="12"/>
          <w:szCs w:val="12"/>
        </w:rPr>
        <w:t>①</w:t>
      </w:r>
      <w:r>
        <w:rPr>
          <w:rFonts w:ascii="宋体" w:hAnsi="宋体" w:cs="宋体"/>
          <w:b/>
          <w:bCs/>
          <w:color w:val="auto"/>
          <w:spacing w:val="-4"/>
          <w:position w:val="11"/>
          <w:sz w:val="12"/>
          <w:szCs w:val="12"/>
        </w:rPr>
        <w:fldChar w:fldCharType="end"/>
      </w:r>
    </w:p>
    <w:p w14:paraId="6656B9DA">
      <w:pPr>
        <w:spacing w:line="147" w:lineRule="exact"/>
        <w:rPr>
          <w:color w:val="auto"/>
        </w:rPr>
      </w:pPr>
    </w:p>
    <w:tbl>
      <w:tblPr>
        <w:tblStyle w:val="282"/>
        <w:tblW w:w="98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6"/>
        <w:gridCol w:w="931"/>
        <w:gridCol w:w="925"/>
        <w:gridCol w:w="1984"/>
        <w:gridCol w:w="1323"/>
        <w:gridCol w:w="1267"/>
        <w:gridCol w:w="2461"/>
      </w:tblGrid>
      <w:tr w14:paraId="29A7A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936" w:type="dxa"/>
            <w:noWrap/>
          </w:tcPr>
          <w:p w14:paraId="7190D064">
            <w:pPr>
              <w:pStyle w:val="280"/>
              <w:spacing w:line="249" w:lineRule="auto"/>
              <w:rPr>
                <w:color w:val="auto"/>
                <w:lang w:eastAsia="zh-CN"/>
              </w:rPr>
            </w:pPr>
          </w:p>
          <w:p w14:paraId="1D3E4C08">
            <w:pPr>
              <w:spacing w:before="78" w:line="221" w:lineRule="auto"/>
              <w:ind w:left="234"/>
              <w:rPr>
                <w:rFonts w:ascii="宋体" w:hAnsi="宋体" w:cs="宋体"/>
                <w:color w:val="auto"/>
                <w:sz w:val="24"/>
              </w:rPr>
            </w:pPr>
            <w:r>
              <w:rPr>
                <w:rFonts w:ascii="宋体" w:hAnsi="宋体" w:cs="宋体"/>
                <w:color w:val="auto"/>
                <w:spacing w:val="-5"/>
                <w:sz w:val="24"/>
              </w:rPr>
              <w:t>序号</w:t>
            </w:r>
          </w:p>
        </w:tc>
        <w:tc>
          <w:tcPr>
            <w:tcW w:w="931" w:type="dxa"/>
            <w:noWrap/>
          </w:tcPr>
          <w:p w14:paraId="583B5BAB">
            <w:pPr>
              <w:pStyle w:val="280"/>
              <w:spacing w:line="250" w:lineRule="auto"/>
              <w:rPr>
                <w:color w:val="auto"/>
              </w:rPr>
            </w:pPr>
          </w:p>
          <w:p w14:paraId="5B413B2B">
            <w:pPr>
              <w:spacing w:before="78" w:line="219" w:lineRule="auto"/>
              <w:ind w:left="230"/>
              <w:rPr>
                <w:rFonts w:ascii="宋体" w:hAnsi="宋体" w:cs="宋体"/>
                <w:color w:val="auto"/>
                <w:sz w:val="24"/>
              </w:rPr>
            </w:pPr>
            <w:r>
              <w:rPr>
                <w:rFonts w:ascii="宋体" w:hAnsi="宋体" w:cs="宋体"/>
                <w:color w:val="auto"/>
                <w:spacing w:val="-5"/>
                <w:sz w:val="24"/>
              </w:rPr>
              <w:t>姓名</w:t>
            </w:r>
          </w:p>
        </w:tc>
        <w:tc>
          <w:tcPr>
            <w:tcW w:w="925" w:type="dxa"/>
            <w:noWrap/>
          </w:tcPr>
          <w:p w14:paraId="163F795A">
            <w:pPr>
              <w:pStyle w:val="280"/>
              <w:spacing w:line="250" w:lineRule="auto"/>
              <w:rPr>
                <w:color w:val="auto"/>
              </w:rPr>
            </w:pPr>
          </w:p>
          <w:p w14:paraId="586A68FA">
            <w:pPr>
              <w:spacing w:before="78" w:line="219" w:lineRule="auto"/>
              <w:ind w:left="113"/>
              <w:rPr>
                <w:rFonts w:ascii="宋体" w:hAnsi="宋体" w:cs="宋体"/>
                <w:color w:val="auto"/>
                <w:sz w:val="24"/>
              </w:rPr>
            </w:pPr>
            <w:r>
              <w:rPr>
                <w:rFonts w:ascii="宋体" w:hAnsi="宋体" w:cs="宋体"/>
                <w:color w:val="auto"/>
                <w:spacing w:val="-6"/>
                <w:sz w:val="24"/>
              </w:rPr>
              <w:t>年龄</w:t>
            </w:r>
          </w:p>
        </w:tc>
        <w:tc>
          <w:tcPr>
            <w:tcW w:w="1984" w:type="dxa"/>
            <w:noWrap/>
          </w:tcPr>
          <w:p w14:paraId="61A877BA">
            <w:pPr>
              <w:pStyle w:val="280"/>
              <w:spacing w:line="249" w:lineRule="auto"/>
              <w:rPr>
                <w:color w:val="auto"/>
              </w:rPr>
            </w:pPr>
          </w:p>
          <w:p w14:paraId="2F6ADCBC">
            <w:pPr>
              <w:spacing w:before="78" w:line="219" w:lineRule="auto"/>
              <w:ind w:left="157"/>
              <w:rPr>
                <w:rFonts w:ascii="宋体" w:hAnsi="宋体" w:cs="宋体"/>
                <w:color w:val="auto"/>
                <w:sz w:val="24"/>
              </w:rPr>
            </w:pPr>
            <w:r>
              <w:rPr>
                <w:rFonts w:ascii="宋体" w:hAnsi="宋体" w:cs="宋体"/>
                <w:color w:val="auto"/>
                <w:spacing w:val="-2"/>
                <w:sz w:val="24"/>
              </w:rPr>
              <w:t>拟在本项目任职</w:t>
            </w:r>
          </w:p>
        </w:tc>
        <w:tc>
          <w:tcPr>
            <w:tcW w:w="1323" w:type="dxa"/>
            <w:noWrap/>
          </w:tcPr>
          <w:p w14:paraId="3F28FC29">
            <w:pPr>
              <w:pStyle w:val="280"/>
              <w:spacing w:line="250" w:lineRule="auto"/>
              <w:rPr>
                <w:color w:val="auto"/>
              </w:rPr>
            </w:pPr>
          </w:p>
          <w:p w14:paraId="2AAB587C">
            <w:pPr>
              <w:spacing w:before="78" w:line="219" w:lineRule="auto"/>
              <w:ind w:left="190"/>
              <w:rPr>
                <w:rFonts w:ascii="宋体" w:hAnsi="宋体" w:cs="宋体"/>
                <w:color w:val="auto"/>
                <w:sz w:val="24"/>
              </w:rPr>
            </w:pPr>
            <w:r>
              <w:rPr>
                <w:rFonts w:ascii="宋体" w:hAnsi="宋体" w:cs="宋体"/>
                <w:color w:val="auto"/>
                <w:spacing w:val="-3"/>
                <w:sz w:val="24"/>
              </w:rPr>
              <w:t>技术职称</w:t>
            </w:r>
          </w:p>
        </w:tc>
        <w:tc>
          <w:tcPr>
            <w:tcW w:w="1267" w:type="dxa"/>
            <w:noWrap/>
          </w:tcPr>
          <w:p w14:paraId="1159C45A">
            <w:pPr>
              <w:spacing w:before="128" w:line="219" w:lineRule="auto"/>
              <w:ind w:left="162"/>
              <w:rPr>
                <w:rFonts w:ascii="宋体" w:hAnsi="宋体" w:cs="宋体"/>
                <w:color w:val="auto"/>
                <w:sz w:val="24"/>
              </w:rPr>
            </w:pPr>
            <w:r>
              <w:rPr>
                <w:rFonts w:ascii="宋体" w:hAnsi="宋体" w:cs="宋体"/>
                <w:color w:val="auto"/>
                <w:spacing w:val="-3"/>
                <w:sz w:val="24"/>
              </w:rPr>
              <w:t>类似项目</w:t>
            </w:r>
          </w:p>
          <w:p w14:paraId="3F0677C1">
            <w:pPr>
              <w:spacing w:before="115" w:line="208" w:lineRule="auto"/>
              <w:ind w:left="164"/>
              <w:rPr>
                <w:rFonts w:ascii="宋体" w:hAnsi="宋体" w:cs="宋体"/>
                <w:color w:val="auto"/>
                <w:sz w:val="24"/>
              </w:rPr>
            </w:pPr>
            <w:r>
              <w:rPr>
                <w:rFonts w:ascii="宋体" w:hAnsi="宋体" w:cs="宋体"/>
                <w:color w:val="auto"/>
                <w:spacing w:val="-3"/>
                <w:sz w:val="24"/>
              </w:rPr>
              <w:t>经验年限</w:t>
            </w:r>
          </w:p>
        </w:tc>
        <w:tc>
          <w:tcPr>
            <w:tcW w:w="2461" w:type="dxa"/>
            <w:noWrap/>
          </w:tcPr>
          <w:p w14:paraId="34DA2EF8">
            <w:pPr>
              <w:pStyle w:val="280"/>
              <w:spacing w:line="250" w:lineRule="auto"/>
              <w:rPr>
                <w:color w:val="auto"/>
              </w:rPr>
            </w:pPr>
          </w:p>
          <w:p w14:paraId="2D009CEE">
            <w:pPr>
              <w:spacing w:before="78" w:line="219" w:lineRule="auto"/>
              <w:ind w:left="277"/>
              <w:rPr>
                <w:rFonts w:ascii="宋体" w:hAnsi="宋体" w:cs="宋体"/>
                <w:color w:val="auto"/>
                <w:sz w:val="24"/>
              </w:rPr>
            </w:pPr>
            <w:r>
              <w:rPr>
                <w:rFonts w:ascii="宋体" w:hAnsi="宋体" w:cs="宋体"/>
                <w:color w:val="auto"/>
                <w:spacing w:val="-2"/>
                <w:sz w:val="24"/>
              </w:rPr>
              <w:t>类似项目经验概述</w:t>
            </w:r>
          </w:p>
        </w:tc>
      </w:tr>
      <w:tr w14:paraId="01B5D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936" w:type="dxa"/>
            <w:noWrap/>
          </w:tcPr>
          <w:p w14:paraId="064E8CFC">
            <w:pPr>
              <w:pStyle w:val="280"/>
              <w:rPr>
                <w:color w:val="auto"/>
              </w:rPr>
            </w:pPr>
          </w:p>
        </w:tc>
        <w:tc>
          <w:tcPr>
            <w:tcW w:w="931" w:type="dxa"/>
            <w:noWrap/>
          </w:tcPr>
          <w:p w14:paraId="648A3668">
            <w:pPr>
              <w:pStyle w:val="280"/>
              <w:rPr>
                <w:color w:val="auto"/>
              </w:rPr>
            </w:pPr>
          </w:p>
        </w:tc>
        <w:tc>
          <w:tcPr>
            <w:tcW w:w="925" w:type="dxa"/>
            <w:noWrap/>
          </w:tcPr>
          <w:p w14:paraId="7123F865">
            <w:pPr>
              <w:pStyle w:val="280"/>
              <w:rPr>
                <w:color w:val="auto"/>
              </w:rPr>
            </w:pPr>
          </w:p>
        </w:tc>
        <w:tc>
          <w:tcPr>
            <w:tcW w:w="1984" w:type="dxa"/>
            <w:noWrap/>
          </w:tcPr>
          <w:p w14:paraId="233CA458">
            <w:pPr>
              <w:pStyle w:val="280"/>
              <w:rPr>
                <w:color w:val="auto"/>
              </w:rPr>
            </w:pPr>
          </w:p>
        </w:tc>
        <w:tc>
          <w:tcPr>
            <w:tcW w:w="1323" w:type="dxa"/>
            <w:noWrap/>
          </w:tcPr>
          <w:p w14:paraId="4F05ED22">
            <w:pPr>
              <w:pStyle w:val="280"/>
              <w:rPr>
                <w:color w:val="auto"/>
              </w:rPr>
            </w:pPr>
          </w:p>
        </w:tc>
        <w:tc>
          <w:tcPr>
            <w:tcW w:w="1267" w:type="dxa"/>
            <w:noWrap/>
          </w:tcPr>
          <w:p w14:paraId="6E5C06D2">
            <w:pPr>
              <w:pStyle w:val="280"/>
              <w:rPr>
                <w:color w:val="auto"/>
              </w:rPr>
            </w:pPr>
          </w:p>
        </w:tc>
        <w:tc>
          <w:tcPr>
            <w:tcW w:w="2461" w:type="dxa"/>
            <w:noWrap/>
          </w:tcPr>
          <w:p w14:paraId="5EFCC69C">
            <w:pPr>
              <w:pStyle w:val="280"/>
              <w:rPr>
                <w:color w:val="auto"/>
              </w:rPr>
            </w:pPr>
          </w:p>
        </w:tc>
      </w:tr>
      <w:tr w14:paraId="0E4A7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936" w:type="dxa"/>
            <w:noWrap/>
          </w:tcPr>
          <w:p w14:paraId="75ABC99C">
            <w:pPr>
              <w:pStyle w:val="280"/>
              <w:rPr>
                <w:color w:val="auto"/>
              </w:rPr>
            </w:pPr>
          </w:p>
        </w:tc>
        <w:tc>
          <w:tcPr>
            <w:tcW w:w="931" w:type="dxa"/>
            <w:noWrap/>
          </w:tcPr>
          <w:p w14:paraId="5D608D3B">
            <w:pPr>
              <w:pStyle w:val="280"/>
              <w:rPr>
                <w:color w:val="auto"/>
              </w:rPr>
            </w:pPr>
          </w:p>
        </w:tc>
        <w:tc>
          <w:tcPr>
            <w:tcW w:w="925" w:type="dxa"/>
            <w:noWrap/>
          </w:tcPr>
          <w:p w14:paraId="680B33C8">
            <w:pPr>
              <w:pStyle w:val="280"/>
              <w:rPr>
                <w:color w:val="auto"/>
              </w:rPr>
            </w:pPr>
          </w:p>
        </w:tc>
        <w:tc>
          <w:tcPr>
            <w:tcW w:w="1984" w:type="dxa"/>
            <w:noWrap/>
          </w:tcPr>
          <w:p w14:paraId="7EAF1707">
            <w:pPr>
              <w:pStyle w:val="280"/>
              <w:rPr>
                <w:color w:val="auto"/>
              </w:rPr>
            </w:pPr>
          </w:p>
        </w:tc>
        <w:tc>
          <w:tcPr>
            <w:tcW w:w="1323" w:type="dxa"/>
            <w:noWrap/>
          </w:tcPr>
          <w:p w14:paraId="3DE481EC">
            <w:pPr>
              <w:pStyle w:val="280"/>
              <w:rPr>
                <w:color w:val="auto"/>
              </w:rPr>
            </w:pPr>
          </w:p>
        </w:tc>
        <w:tc>
          <w:tcPr>
            <w:tcW w:w="1267" w:type="dxa"/>
            <w:noWrap/>
          </w:tcPr>
          <w:p w14:paraId="0B1AB9E7">
            <w:pPr>
              <w:pStyle w:val="280"/>
              <w:rPr>
                <w:color w:val="auto"/>
              </w:rPr>
            </w:pPr>
          </w:p>
        </w:tc>
        <w:tc>
          <w:tcPr>
            <w:tcW w:w="2461" w:type="dxa"/>
            <w:noWrap/>
          </w:tcPr>
          <w:p w14:paraId="2BA36C84">
            <w:pPr>
              <w:pStyle w:val="280"/>
              <w:rPr>
                <w:color w:val="auto"/>
              </w:rPr>
            </w:pPr>
          </w:p>
        </w:tc>
      </w:tr>
      <w:tr w14:paraId="56D9B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936" w:type="dxa"/>
            <w:noWrap/>
          </w:tcPr>
          <w:p w14:paraId="7778F36D">
            <w:pPr>
              <w:pStyle w:val="280"/>
              <w:rPr>
                <w:color w:val="auto"/>
              </w:rPr>
            </w:pPr>
          </w:p>
        </w:tc>
        <w:tc>
          <w:tcPr>
            <w:tcW w:w="931" w:type="dxa"/>
            <w:noWrap/>
          </w:tcPr>
          <w:p w14:paraId="4ACF3B56">
            <w:pPr>
              <w:pStyle w:val="280"/>
              <w:rPr>
                <w:color w:val="auto"/>
              </w:rPr>
            </w:pPr>
          </w:p>
        </w:tc>
        <w:tc>
          <w:tcPr>
            <w:tcW w:w="925" w:type="dxa"/>
            <w:noWrap/>
          </w:tcPr>
          <w:p w14:paraId="3CF7DD25">
            <w:pPr>
              <w:pStyle w:val="280"/>
              <w:rPr>
                <w:color w:val="auto"/>
              </w:rPr>
            </w:pPr>
          </w:p>
        </w:tc>
        <w:tc>
          <w:tcPr>
            <w:tcW w:w="1984" w:type="dxa"/>
            <w:noWrap/>
          </w:tcPr>
          <w:p w14:paraId="14DB8451">
            <w:pPr>
              <w:pStyle w:val="280"/>
              <w:rPr>
                <w:color w:val="auto"/>
              </w:rPr>
            </w:pPr>
          </w:p>
        </w:tc>
        <w:tc>
          <w:tcPr>
            <w:tcW w:w="1323" w:type="dxa"/>
            <w:noWrap/>
          </w:tcPr>
          <w:p w14:paraId="732F04D3">
            <w:pPr>
              <w:pStyle w:val="280"/>
              <w:rPr>
                <w:color w:val="auto"/>
              </w:rPr>
            </w:pPr>
          </w:p>
        </w:tc>
        <w:tc>
          <w:tcPr>
            <w:tcW w:w="1267" w:type="dxa"/>
            <w:noWrap/>
          </w:tcPr>
          <w:p w14:paraId="63541DFF">
            <w:pPr>
              <w:pStyle w:val="280"/>
              <w:rPr>
                <w:color w:val="auto"/>
              </w:rPr>
            </w:pPr>
          </w:p>
        </w:tc>
        <w:tc>
          <w:tcPr>
            <w:tcW w:w="2461" w:type="dxa"/>
            <w:noWrap/>
          </w:tcPr>
          <w:p w14:paraId="3FA69A24">
            <w:pPr>
              <w:pStyle w:val="280"/>
              <w:rPr>
                <w:color w:val="auto"/>
              </w:rPr>
            </w:pPr>
          </w:p>
        </w:tc>
      </w:tr>
      <w:tr w14:paraId="79501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936" w:type="dxa"/>
            <w:noWrap/>
          </w:tcPr>
          <w:p w14:paraId="1C15DA69">
            <w:pPr>
              <w:pStyle w:val="280"/>
              <w:rPr>
                <w:color w:val="auto"/>
              </w:rPr>
            </w:pPr>
          </w:p>
        </w:tc>
        <w:tc>
          <w:tcPr>
            <w:tcW w:w="931" w:type="dxa"/>
            <w:noWrap/>
          </w:tcPr>
          <w:p w14:paraId="4A44CA73">
            <w:pPr>
              <w:pStyle w:val="280"/>
              <w:rPr>
                <w:color w:val="auto"/>
              </w:rPr>
            </w:pPr>
          </w:p>
        </w:tc>
        <w:tc>
          <w:tcPr>
            <w:tcW w:w="925" w:type="dxa"/>
            <w:noWrap/>
          </w:tcPr>
          <w:p w14:paraId="7E58A594">
            <w:pPr>
              <w:pStyle w:val="280"/>
              <w:rPr>
                <w:color w:val="auto"/>
              </w:rPr>
            </w:pPr>
          </w:p>
        </w:tc>
        <w:tc>
          <w:tcPr>
            <w:tcW w:w="1984" w:type="dxa"/>
            <w:noWrap/>
          </w:tcPr>
          <w:p w14:paraId="6FBD44B8">
            <w:pPr>
              <w:pStyle w:val="280"/>
              <w:rPr>
                <w:color w:val="auto"/>
              </w:rPr>
            </w:pPr>
          </w:p>
        </w:tc>
        <w:tc>
          <w:tcPr>
            <w:tcW w:w="1323" w:type="dxa"/>
            <w:noWrap/>
          </w:tcPr>
          <w:p w14:paraId="3F96169D">
            <w:pPr>
              <w:pStyle w:val="280"/>
              <w:rPr>
                <w:color w:val="auto"/>
              </w:rPr>
            </w:pPr>
          </w:p>
        </w:tc>
        <w:tc>
          <w:tcPr>
            <w:tcW w:w="1267" w:type="dxa"/>
            <w:noWrap/>
          </w:tcPr>
          <w:p w14:paraId="4DA22050">
            <w:pPr>
              <w:pStyle w:val="280"/>
              <w:rPr>
                <w:color w:val="auto"/>
              </w:rPr>
            </w:pPr>
          </w:p>
        </w:tc>
        <w:tc>
          <w:tcPr>
            <w:tcW w:w="2461" w:type="dxa"/>
            <w:noWrap/>
          </w:tcPr>
          <w:p w14:paraId="104CC57F">
            <w:pPr>
              <w:pStyle w:val="280"/>
              <w:rPr>
                <w:color w:val="auto"/>
              </w:rPr>
            </w:pPr>
          </w:p>
        </w:tc>
      </w:tr>
      <w:tr w14:paraId="3C094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936" w:type="dxa"/>
            <w:noWrap/>
          </w:tcPr>
          <w:p w14:paraId="40571588">
            <w:pPr>
              <w:pStyle w:val="280"/>
              <w:rPr>
                <w:color w:val="auto"/>
              </w:rPr>
            </w:pPr>
          </w:p>
        </w:tc>
        <w:tc>
          <w:tcPr>
            <w:tcW w:w="931" w:type="dxa"/>
            <w:noWrap/>
          </w:tcPr>
          <w:p w14:paraId="17A0A54B">
            <w:pPr>
              <w:pStyle w:val="280"/>
              <w:rPr>
                <w:color w:val="auto"/>
              </w:rPr>
            </w:pPr>
          </w:p>
        </w:tc>
        <w:tc>
          <w:tcPr>
            <w:tcW w:w="925" w:type="dxa"/>
            <w:noWrap/>
          </w:tcPr>
          <w:p w14:paraId="7BDC8201">
            <w:pPr>
              <w:pStyle w:val="280"/>
              <w:rPr>
                <w:color w:val="auto"/>
              </w:rPr>
            </w:pPr>
          </w:p>
        </w:tc>
        <w:tc>
          <w:tcPr>
            <w:tcW w:w="1984" w:type="dxa"/>
            <w:noWrap/>
          </w:tcPr>
          <w:p w14:paraId="36ABB8D8">
            <w:pPr>
              <w:pStyle w:val="280"/>
              <w:rPr>
                <w:color w:val="auto"/>
              </w:rPr>
            </w:pPr>
          </w:p>
        </w:tc>
        <w:tc>
          <w:tcPr>
            <w:tcW w:w="1323" w:type="dxa"/>
            <w:noWrap/>
          </w:tcPr>
          <w:p w14:paraId="46C11C4F">
            <w:pPr>
              <w:pStyle w:val="280"/>
              <w:rPr>
                <w:color w:val="auto"/>
              </w:rPr>
            </w:pPr>
          </w:p>
        </w:tc>
        <w:tc>
          <w:tcPr>
            <w:tcW w:w="1267" w:type="dxa"/>
            <w:noWrap/>
          </w:tcPr>
          <w:p w14:paraId="2DA7AB48">
            <w:pPr>
              <w:pStyle w:val="280"/>
              <w:rPr>
                <w:color w:val="auto"/>
              </w:rPr>
            </w:pPr>
          </w:p>
        </w:tc>
        <w:tc>
          <w:tcPr>
            <w:tcW w:w="2461" w:type="dxa"/>
            <w:noWrap/>
          </w:tcPr>
          <w:p w14:paraId="7DDFE601">
            <w:pPr>
              <w:pStyle w:val="280"/>
              <w:rPr>
                <w:color w:val="auto"/>
              </w:rPr>
            </w:pPr>
          </w:p>
        </w:tc>
      </w:tr>
      <w:tr w14:paraId="334DF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936" w:type="dxa"/>
            <w:noWrap/>
          </w:tcPr>
          <w:p w14:paraId="6010F795">
            <w:pPr>
              <w:pStyle w:val="280"/>
              <w:rPr>
                <w:color w:val="auto"/>
              </w:rPr>
            </w:pPr>
          </w:p>
        </w:tc>
        <w:tc>
          <w:tcPr>
            <w:tcW w:w="931" w:type="dxa"/>
            <w:noWrap/>
          </w:tcPr>
          <w:p w14:paraId="48A1928D">
            <w:pPr>
              <w:pStyle w:val="280"/>
              <w:rPr>
                <w:color w:val="auto"/>
              </w:rPr>
            </w:pPr>
          </w:p>
        </w:tc>
        <w:tc>
          <w:tcPr>
            <w:tcW w:w="925" w:type="dxa"/>
            <w:noWrap/>
          </w:tcPr>
          <w:p w14:paraId="10B56302">
            <w:pPr>
              <w:pStyle w:val="280"/>
              <w:rPr>
                <w:color w:val="auto"/>
              </w:rPr>
            </w:pPr>
          </w:p>
        </w:tc>
        <w:tc>
          <w:tcPr>
            <w:tcW w:w="1984" w:type="dxa"/>
            <w:noWrap/>
          </w:tcPr>
          <w:p w14:paraId="1DC287D4">
            <w:pPr>
              <w:pStyle w:val="280"/>
              <w:rPr>
                <w:color w:val="auto"/>
              </w:rPr>
            </w:pPr>
          </w:p>
        </w:tc>
        <w:tc>
          <w:tcPr>
            <w:tcW w:w="1323" w:type="dxa"/>
            <w:noWrap/>
          </w:tcPr>
          <w:p w14:paraId="572676B4">
            <w:pPr>
              <w:pStyle w:val="280"/>
              <w:rPr>
                <w:color w:val="auto"/>
              </w:rPr>
            </w:pPr>
          </w:p>
        </w:tc>
        <w:tc>
          <w:tcPr>
            <w:tcW w:w="1267" w:type="dxa"/>
            <w:noWrap/>
          </w:tcPr>
          <w:p w14:paraId="0F06BCEE">
            <w:pPr>
              <w:pStyle w:val="280"/>
              <w:rPr>
                <w:color w:val="auto"/>
              </w:rPr>
            </w:pPr>
          </w:p>
        </w:tc>
        <w:tc>
          <w:tcPr>
            <w:tcW w:w="2461" w:type="dxa"/>
            <w:noWrap/>
          </w:tcPr>
          <w:p w14:paraId="56E3318B">
            <w:pPr>
              <w:pStyle w:val="280"/>
              <w:rPr>
                <w:color w:val="auto"/>
              </w:rPr>
            </w:pPr>
          </w:p>
        </w:tc>
      </w:tr>
      <w:tr w14:paraId="38AB1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936" w:type="dxa"/>
            <w:noWrap/>
          </w:tcPr>
          <w:p w14:paraId="01FABB83">
            <w:pPr>
              <w:pStyle w:val="280"/>
              <w:rPr>
                <w:color w:val="auto"/>
              </w:rPr>
            </w:pPr>
          </w:p>
        </w:tc>
        <w:tc>
          <w:tcPr>
            <w:tcW w:w="931" w:type="dxa"/>
            <w:noWrap/>
          </w:tcPr>
          <w:p w14:paraId="346ABC9B">
            <w:pPr>
              <w:pStyle w:val="280"/>
              <w:rPr>
                <w:color w:val="auto"/>
              </w:rPr>
            </w:pPr>
          </w:p>
        </w:tc>
        <w:tc>
          <w:tcPr>
            <w:tcW w:w="925" w:type="dxa"/>
            <w:noWrap/>
          </w:tcPr>
          <w:p w14:paraId="33C71D39">
            <w:pPr>
              <w:pStyle w:val="280"/>
              <w:rPr>
                <w:color w:val="auto"/>
              </w:rPr>
            </w:pPr>
          </w:p>
        </w:tc>
        <w:tc>
          <w:tcPr>
            <w:tcW w:w="1984" w:type="dxa"/>
            <w:noWrap/>
          </w:tcPr>
          <w:p w14:paraId="7CB9C456">
            <w:pPr>
              <w:pStyle w:val="280"/>
              <w:rPr>
                <w:color w:val="auto"/>
              </w:rPr>
            </w:pPr>
          </w:p>
        </w:tc>
        <w:tc>
          <w:tcPr>
            <w:tcW w:w="1323" w:type="dxa"/>
            <w:noWrap/>
          </w:tcPr>
          <w:p w14:paraId="4F72B8D4">
            <w:pPr>
              <w:pStyle w:val="280"/>
              <w:rPr>
                <w:color w:val="auto"/>
              </w:rPr>
            </w:pPr>
          </w:p>
        </w:tc>
        <w:tc>
          <w:tcPr>
            <w:tcW w:w="1267" w:type="dxa"/>
            <w:noWrap/>
          </w:tcPr>
          <w:p w14:paraId="7E020417">
            <w:pPr>
              <w:pStyle w:val="280"/>
              <w:rPr>
                <w:color w:val="auto"/>
              </w:rPr>
            </w:pPr>
          </w:p>
        </w:tc>
        <w:tc>
          <w:tcPr>
            <w:tcW w:w="2461" w:type="dxa"/>
            <w:noWrap/>
          </w:tcPr>
          <w:p w14:paraId="58D51679">
            <w:pPr>
              <w:pStyle w:val="280"/>
              <w:rPr>
                <w:color w:val="auto"/>
              </w:rPr>
            </w:pPr>
          </w:p>
        </w:tc>
      </w:tr>
      <w:tr w14:paraId="0E0E8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936" w:type="dxa"/>
            <w:noWrap/>
          </w:tcPr>
          <w:p w14:paraId="78B71E14">
            <w:pPr>
              <w:pStyle w:val="280"/>
              <w:rPr>
                <w:color w:val="auto"/>
              </w:rPr>
            </w:pPr>
          </w:p>
        </w:tc>
        <w:tc>
          <w:tcPr>
            <w:tcW w:w="931" w:type="dxa"/>
            <w:noWrap/>
          </w:tcPr>
          <w:p w14:paraId="0CDF1AF3">
            <w:pPr>
              <w:pStyle w:val="280"/>
              <w:rPr>
                <w:color w:val="auto"/>
              </w:rPr>
            </w:pPr>
          </w:p>
        </w:tc>
        <w:tc>
          <w:tcPr>
            <w:tcW w:w="925" w:type="dxa"/>
            <w:noWrap/>
          </w:tcPr>
          <w:p w14:paraId="39A7EE74">
            <w:pPr>
              <w:pStyle w:val="280"/>
              <w:rPr>
                <w:color w:val="auto"/>
              </w:rPr>
            </w:pPr>
          </w:p>
        </w:tc>
        <w:tc>
          <w:tcPr>
            <w:tcW w:w="1984" w:type="dxa"/>
            <w:noWrap/>
          </w:tcPr>
          <w:p w14:paraId="47310267">
            <w:pPr>
              <w:pStyle w:val="280"/>
              <w:rPr>
                <w:color w:val="auto"/>
              </w:rPr>
            </w:pPr>
          </w:p>
        </w:tc>
        <w:tc>
          <w:tcPr>
            <w:tcW w:w="1323" w:type="dxa"/>
            <w:noWrap/>
          </w:tcPr>
          <w:p w14:paraId="2A29726E">
            <w:pPr>
              <w:pStyle w:val="280"/>
              <w:rPr>
                <w:color w:val="auto"/>
              </w:rPr>
            </w:pPr>
          </w:p>
        </w:tc>
        <w:tc>
          <w:tcPr>
            <w:tcW w:w="1267" w:type="dxa"/>
            <w:noWrap/>
          </w:tcPr>
          <w:p w14:paraId="7714DDAB">
            <w:pPr>
              <w:pStyle w:val="280"/>
              <w:rPr>
                <w:color w:val="auto"/>
              </w:rPr>
            </w:pPr>
          </w:p>
        </w:tc>
        <w:tc>
          <w:tcPr>
            <w:tcW w:w="2461" w:type="dxa"/>
            <w:noWrap/>
          </w:tcPr>
          <w:p w14:paraId="7DC46080">
            <w:pPr>
              <w:pStyle w:val="280"/>
              <w:rPr>
                <w:color w:val="auto"/>
              </w:rPr>
            </w:pPr>
          </w:p>
        </w:tc>
      </w:tr>
      <w:tr w14:paraId="2D335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936" w:type="dxa"/>
            <w:noWrap/>
          </w:tcPr>
          <w:p w14:paraId="06507047">
            <w:pPr>
              <w:pStyle w:val="280"/>
              <w:rPr>
                <w:color w:val="auto"/>
              </w:rPr>
            </w:pPr>
          </w:p>
        </w:tc>
        <w:tc>
          <w:tcPr>
            <w:tcW w:w="931" w:type="dxa"/>
            <w:noWrap/>
          </w:tcPr>
          <w:p w14:paraId="2E93F3D9">
            <w:pPr>
              <w:pStyle w:val="280"/>
              <w:rPr>
                <w:color w:val="auto"/>
              </w:rPr>
            </w:pPr>
          </w:p>
        </w:tc>
        <w:tc>
          <w:tcPr>
            <w:tcW w:w="925" w:type="dxa"/>
            <w:noWrap/>
          </w:tcPr>
          <w:p w14:paraId="73A447BD">
            <w:pPr>
              <w:pStyle w:val="280"/>
              <w:rPr>
                <w:color w:val="auto"/>
              </w:rPr>
            </w:pPr>
          </w:p>
        </w:tc>
        <w:tc>
          <w:tcPr>
            <w:tcW w:w="1984" w:type="dxa"/>
            <w:noWrap/>
          </w:tcPr>
          <w:p w14:paraId="5B896A68">
            <w:pPr>
              <w:pStyle w:val="280"/>
              <w:rPr>
                <w:color w:val="auto"/>
              </w:rPr>
            </w:pPr>
          </w:p>
        </w:tc>
        <w:tc>
          <w:tcPr>
            <w:tcW w:w="1323" w:type="dxa"/>
            <w:noWrap/>
          </w:tcPr>
          <w:p w14:paraId="251327F2">
            <w:pPr>
              <w:pStyle w:val="280"/>
              <w:rPr>
                <w:color w:val="auto"/>
              </w:rPr>
            </w:pPr>
          </w:p>
        </w:tc>
        <w:tc>
          <w:tcPr>
            <w:tcW w:w="1267" w:type="dxa"/>
            <w:noWrap/>
          </w:tcPr>
          <w:p w14:paraId="13BD6212">
            <w:pPr>
              <w:pStyle w:val="280"/>
              <w:rPr>
                <w:color w:val="auto"/>
              </w:rPr>
            </w:pPr>
          </w:p>
        </w:tc>
        <w:tc>
          <w:tcPr>
            <w:tcW w:w="2461" w:type="dxa"/>
            <w:noWrap/>
          </w:tcPr>
          <w:p w14:paraId="58CB7A72">
            <w:pPr>
              <w:pStyle w:val="280"/>
              <w:rPr>
                <w:color w:val="auto"/>
              </w:rPr>
            </w:pPr>
          </w:p>
        </w:tc>
      </w:tr>
      <w:tr w14:paraId="221E2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36" w:type="dxa"/>
            <w:noWrap/>
          </w:tcPr>
          <w:p w14:paraId="51C2D78E">
            <w:pPr>
              <w:pStyle w:val="280"/>
              <w:rPr>
                <w:color w:val="auto"/>
              </w:rPr>
            </w:pPr>
          </w:p>
        </w:tc>
        <w:tc>
          <w:tcPr>
            <w:tcW w:w="931" w:type="dxa"/>
            <w:noWrap/>
          </w:tcPr>
          <w:p w14:paraId="5DCCE0D8">
            <w:pPr>
              <w:pStyle w:val="280"/>
              <w:rPr>
                <w:color w:val="auto"/>
              </w:rPr>
            </w:pPr>
          </w:p>
        </w:tc>
        <w:tc>
          <w:tcPr>
            <w:tcW w:w="925" w:type="dxa"/>
            <w:noWrap/>
          </w:tcPr>
          <w:p w14:paraId="11CCF329">
            <w:pPr>
              <w:pStyle w:val="280"/>
              <w:rPr>
                <w:color w:val="auto"/>
              </w:rPr>
            </w:pPr>
          </w:p>
        </w:tc>
        <w:tc>
          <w:tcPr>
            <w:tcW w:w="1984" w:type="dxa"/>
            <w:noWrap/>
          </w:tcPr>
          <w:p w14:paraId="20A52CFD">
            <w:pPr>
              <w:pStyle w:val="280"/>
              <w:rPr>
                <w:color w:val="auto"/>
              </w:rPr>
            </w:pPr>
          </w:p>
        </w:tc>
        <w:tc>
          <w:tcPr>
            <w:tcW w:w="1323" w:type="dxa"/>
            <w:noWrap/>
          </w:tcPr>
          <w:p w14:paraId="6BFED268">
            <w:pPr>
              <w:pStyle w:val="280"/>
              <w:rPr>
                <w:color w:val="auto"/>
              </w:rPr>
            </w:pPr>
          </w:p>
        </w:tc>
        <w:tc>
          <w:tcPr>
            <w:tcW w:w="1267" w:type="dxa"/>
            <w:noWrap/>
          </w:tcPr>
          <w:p w14:paraId="264358BD">
            <w:pPr>
              <w:pStyle w:val="280"/>
              <w:rPr>
                <w:color w:val="auto"/>
              </w:rPr>
            </w:pPr>
          </w:p>
        </w:tc>
        <w:tc>
          <w:tcPr>
            <w:tcW w:w="2461" w:type="dxa"/>
            <w:noWrap/>
          </w:tcPr>
          <w:p w14:paraId="1F5521C3">
            <w:pPr>
              <w:pStyle w:val="280"/>
              <w:rPr>
                <w:color w:val="auto"/>
              </w:rPr>
            </w:pPr>
          </w:p>
        </w:tc>
      </w:tr>
    </w:tbl>
    <w:p w14:paraId="18086AB4">
      <w:pPr>
        <w:pStyle w:val="21"/>
        <w:spacing w:line="242" w:lineRule="auto"/>
        <w:rPr>
          <w:color w:val="auto"/>
        </w:rPr>
      </w:pPr>
    </w:p>
    <w:p w14:paraId="45CB9669">
      <w:pPr>
        <w:pStyle w:val="21"/>
        <w:spacing w:line="243" w:lineRule="auto"/>
        <w:rPr>
          <w:color w:val="auto"/>
        </w:rPr>
      </w:pPr>
    </w:p>
    <w:p w14:paraId="32E75CE2">
      <w:pPr>
        <w:pStyle w:val="21"/>
        <w:spacing w:line="243" w:lineRule="auto"/>
        <w:rPr>
          <w:color w:val="auto"/>
        </w:rPr>
      </w:pPr>
      <w:r>
        <w:rPr>
          <w:color w:val="auto"/>
        </w:rPr>
        <w:pict>
          <v:shape id="_x0000_s2058" o:spid="_x0000_s2058" o:spt="100" style="position:absolute;left:0pt;margin-left:28.9pt;margin-top:0.6pt;height:0pt;width:144pt;z-index:251673600;mso-width-relative:page;mso-height-relative:page;" filled="f" coordsize="2880,1" o:gfxdata="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8Z57QdIAAAAGAQAADwAAAAAAAAABACAAAAAiAAAAZHJzL2Rvd25yZXYueG1sUEsBAhQAFAAA&#10;AAgAh07iQJ2fOKguAgAAlQQAAA4AAAAAAAAAAQAgAAAAIQEAAGRycy9lMm9Eb2MueG1sUEsFBgAA&#10;AAAGAAYAWQEAAMEFAAAAAA==&#10;" path="m0,0l2880,0e">
            <v:path o:connecttype="segments"/>
            <v:fill on="f" focussize="0,0"/>
            <v:stroke weight="0pt" joinstyle="bevel" endcap="square"/>
            <v:imagedata o:title=""/>
            <o:lock v:ext="edit"/>
          </v:shape>
        </w:pict>
      </w:r>
    </w:p>
    <w:p w14:paraId="7EEB4A0A">
      <w:pPr>
        <w:spacing w:before="62" w:line="335" w:lineRule="auto"/>
        <w:ind w:left="587" w:right="580" w:firstLine="399"/>
        <w:rPr>
          <w:rFonts w:ascii="宋体" w:hAnsi="宋体" w:cs="宋体"/>
          <w:color w:val="auto"/>
          <w:sz w:val="19"/>
          <w:szCs w:val="19"/>
        </w:rPr>
      </w:pPr>
      <w:bookmarkStart w:id="190" w:name="bookmark234"/>
      <w:bookmarkEnd w:id="190"/>
      <w:r>
        <w:rPr>
          <w:rFonts w:ascii="宋体" w:hAnsi="宋体" w:cs="宋体"/>
          <w:color w:val="auto"/>
          <w:spacing w:val="10"/>
          <w:sz w:val="19"/>
          <w:szCs w:val="19"/>
        </w:rPr>
        <w:t xml:space="preserve">① </w:t>
      </w:r>
      <w:r>
        <w:rPr>
          <w:rFonts w:eastAsia="Times New Roman"/>
          <w:color w:val="auto"/>
          <w:spacing w:val="10"/>
          <w:sz w:val="19"/>
          <w:szCs w:val="19"/>
        </w:rPr>
        <w:t>a.</w:t>
      </w:r>
      <w:r>
        <w:rPr>
          <w:rFonts w:ascii="宋体" w:hAnsi="宋体" w:cs="宋体"/>
          <w:color w:val="auto"/>
          <w:spacing w:val="10"/>
          <w:sz w:val="19"/>
          <w:szCs w:val="19"/>
        </w:rPr>
        <w:t>发包人和承包人应在合同中约定承包人委派本项目的其他管理和技术人员，一般需包括但</w:t>
      </w:r>
      <w:r>
        <w:rPr>
          <w:rFonts w:ascii="宋体" w:hAnsi="宋体" w:cs="宋体"/>
          <w:color w:val="auto"/>
          <w:spacing w:val="11"/>
          <w:sz w:val="19"/>
          <w:szCs w:val="19"/>
        </w:rPr>
        <w:t>不限于项目副经理、桥梁养护工程师、道路养护工程</w:t>
      </w:r>
      <w:r>
        <w:rPr>
          <w:rFonts w:ascii="宋体" w:hAnsi="宋体" w:cs="宋体"/>
          <w:color w:val="auto"/>
          <w:spacing w:val="10"/>
          <w:sz w:val="19"/>
          <w:szCs w:val="19"/>
        </w:rPr>
        <w:t>师、养护专业技术人员、内业计量员、公路养</w:t>
      </w:r>
      <w:r>
        <w:rPr>
          <w:rFonts w:ascii="宋体" w:hAnsi="宋体" w:cs="宋体"/>
          <w:color w:val="auto"/>
          <w:spacing w:val="9"/>
          <w:sz w:val="19"/>
          <w:szCs w:val="19"/>
        </w:rPr>
        <w:t>护技术工人等，且上述人员均应具备相应资质及证书，证书复印件应报发包人备案。</w:t>
      </w:r>
    </w:p>
    <w:p w14:paraId="42B90333">
      <w:pPr>
        <w:spacing w:before="166" w:line="335" w:lineRule="auto"/>
        <w:ind w:left="587" w:right="580" w:firstLine="392"/>
        <w:rPr>
          <w:rFonts w:ascii="宋体" w:hAnsi="宋体" w:cs="宋体"/>
          <w:color w:val="auto"/>
          <w:sz w:val="19"/>
          <w:szCs w:val="19"/>
        </w:rPr>
      </w:pPr>
      <w:r>
        <w:rPr>
          <w:rFonts w:eastAsia="Times New Roman"/>
          <w:color w:val="auto"/>
          <w:spacing w:val="13"/>
          <w:sz w:val="19"/>
          <w:szCs w:val="19"/>
        </w:rPr>
        <w:t>b.</w:t>
      </w:r>
      <w:r>
        <w:rPr>
          <w:rFonts w:ascii="宋体" w:hAnsi="宋体" w:cs="宋体"/>
          <w:color w:val="auto"/>
          <w:spacing w:val="13"/>
          <w:sz w:val="19"/>
          <w:szCs w:val="19"/>
        </w:rPr>
        <w:t>上述人员必须是承包人本单位在职人员且承包人应提</w:t>
      </w:r>
      <w:r>
        <w:rPr>
          <w:rFonts w:ascii="宋体" w:hAnsi="宋体" w:cs="宋体"/>
          <w:color w:val="auto"/>
          <w:spacing w:val="12"/>
          <w:sz w:val="19"/>
          <w:szCs w:val="19"/>
        </w:rPr>
        <w:t>供上述人员社保系统打印的人员缴费明</w:t>
      </w:r>
      <w:r>
        <w:rPr>
          <w:rFonts w:ascii="宋体" w:hAnsi="宋体" w:cs="宋体"/>
          <w:color w:val="auto"/>
          <w:spacing w:val="10"/>
          <w:sz w:val="19"/>
          <w:szCs w:val="19"/>
        </w:rPr>
        <w:t>细（缴费截止时间应在合同协议书签订之日或投标截止时间前</w:t>
      </w:r>
      <w:r>
        <w:rPr>
          <w:rFonts w:eastAsia="Times New Roman"/>
          <w:color w:val="auto"/>
          <w:spacing w:val="10"/>
          <w:sz w:val="19"/>
          <w:szCs w:val="19"/>
        </w:rPr>
        <w:t xml:space="preserve">3 </w:t>
      </w:r>
      <w:r>
        <w:rPr>
          <w:rFonts w:ascii="宋体" w:hAnsi="宋体" w:cs="宋体"/>
          <w:color w:val="auto"/>
          <w:spacing w:val="10"/>
          <w:sz w:val="19"/>
          <w:szCs w:val="19"/>
        </w:rPr>
        <w:t>个月以内，连续缴费期不低于</w:t>
      </w:r>
      <w:r>
        <w:rPr>
          <w:rFonts w:eastAsia="Times New Roman"/>
          <w:color w:val="auto"/>
          <w:spacing w:val="10"/>
          <w:sz w:val="19"/>
          <w:szCs w:val="19"/>
        </w:rPr>
        <w:t xml:space="preserve">3 </w:t>
      </w:r>
      <w:r>
        <w:rPr>
          <w:rFonts w:ascii="宋体" w:hAnsi="宋体" w:cs="宋体"/>
          <w:color w:val="auto"/>
          <w:spacing w:val="10"/>
          <w:sz w:val="19"/>
          <w:szCs w:val="19"/>
        </w:rPr>
        <w:t>个</w:t>
      </w:r>
      <w:r>
        <w:rPr>
          <w:rFonts w:ascii="宋体" w:hAnsi="宋体" w:cs="宋体"/>
          <w:color w:val="auto"/>
          <w:spacing w:val="-21"/>
          <w:sz w:val="19"/>
          <w:szCs w:val="19"/>
        </w:rPr>
        <w:t>月）。</w:t>
      </w:r>
    </w:p>
    <w:p w14:paraId="1BCFBE4A">
      <w:pPr>
        <w:spacing w:line="335" w:lineRule="auto"/>
        <w:rPr>
          <w:rFonts w:ascii="宋体" w:hAnsi="宋体" w:cs="宋体"/>
          <w:color w:val="auto"/>
          <w:sz w:val="19"/>
          <w:szCs w:val="19"/>
        </w:rPr>
        <w:sectPr>
          <w:footerReference r:id="rId15" w:type="default"/>
          <w:pgSz w:w="11907" w:h="16840"/>
          <w:pgMar w:top="1431" w:right="1009" w:bottom="1195" w:left="1065" w:header="0" w:footer="1017" w:gutter="0"/>
          <w:cols w:space="720" w:num="1"/>
        </w:sectPr>
      </w:pPr>
    </w:p>
    <w:p w14:paraId="67A958FF">
      <w:pPr>
        <w:spacing w:before="173" w:line="233" w:lineRule="auto"/>
        <w:ind w:left="32"/>
        <w:outlineLvl w:val="2"/>
        <w:rPr>
          <w:rFonts w:ascii="宋体" w:hAnsi="宋体" w:cs="宋体"/>
          <w:color w:val="auto"/>
          <w:sz w:val="12"/>
          <w:szCs w:val="12"/>
        </w:rPr>
      </w:pPr>
      <w:bookmarkStart w:id="191" w:name="bookmark63"/>
      <w:bookmarkEnd w:id="191"/>
      <w:bookmarkStart w:id="192" w:name="bookmark64"/>
      <w:bookmarkEnd w:id="192"/>
      <w:r>
        <w:rPr>
          <w:rFonts w:ascii="宋体" w:hAnsi="宋体" w:cs="宋体"/>
          <w:b/>
          <w:bCs/>
          <w:color w:val="auto"/>
          <w:spacing w:val="-3"/>
          <w:sz w:val="24"/>
        </w:rPr>
        <w:t>附件四主要机械设备和试验检测设备</w:t>
      </w:r>
      <w:r>
        <w:rPr>
          <w:color w:val="auto"/>
        </w:rPr>
        <w:fldChar w:fldCharType="begin"/>
      </w:r>
      <w:r>
        <w:rPr>
          <w:color w:val="auto"/>
        </w:rPr>
        <w:instrText xml:space="preserve"> HYPERLINK \l "bookmark235" </w:instrText>
      </w:r>
      <w:r>
        <w:rPr>
          <w:color w:val="auto"/>
        </w:rPr>
        <w:fldChar w:fldCharType="separate"/>
      </w:r>
      <w:r>
        <w:rPr>
          <w:rFonts w:ascii="宋体" w:hAnsi="宋体" w:cs="宋体"/>
          <w:b/>
          <w:bCs/>
          <w:color w:val="auto"/>
          <w:spacing w:val="-3"/>
          <w:position w:val="12"/>
          <w:sz w:val="12"/>
          <w:szCs w:val="12"/>
        </w:rPr>
        <w:t>①</w:t>
      </w:r>
      <w:r>
        <w:rPr>
          <w:rFonts w:ascii="宋体" w:hAnsi="宋体" w:cs="宋体"/>
          <w:b/>
          <w:bCs/>
          <w:color w:val="auto"/>
          <w:spacing w:val="-3"/>
          <w:position w:val="12"/>
          <w:sz w:val="12"/>
          <w:szCs w:val="12"/>
        </w:rPr>
        <w:fldChar w:fldCharType="end"/>
      </w:r>
    </w:p>
    <w:p w14:paraId="5E36A531">
      <w:pPr>
        <w:spacing w:line="147" w:lineRule="exact"/>
        <w:rPr>
          <w:color w:val="auto"/>
        </w:rPr>
      </w:pPr>
    </w:p>
    <w:tbl>
      <w:tblPr>
        <w:tblStyle w:val="282"/>
        <w:tblW w:w="86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5"/>
        <w:gridCol w:w="913"/>
        <w:gridCol w:w="903"/>
        <w:gridCol w:w="656"/>
        <w:gridCol w:w="646"/>
        <w:gridCol w:w="1043"/>
        <w:gridCol w:w="632"/>
        <w:gridCol w:w="456"/>
        <w:gridCol w:w="546"/>
        <w:gridCol w:w="546"/>
        <w:gridCol w:w="549"/>
        <w:gridCol w:w="939"/>
      </w:tblGrid>
      <w:tr w14:paraId="32F12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05" w:type="dxa"/>
            <w:vMerge w:val="restart"/>
            <w:tcBorders>
              <w:bottom w:val="nil"/>
            </w:tcBorders>
            <w:noWrap/>
          </w:tcPr>
          <w:p w14:paraId="5E0375F2">
            <w:pPr>
              <w:pStyle w:val="280"/>
              <w:spacing w:line="322" w:lineRule="auto"/>
              <w:rPr>
                <w:color w:val="auto"/>
                <w:lang w:eastAsia="zh-CN"/>
              </w:rPr>
            </w:pPr>
          </w:p>
          <w:p w14:paraId="74562ED0">
            <w:pPr>
              <w:pStyle w:val="280"/>
              <w:spacing w:line="323" w:lineRule="auto"/>
              <w:rPr>
                <w:color w:val="auto"/>
                <w:lang w:eastAsia="zh-CN"/>
              </w:rPr>
            </w:pPr>
          </w:p>
          <w:p w14:paraId="6070F300">
            <w:pPr>
              <w:spacing w:before="78" w:line="221" w:lineRule="auto"/>
              <w:ind w:left="168"/>
              <w:rPr>
                <w:rFonts w:ascii="宋体" w:hAnsi="宋体" w:cs="宋体"/>
                <w:color w:val="auto"/>
                <w:sz w:val="24"/>
              </w:rPr>
            </w:pPr>
            <w:r>
              <w:rPr>
                <w:rFonts w:ascii="宋体" w:hAnsi="宋体" w:cs="宋体"/>
                <w:color w:val="auto"/>
                <w:spacing w:val="-5"/>
                <w:sz w:val="24"/>
              </w:rPr>
              <w:t>序号</w:t>
            </w:r>
          </w:p>
        </w:tc>
        <w:tc>
          <w:tcPr>
            <w:tcW w:w="913" w:type="dxa"/>
            <w:vMerge w:val="restart"/>
            <w:tcBorders>
              <w:bottom w:val="nil"/>
            </w:tcBorders>
            <w:noWrap/>
          </w:tcPr>
          <w:p w14:paraId="41CB962B">
            <w:pPr>
              <w:pStyle w:val="280"/>
              <w:spacing w:line="448" w:lineRule="auto"/>
              <w:rPr>
                <w:color w:val="auto"/>
              </w:rPr>
            </w:pPr>
          </w:p>
          <w:p w14:paraId="67DE45FF">
            <w:pPr>
              <w:spacing w:before="78" w:line="311" w:lineRule="auto"/>
              <w:ind w:left="419" w:right="175" w:hanging="235"/>
              <w:rPr>
                <w:rFonts w:ascii="宋体" w:hAnsi="宋体" w:cs="宋体"/>
                <w:color w:val="auto"/>
                <w:sz w:val="24"/>
              </w:rPr>
            </w:pPr>
            <w:r>
              <w:rPr>
                <w:rFonts w:ascii="宋体" w:hAnsi="宋体" w:cs="宋体"/>
                <w:color w:val="auto"/>
                <w:spacing w:val="-5"/>
                <w:sz w:val="24"/>
              </w:rPr>
              <w:t>设备名</w:t>
            </w:r>
            <w:r>
              <w:rPr>
                <w:rFonts w:ascii="宋体" w:hAnsi="宋体" w:cs="宋体"/>
                <w:color w:val="auto"/>
                <w:sz w:val="24"/>
              </w:rPr>
              <w:t>称</w:t>
            </w:r>
          </w:p>
        </w:tc>
        <w:tc>
          <w:tcPr>
            <w:tcW w:w="903" w:type="dxa"/>
            <w:vMerge w:val="restart"/>
            <w:tcBorders>
              <w:bottom w:val="nil"/>
            </w:tcBorders>
            <w:noWrap/>
          </w:tcPr>
          <w:p w14:paraId="3D19E3CE">
            <w:pPr>
              <w:pStyle w:val="280"/>
              <w:spacing w:line="448" w:lineRule="auto"/>
              <w:rPr>
                <w:color w:val="auto"/>
              </w:rPr>
            </w:pPr>
          </w:p>
          <w:p w14:paraId="0A8D37D1">
            <w:pPr>
              <w:spacing w:before="78" w:line="310" w:lineRule="auto"/>
              <w:ind w:left="139" w:right="129" w:firstLine="6"/>
              <w:rPr>
                <w:rFonts w:ascii="宋体" w:hAnsi="宋体" w:cs="宋体"/>
                <w:color w:val="auto"/>
                <w:sz w:val="24"/>
              </w:rPr>
            </w:pPr>
            <w:r>
              <w:rPr>
                <w:rFonts w:ascii="宋体" w:hAnsi="宋体" w:cs="宋体"/>
                <w:color w:val="auto"/>
                <w:spacing w:val="-9"/>
                <w:sz w:val="24"/>
              </w:rPr>
              <w:t>型号</w:t>
            </w:r>
            <w:r>
              <w:rPr>
                <w:rFonts w:ascii="宋体" w:hAnsi="宋体" w:cs="宋体"/>
                <w:color w:val="auto"/>
                <w:spacing w:val="-6"/>
                <w:sz w:val="24"/>
              </w:rPr>
              <w:t>规格</w:t>
            </w:r>
          </w:p>
        </w:tc>
        <w:tc>
          <w:tcPr>
            <w:tcW w:w="656" w:type="dxa"/>
            <w:vMerge w:val="restart"/>
            <w:tcBorders>
              <w:bottom w:val="nil"/>
            </w:tcBorders>
            <w:noWrap/>
            <w:textDirection w:val="tbRlV"/>
          </w:tcPr>
          <w:p w14:paraId="6449B39D">
            <w:pPr>
              <w:spacing w:before="204" w:line="208" w:lineRule="auto"/>
              <w:ind w:left="127"/>
              <w:rPr>
                <w:rFonts w:ascii="宋体" w:hAnsi="宋体" w:cs="宋体"/>
                <w:color w:val="auto"/>
                <w:sz w:val="24"/>
              </w:rPr>
            </w:pPr>
            <w:r>
              <w:rPr>
                <w:rFonts w:ascii="宋体" w:hAnsi="宋体" w:cs="宋体"/>
                <w:color w:val="auto"/>
                <w:spacing w:val="-1"/>
                <w:sz w:val="24"/>
              </w:rPr>
              <w:t>国别产地</w:t>
            </w:r>
          </w:p>
        </w:tc>
        <w:tc>
          <w:tcPr>
            <w:tcW w:w="646" w:type="dxa"/>
            <w:vMerge w:val="restart"/>
            <w:tcBorders>
              <w:bottom w:val="nil"/>
            </w:tcBorders>
            <w:noWrap/>
            <w:textDirection w:val="tbRlV"/>
          </w:tcPr>
          <w:p w14:paraId="2503DF72">
            <w:pPr>
              <w:spacing w:before="197" w:line="209" w:lineRule="auto"/>
              <w:ind w:left="127"/>
              <w:rPr>
                <w:rFonts w:ascii="宋体" w:hAnsi="宋体" w:cs="宋体"/>
                <w:color w:val="auto"/>
                <w:sz w:val="24"/>
              </w:rPr>
            </w:pPr>
            <w:r>
              <w:rPr>
                <w:rFonts w:ascii="宋体" w:hAnsi="宋体" w:cs="宋体"/>
                <w:color w:val="auto"/>
                <w:spacing w:val="-1"/>
                <w:sz w:val="24"/>
              </w:rPr>
              <w:t>制造年份</w:t>
            </w:r>
          </w:p>
        </w:tc>
        <w:tc>
          <w:tcPr>
            <w:tcW w:w="1043" w:type="dxa"/>
            <w:vMerge w:val="restart"/>
            <w:tcBorders>
              <w:bottom w:val="nil"/>
            </w:tcBorders>
            <w:noWrap/>
          </w:tcPr>
          <w:p w14:paraId="2DB7A6B6">
            <w:pPr>
              <w:pStyle w:val="280"/>
              <w:spacing w:line="250" w:lineRule="auto"/>
              <w:rPr>
                <w:color w:val="auto"/>
              </w:rPr>
            </w:pPr>
          </w:p>
          <w:p w14:paraId="09F110FF">
            <w:pPr>
              <w:spacing w:before="78" w:line="307" w:lineRule="auto"/>
              <w:ind w:left="411" w:right="156" w:hanging="241"/>
              <w:rPr>
                <w:rFonts w:ascii="宋体" w:hAnsi="宋体" w:cs="宋体"/>
                <w:color w:val="auto"/>
                <w:sz w:val="24"/>
              </w:rPr>
            </w:pPr>
            <w:r>
              <w:rPr>
                <w:rFonts w:ascii="宋体" w:hAnsi="宋体" w:cs="宋体"/>
                <w:color w:val="auto"/>
                <w:spacing w:val="-4"/>
                <w:sz w:val="24"/>
              </w:rPr>
              <w:t>额定功</w:t>
            </w:r>
            <w:r>
              <w:rPr>
                <w:rFonts w:ascii="宋体" w:hAnsi="宋体" w:cs="宋体"/>
                <w:color w:val="auto"/>
                <w:sz w:val="24"/>
              </w:rPr>
              <w:t>率</w:t>
            </w:r>
          </w:p>
          <w:p w14:paraId="621996A2">
            <w:pPr>
              <w:spacing w:line="231" w:lineRule="auto"/>
              <w:ind w:left="127"/>
              <w:rPr>
                <w:rFonts w:ascii="宋体" w:hAnsi="宋体" w:cs="宋体"/>
                <w:color w:val="auto"/>
                <w:sz w:val="24"/>
              </w:rPr>
            </w:pPr>
            <w:r>
              <w:rPr>
                <w:rFonts w:ascii="宋体" w:hAnsi="宋体" w:cs="宋体"/>
                <w:color w:val="auto"/>
                <w:spacing w:val="-6"/>
                <w:sz w:val="24"/>
              </w:rPr>
              <w:t>（</w:t>
            </w:r>
            <w:r>
              <w:rPr>
                <w:rFonts w:eastAsia="Times New Roman"/>
                <w:color w:val="auto"/>
                <w:spacing w:val="-6"/>
                <w:sz w:val="24"/>
              </w:rPr>
              <w:t>kW</w:t>
            </w:r>
            <w:r>
              <w:rPr>
                <w:rFonts w:ascii="宋体" w:hAnsi="宋体" w:cs="宋体"/>
                <w:color w:val="auto"/>
                <w:spacing w:val="-6"/>
                <w:sz w:val="24"/>
              </w:rPr>
              <w:t>）</w:t>
            </w:r>
          </w:p>
        </w:tc>
        <w:tc>
          <w:tcPr>
            <w:tcW w:w="632" w:type="dxa"/>
            <w:vMerge w:val="restart"/>
            <w:tcBorders>
              <w:bottom w:val="nil"/>
            </w:tcBorders>
            <w:noWrap/>
            <w:textDirection w:val="tbRlV"/>
          </w:tcPr>
          <w:p w14:paraId="253FC105">
            <w:pPr>
              <w:spacing w:before="190" w:line="208" w:lineRule="auto"/>
              <w:ind w:left="127"/>
              <w:rPr>
                <w:rFonts w:ascii="宋体" w:hAnsi="宋体" w:cs="宋体"/>
                <w:color w:val="auto"/>
                <w:sz w:val="24"/>
              </w:rPr>
            </w:pPr>
            <w:r>
              <w:rPr>
                <w:rFonts w:ascii="宋体" w:hAnsi="宋体" w:cs="宋体"/>
                <w:color w:val="auto"/>
                <w:spacing w:val="-1"/>
                <w:sz w:val="24"/>
              </w:rPr>
              <w:t>生产能力</w:t>
            </w:r>
          </w:p>
        </w:tc>
        <w:tc>
          <w:tcPr>
            <w:tcW w:w="2097" w:type="dxa"/>
            <w:gridSpan w:val="4"/>
            <w:noWrap/>
          </w:tcPr>
          <w:p w14:paraId="4888BDB2">
            <w:pPr>
              <w:spacing w:before="127" w:line="209" w:lineRule="auto"/>
              <w:ind w:left="458"/>
              <w:rPr>
                <w:rFonts w:ascii="宋体" w:hAnsi="宋体" w:cs="宋体"/>
                <w:color w:val="auto"/>
                <w:sz w:val="24"/>
              </w:rPr>
            </w:pPr>
            <w:r>
              <w:rPr>
                <w:rFonts w:ascii="宋体" w:hAnsi="宋体" w:cs="宋体"/>
                <w:color w:val="auto"/>
                <w:spacing w:val="-3"/>
                <w:sz w:val="24"/>
              </w:rPr>
              <w:t>数量（台）</w:t>
            </w:r>
          </w:p>
        </w:tc>
        <w:tc>
          <w:tcPr>
            <w:tcW w:w="939" w:type="dxa"/>
            <w:vMerge w:val="restart"/>
            <w:tcBorders>
              <w:bottom w:val="nil"/>
            </w:tcBorders>
            <w:noWrap/>
          </w:tcPr>
          <w:p w14:paraId="6C5B084B">
            <w:pPr>
              <w:pStyle w:val="280"/>
              <w:spacing w:line="251" w:lineRule="auto"/>
              <w:rPr>
                <w:color w:val="auto"/>
              </w:rPr>
            </w:pPr>
          </w:p>
          <w:p w14:paraId="614EF49B">
            <w:pPr>
              <w:spacing w:before="78" w:line="309" w:lineRule="auto"/>
              <w:ind w:left="234" w:right="226" w:firstLine="3"/>
              <w:rPr>
                <w:rFonts w:ascii="宋体" w:hAnsi="宋体" w:cs="宋体"/>
                <w:color w:val="auto"/>
                <w:sz w:val="24"/>
              </w:rPr>
            </w:pPr>
            <w:r>
              <w:rPr>
                <w:rFonts w:ascii="宋体" w:hAnsi="宋体" w:cs="宋体"/>
                <w:color w:val="auto"/>
                <w:spacing w:val="-6"/>
                <w:sz w:val="24"/>
              </w:rPr>
              <w:t>预计</w:t>
            </w:r>
            <w:r>
              <w:rPr>
                <w:rFonts w:ascii="宋体" w:hAnsi="宋体" w:cs="宋体"/>
                <w:color w:val="auto"/>
                <w:spacing w:val="-4"/>
                <w:sz w:val="24"/>
              </w:rPr>
              <w:t>进场时间</w:t>
            </w:r>
          </w:p>
        </w:tc>
      </w:tr>
      <w:tr w14:paraId="036F0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05" w:type="dxa"/>
            <w:vMerge w:val="continue"/>
            <w:tcBorders>
              <w:top w:val="nil"/>
              <w:bottom w:val="nil"/>
            </w:tcBorders>
            <w:noWrap/>
          </w:tcPr>
          <w:p w14:paraId="62998833">
            <w:pPr>
              <w:pStyle w:val="280"/>
              <w:rPr>
                <w:color w:val="auto"/>
              </w:rPr>
            </w:pPr>
          </w:p>
        </w:tc>
        <w:tc>
          <w:tcPr>
            <w:tcW w:w="913" w:type="dxa"/>
            <w:vMerge w:val="continue"/>
            <w:tcBorders>
              <w:top w:val="nil"/>
              <w:bottom w:val="nil"/>
            </w:tcBorders>
            <w:noWrap/>
          </w:tcPr>
          <w:p w14:paraId="02F89057">
            <w:pPr>
              <w:pStyle w:val="280"/>
              <w:rPr>
                <w:color w:val="auto"/>
              </w:rPr>
            </w:pPr>
          </w:p>
        </w:tc>
        <w:tc>
          <w:tcPr>
            <w:tcW w:w="903" w:type="dxa"/>
            <w:vMerge w:val="continue"/>
            <w:tcBorders>
              <w:top w:val="nil"/>
              <w:bottom w:val="nil"/>
            </w:tcBorders>
            <w:noWrap/>
          </w:tcPr>
          <w:p w14:paraId="51928D8F">
            <w:pPr>
              <w:pStyle w:val="280"/>
              <w:rPr>
                <w:color w:val="auto"/>
              </w:rPr>
            </w:pPr>
          </w:p>
        </w:tc>
        <w:tc>
          <w:tcPr>
            <w:tcW w:w="656" w:type="dxa"/>
            <w:vMerge w:val="continue"/>
            <w:tcBorders>
              <w:top w:val="nil"/>
              <w:bottom w:val="nil"/>
            </w:tcBorders>
            <w:noWrap/>
            <w:textDirection w:val="tbRlV"/>
          </w:tcPr>
          <w:p w14:paraId="72EA4298">
            <w:pPr>
              <w:pStyle w:val="280"/>
              <w:rPr>
                <w:color w:val="auto"/>
              </w:rPr>
            </w:pPr>
          </w:p>
        </w:tc>
        <w:tc>
          <w:tcPr>
            <w:tcW w:w="646" w:type="dxa"/>
            <w:vMerge w:val="continue"/>
            <w:tcBorders>
              <w:top w:val="nil"/>
              <w:bottom w:val="nil"/>
            </w:tcBorders>
            <w:noWrap/>
            <w:textDirection w:val="tbRlV"/>
          </w:tcPr>
          <w:p w14:paraId="21832C8A">
            <w:pPr>
              <w:pStyle w:val="280"/>
              <w:rPr>
                <w:color w:val="auto"/>
              </w:rPr>
            </w:pPr>
          </w:p>
        </w:tc>
        <w:tc>
          <w:tcPr>
            <w:tcW w:w="1043" w:type="dxa"/>
            <w:vMerge w:val="continue"/>
            <w:tcBorders>
              <w:top w:val="nil"/>
              <w:bottom w:val="nil"/>
            </w:tcBorders>
            <w:noWrap/>
          </w:tcPr>
          <w:p w14:paraId="0F9C7147">
            <w:pPr>
              <w:pStyle w:val="280"/>
              <w:rPr>
                <w:color w:val="auto"/>
              </w:rPr>
            </w:pPr>
          </w:p>
        </w:tc>
        <w:tc>
          <w:tcPr>
            <w:tcW w:w="632" w:type="dxa"/>
            <w:vMerge w:val="continue"/>
            <w:tcBorders>
              <w:top w:val="nil"/>
              <w:bottom w:val="nil"/>
            </w:tcBorders>
            <w:noWrap/>
            <w:textDirection w:val="tbRlV"/>
          </w:tcPr>
          <w:p w14:paraId="29711947">
            <w:pPr>
              <w:pStyle w:val="280"/>
              <w:rPr>
                <w:color w:val="auto"/>
              </w:rPr>
            </w:pPr>
          </w:p>
        </w:tc>
        <w:tc>
          <w:tcPr>
            <w:tcW w:w="456" w:type="dxa"/>
            <w:vMerge w:val="restart"/>
            <w:tcBorders>
              <w:bottom w:val="nil"/>
            </w:tcBorders>
            <w:noWrap/>
            <w:textDirection w:val="tbRlV"/>
          </w:tcPr>
          <w:p w14:paraId="40640362">
            <w:pPr>
              <w:spacing w:before="104" w:line="209" w:lineRule="auto"/>
              <w:ind w:left="320"/>
              <w:rPr>
                <w:rFonts w:ascii="宋体" w:hAnsi="宋体" w:cs="宋体"/>
                <w:color w:val="auto"/>
                <w:sz w:val="24"/>
              </w:rPr>
            </w:pPr>
            <w:r>
              <w:rPr>
                <w:rFonts w:ascii="宋体" w:hAnsi="宋体" w:cs="宋体"/>
                <w:color w:val="auto"/>
                <w:spacing w:val="-1"/>
                <w:sz w:val="24"/>
              </w:rPr>
              <w:t>小计</w:t>
            </w:r>
          </w:p>
        </w:tc>
        <w:tc>
          <w:tcPr>
            <w:tcW w:w="1641" w:type="dxa"/>
            <w:gridSpan w:val="3"/>
            <w:noWrap/>
          </w:tcPr>
          <w:p w14:paraId="147A5119">
            <w:pPr>
              <w:spacing w:before="123" w:line="208" w:lineRule="auto"/>
              <w:ind w:left="469"/>
              <w:rPr>
                <w:rFonts w:ascii="宋体" w:hAnsi="宋体" w:cs="宋体"/>
                <w:color w:val="auto"/>
                <w:sz w:val="24"/>
              </w:rPr>
            </w:pPr>
            <w:r>
              <w:rPr>
                <w:rFonts w:ascii="宋体" w:hAnsi="宋体" w:cs="宋体"/>
                <w:color w:val="auto"/>
                <w:spacing w:val="-6"/>
                <w:sz w:val="24"/>
              </w:rPr>
              <w:t>其中</w:t>
            </w:r>
          </w:p>
        </w:tc>
        <w:tc>
          <w:tcPr>
            <w:tcW w:w="939" w:type="dxa"/>
            <w:vMerge w:val="continue"/>
            <w:tcBorders>
              <w:top w:val="nil"/>
              <w:bottom w:val="nil"/>
            </w:tcBorders>
            <w:noWrap/>
          </w:tcPr>
          <w:p w14:paraId="0D790B7E">
            <w:pPr>
              <w:pStyle w:val="280"/>
              <w:rPr>
                <w:color w:val="auto"/>
              </w:rPr>
            </w:pPr>
          </w:p>
        </w:tc>
      </w:tr>
      <w:tr w14:paraId="4593F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805" w:type="dxa"/>
            <w:vMerge w:val="continue"/>
            <w:tcBorders>
              <w:top w:val="nil"/>
            </w:tcBorders>
            <w:noWrap/>
          </w:tcPr>
          <w:p w14:paraId="547AA9DF">
            <w:pPr>
              <w:pStyle w:val="280"/>
              <w:rPr>
                <w:color w:val="auto"/>
              </w:rPr>
            </w:pPr>
          </w:p>
        </w:tc>
        <w:tc>
          <w:tcPr>
            <w:tcW w:w="913" w:type="dxa"/>
            <w:vMerge w:val="continue"/>
            <w:tcBorders>
              <w:top w:val="nil"/>
            </w:tcBorders>
            <w:noWrap/>
          </w:tcPr>
          <w:p w14:paraId="6E5DD0FA">
            <w:pPr>
              <w:pStyle w:val="280"/>
              <w:rPr>
                <w:color w:val="auto"/>
              </w:rPr>
            </w:pPr>
          </w:p>
        </w:tc>
        <w:tc>
          <w:tcPr>
            <w:tcW w:w="903" w:type="dxa"/>
            <w:vMerge w:val="continue"/>
            <w:tcBorders>
              <w:top w:val="nil"/>
            </w:tcBorders>
            <w:noWrap/>
          </w:tcPr>
          <w:p w14:paraId="1F25644B">
            <w:pPr>
              <w:pStyle w:val="280"/>
              <w:rPr>
                <w:color w:val="auto"/>
              </w:rPr>
            </w:pPr>
          </w:p>
        </w:tc>
        <w:tc>
          <w:tcPr>
            <w:tcW w:w="656" w:type="dxa"/>
            <w:vMerge w:val="continue"/>
            <w:tcBorders>
              <w:top w:val="nil"/>
            </w:tcBorders>
            <w:noWrap/>
            <w:textDirection w:val="tbRlV"/>
          </w:tcPr>
          <w:p w14:paraId="3926F8A8">
            <w:pPr>
              <w:pStyle w:val="280"/>
              <w:rPr>
                <w:color w:val="auto"/>
              </w:rPr>
            </w:pPr>
          </w:p>
        </w:tc>
        <w:tc>
          <w:tcPr>
            <w:tcW w:w="646" w:type="dxa"/>
            <w:vMerge w:val="continue"/>
            <w:tcBorders>
              <w:top w:val="nil"/>
            </w:tcBorders>
            <w:noWrap/>
            <w:textDirection w:val="tbRlV"/>
          </w:tcPr>
          <w:p w14:paraId="0292AE39">
            <w:pPr>
              <w:pStyle w:val="280"/>
              <w:rPr>
                <w:color w:val="auto"/>
              </w:rPr>
            </w:pPr>
          </w:p>
        </w:tc>
        <w:tc>
          <w:tcPr>
            <w:tcW w:w="1043" w:type="dxa"/>
            <w:vMerge w:val="continue"/>
            <w:tcBorders>
              <w:top w:val="nil"/>
            </w:tcBorders>
            <w:noWrap/>
          </w:tcPr>
          <w:p w14:paraId="5D6BBE68">
            <w:pPr>
              <w:pStyle w:val="280"/>
              <w:rPr>
                <w:color w:val="auto"/>
              </w:rPr>
            </w:pPr>
          </w:p>
        </w:tc>
        <w:tc>
          <w:tcPr>
            <w:tcW w:w="632" w:type="dxa"/>
            <w:vMerge w:val="continue"/>
            <w:tcBorders>
              <w:top w:val="nil"/>
            </w:tcBorders>
            <w:noWrap/>
            <w:textDirection w:val="tbRlV"/>
          </w:tcPr>
          <w:p w14:paraId="3C6C60F0">
            <w:pPr>
              <w:pStyle w:val="280"/>
              <w:rPr>
                <w:color w:val="auto"/>
              </w:rPr>
            </w:pPr>
          </w:p>
        </w:tc>
        <w:tc>
          <w:tcPr>
            <w:tcW w:w="456" w:type="dxa"/>
            <w:vMerge w:val="continue"/>
            <w:tcBorders>
              <w:top w:val="nil"/>
            </w:tcBorders>
            <w:noWrap/>
            <w:textDirection w:val="tbRlV"/>
          </w:tcPr>
          <w:p w14:paraId="19EA123D">
            <w:pPr>
              <w:pStyle w:val="280"/>
              <w:rPr>
                <w:color w:val="auto"/>
              </w:rPr>
            </w:pPr>
          </w:p>
        </w:tc>
        <w:tc>
          <w:tcPr>
            <w:tcW w:w="546" w:type="dxa"/>
            <w:noWrap/>
          </w:tcPr>
          <w:p w14:paraId="6E04677F">
            <w:pPr>
              <w:spacing w:before="315" w:line="220" w:lineRule="auto"/>
              <w:ind w:left="80"/>
              <w:rPr>
                <w:rFonts w:ascii="宋体" w:hAnsi="宋体" w:cs="宋体"/>
                <w:color w:val="auto"/>
                <w:sz w:val="24"/>
              </w:rPr>
            </w:pPr>
            <w:r>
              <w:rPr>
                <w:rFonts w:ascii="宋体" w:hAnsi="宋体" w:cs="宋体"/>
                <w:color w:val="auto"/>
                <w:spacing w:val="-25"/>
                <w:sz w:val="24"/>
              </w:rPr>
              <w:t>自有</w:t>
            </w:r>
          </w:p>
        </w:tc>
        <w:tc>
          <w:tcPr>
            <w:tcW w:w="546" w:type="dxa"/>
            <w:noWrap/>
          </w:tcPr>
          <w:p w14:paraId="7FEDF4E9">
            <w:pPr>
              <w:spacing w:before="315" w:line="220" w:lineRule="auto"/>
              <w:ind w:left="43"/>
              <w:rPr>
                <w:rFonts w:ascii="宋体" w:hAnsi="宋体" w:cs="宋体"/>
                <w:color w:val="auto"/>
                <w:sz w:val="24"/>
              </w:rPr>
            </w:pPr>
            <w:r>
              <w:rPr>
                <w:rFonts w:ascii="宋体" w:hAnsi="宋体" w:cs="宋体"/>
                <w:color w:val="auto"/>
                <w:spacing w:val="-6"/>
                <w:sz w:val="24"/>
              </w:rPr>
              <w:t>新购</w:t>
            </w:r>
          </w:p>
        </w:tc>
        <w:tc>
          <w:tcPr>
            <w:tcW w:w="549" w:type="dxa"/>
            <w:noWrap/>
          </w:tcPr>
          <w:p w14:paraId="3C5219CB">
            <w:pPr>
              <w:spacing w:before="315" w:line="220" w:lineRule="auto"/>
              <w:ind w:left="45"/>
              <w:rPr>
                <w:rFonts w:ascii="宋体" w:hAnsi="宋体" w:cs="宋体"/>
                <w:color w:val="auto"/>
                <w:sz w:val="24"/>
              </w:rPr>
            </w:pPr>
            <w:r>
              <w:rPr>
                <w:rFonts w:ascii="宋体" w:hAnsi="宋体" w:cs="宋体"/>
                <w:color w:val="auto"/>
                <w:spacing w:val="-6"/>
                <w:sz w:val="24"/>
              </w:rPr>
              <w:t>租赁</w:t>
            </w:r>
          </w:p>
        </w:tc>
        <w:tc>
          <w:tcPr>
            <w:tcW w:w="939" w:type="dxa"/>
            <w:vMerge w:val="continue"/>
            <w:tcBorders>
              <w:top w:val="nil"/>
            </w:tcBorders>
            <w:noWrap/>
          </w:tcPr>
          <w:p w14:paraId="691D9418">
            <w:pPr>
              <w:pStyle w:val="280"/>
              <w:rPr>
                <w:color w:val="auto"/>
              </w:rPr>
            </w:pPr>
          </w:p>
        </w:tc>
      </w:tr>
      <w:tr w14:paraId="5344C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05" w:type="dxa"/>
            <w:noWrap/>
          </w:tcPr>
          <w:p w14:paraId="213FCB81">
            <w:pPr>
              <w:pStyle w:val="280"/>
              <w:rPr>
                <w:color w:val="auto"/>
              </w:rPr>
            </w:pPr>
          </w:p>
        </w:tc>
        <w:tc>
          <w:tcPr>
            <w:tcW w:w="913" w:type="dxa"/>
            <w:noWrap/>
          </w:tcPr>
          <w:p w14:paraId="302194A1">
            <w:pPr>
              <w:pStyle w:val="280"/>
              <w:rPr>
                <w:color w:val="auto"/>
              </w:rPr>
            </w:pPr>
          </w:p>
        </w:tc>
        <w:tc>
          <w:tcPr>
            <w:tcW w:w="903" w:type="dxa"/>
            <w:noWrap/>
          </w:tcPr>
          <w:p w14:paraId="7F6CFA21">
            <w:pPr>
              <w:pStyle w:val="280"/>
              <w:rPr>
                <w:color w:val="auto"/>
              </w:rPr>
            </w:pPr>
          </w:p>
        </w:tc>
        <w:tc>
          <w:tcPr>
            <w:tcW w:w="656" w:type="dxa"/>
            <w:noWrap/>
          </w:tcPr>
          <w:p w14:paraId="3BB15976">
            <w:pPr>
              <w:pStyle w:val="280"/>
              <w:rPr>
                <w:color w:val="auto"/>
              </w:rPr>
            </w:pPr>
          </w:p>
        </w:tc>
        <w:tc>
          <w:tcPr>
            <w:tcW w:w="646" w:type="dxa"/>
            <w:noWrap/>
          </w:tcPr>
          <w:p w14:paraId="30762736">
            <w:pPr>
              <w:pStyle w:val="280"/>
              <w:rPr>
                <w:color w:val="auto"/>
              </w:rPr>
            </w:pPr>
          </w:p>
        </w:tc>
        <w:tc>
          <w:tcPr>
            <w:tcW w:w="1043" w:type="dxa"/>
            <w:noWrap/>
          </w:tcPr>
          <w:p w14:paraId="26F6028C">
            <w:pPr>
              <w:pStyle w:val="280"/>
              <w:rPr>
                <w:color w:val="auto"/>
              </w:rPr>
            </w:pPr>
          </w:p>
        </w:tc>
        <w:tc>
          <w:tcPr>
            <w:tcW w:w="632" w:type="dxa"/>
            <w:noWrap/>
          </w:tcPr>
          <w:p w14:paraId="31026C26">
            <w:pPr>
              <w:pStyle w:val="280"/>
              <w:rPr>
                <w:color w:val="auto"/>
              </w:rPr>
            </w:pPr>
          </w:p>
        </w:tc>
        <w:tc>
          <w:tcPr>
            <w:tcW w:w="456" w:type="dxa"/>
            <w:noWrap/>
          </w:tcPr>
          <w:p w14:paraId="066B9BA2">
            <w:pPr>
              <w:pStyle w:val="280"/>
              <w:rPr>
                <w:color w:val="auto"/>
              </w:rPr>
            </w:pPr>
          </w:p>
        </w:tc>
        <w:tc>
          <w:tcPr>
            <w:tcW w:w="546" w:type="dxa"/>
            <w:noWrap/>
          </w:tcPr>
          <w:p w14:paraId="25A3E9DE">
            <w:pPr>
              <w:pStyle w:val="280"/>
              <w:rPr>
                <w:color w:val="auto"/>
              </w:rPr>
            </w:pPr>
          </w:p>
        </w:tc>
        <w:tc>
          <w:tcPr>
            <w:tcW w:w="546" w:type="dxa"/>
            <w:noWrap/>
          </w:tcPr>
          <w:p w14:paraId="77168E72">
            <w:pPr>
              <w:pStyle w:val="280"/>
              <w:rPr>
                <w:color w:val="auto"/>
              </w:rPr>
            </w:pPr>
          </w:p>
        </w:tc>
        <w:tc>
          <w:tcPr>
            <w:tcW w:w="549" w:type="dxa"/>
            <w:noWrap/>
          </w:tcPr>
          <w:p w14:paraId="7FA15530">
            <w:pPr>
              <w:pStyle w:val="280"/>
              <w:rPr>
                <w:color w:val="auto"/>
              </w:rPr>
            </w:pPr>
          </w:p>
        </w:tc>
        <w:tc>
          <w:tcPr>
            <w:tcW w:w="939" w:type="dxa"/>
            <w:noWrap/>
          </w:tcPr>
          <w:p w14:paraId="094B0BB3">
            <w:pPr>
              <w:pStyle w:val="280"/>
              <w:rPr>
                <w:color w:val="auto"/>
              </w:rPr>
            </w:pPr>
          </w:p>
        </w:tc>
      </w:tr>
      <w:tr w14:paraId="25FBA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05" w:type="dxa"/>
            <w:noWrap/>
          </w:tcPr>
          <w:p w14:paraId="2EC22A4F">
            <w:pPr>
              <w:pStyle w:val="280"/>
              <w:rPr>
                <w:color w:val="auto"/>
              </w:rPr>
            </w:pPr>
          </w:p>
        </w:tc>
        <w:tc>
          <w:tcPr>
            <w:tcW w:w="913" w:type="dxa"/>
            <w:noWrap/>
          </w:tcPr>
          <w:p w14:paraId="58B3F358">
            <w:pPr>
              <w:pStyle w:val="280"/>
              <w:rPr>
                <w:color w:val="auto"/>
              </w:rPr>
            </w:pPr>
          </w:p>
        </w:tc>
        <w:tc>
          <w:tcPr>
            <w:tcW w:w="903" w:type="dxa"/>
            <w:noWrap/>
          </w:tcPr>
          <w:p w14:paraId="26E0AABA">
            <w:pPr>
              <w:pStyle w:val="280"/>
              <w:rPr>
                <w:color w:val="auto"/>
              </w:rPr>
            </w:pPr>
          </w:p>
        </w:tc>
        <w:tc>
          <w:tcPr>
            <w:tcW w:w="656" w:type="dxa"/>
            <w:noWrap/>
          </w:tcPr>
          <w:p w14:paraId="4DCB0903">
            <w:pPr>
              <w:pStyle w:val="280"/>
              <w:rPr>
                <w:color w:val="auto"/>
              </w:rPr>
            </w:pPr>
          </w:p>
        </w:tc>
        <w:tc>
          <w:tcPr>
            <w:tcW w:w="646" w:type="dxa"/>
            <w:noWrap/>
          </w:tcPr>
          <w:p w14:paraId="7B5953BE">
            <w:pPr>
              <w:pStyle w:val="280"/>
              <w:rPr>
                <w:color w:val="auto"/>
              </w:rPr>
            </w:pPr>
          </w:p>
        </w:tc>
        <w:tc>
          <w:tcPr>
            <w:tcW w:w="1043" w:type="dxa"/>
            <w:noWrap/>
          </w:tcPr>
          <w:p w14:paraId="371B5F0C">
            <w:pPr>
              <w:pStyle w:val="280"/>
              <w:rPr>
                <w:color w:val="auto"/>
              </w:rPr>
            </w:pPr>
          </w:p>
        </w:tc>
        <w:tc>
          <w:tcPr>
            <w:tcW w:w="632" w:type="dxa"/>
            <w:noWrap/>
          </w:tcPr>
          <w:p w14:paraId="5A260500">
            <w:pPr>
              <w:pStyle w:val="280"/>
              <w:rPr>
                <w:color w:val="auto"/>
              </w:rPr>
            </w:pPr>
          </w:p>
        </w:tc>
        <w:tc>
          <w:tcPr>
            <w:tcW w:w="456" w:type="dxa"/>
            <w:noWrap/>
          </w:tcPr>
          <w:p w14:paraId="4CA5B759">
            <w:pPr>
              <w:pStyle w:val="280"/>
              <w:rPr>
                <w:color w:val="auto"/>
              </w:rPr>
            </w:pPr>
          </w:p>
        </w:tc>
        <w:tc>
          <w:tcPr>
            <w:tcW w:w="546" w:type="dxa"/>
            <w:noWrap/>
          </w:tcPr>
          <w:p w14:paraId="7DCA8FF9">
            <w:pPr>
              <w:pStyle w:val="280"/>
              <w:rPr>
                <w:color w:val="auto"/>
              </w:rPr>
            </w:pPr>
          </w:p>
        </w:tc>
        <w:tc>
          <w:tcPr>
            <w:tcW w:w="546" w:type="dxa"/>
            <w:noWrap/>
          </w:tcPr>
          <w:p w14:paraId="2C1EA526">
            <w:pPr>
              <w:pStyle w:val="280"/>
              <w:rPr>
                <w:color w:val="auto"/>
              </w:rPr>
            </w:pPr>
          </w:p>
        </w:tc>
        <w:tc>
          <w:tcPr>
            <w:tcW w:w="549" w:type="dxa"/>
            <w:noWrap/>
          </w:tcPr>
          <w:p w14:paraId="07D06745">
            <w:pPr>
              <w:pStyle w:val="280"/>
              <w:rPr>
                <w:color w:val="auto"/>
              </w:rPr>
            </w:pPr>
          </w:p>
        </w:tc>
        <w:tc>
          <w:tcPr>
            <w:tcW w:w="939" w:type="dxa"/>
            <w:noWrap/>
          </w:tcPr>
          <w:p w14:paraId="50263D52">
            <w:pPr>
              <w:pStyle w:val="280"/>
              <w:rPr>
                <w:color w:val="auto"/>
              </w:rPr>
            </w:pPr>
          </w:p>
        </w:tc>
      </w:tr>
      <w:tr w14:paraId="57B86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noWrap/>
          </w:tcPr>
          <w:p w14:paraId="3FF8D0FA">
            <w:pPr>
              <w:pStyle w:val="280"/>
              <w:rPr>
                <w:color w:val="auto"/>
              </w:rPr>
            </w:pPr>
          </w:p>
        </w:tc>
        <w:tc>
          <w:tcPr>
            <w:tcW w:w="913" w:type="dxa"/>
            <w:noWrap/>
          </w:tcPr>
          <w:p w14:paraId="615FF8EF">
            <w:pPr>
              <w:pStyle w:val="280"/>
              <w:rPr>
                <w:color w:val="auto"/>
              </w:rPr>
            </w:pPr>
          </w:p>
        </w:tc>
        <w:tc>
          <w:tcPr>
            <w:tcW w:w="903" w:type="dxa"/>
            <w:noWrap/>
          </w:tcPr>
          <w:p w14:paraId="0BB417E0">
            <w:pPr>
              <w:pStyle w:val="280"/>
              <w:rPr>
                <w:color w:val="auto"/>
              </w:rPr>
            </w:pPr>
          </w:p>
        </w:tc>
        <w:tc>
          <w:tcPr>
            <w:tcW w:w="656" w:type="dxa"/>
            <w:noWrap/>
          </w:tcPr>
          <w:p w14:paraId="2C62CF96">
            <w:pPr>
              <w:pStyle w:val="280"/>
              <w:rPr>
                <w:color w:val="auto"/>
              </w:rPr>
            </w:pPr>
          </w:p>
        </w:tc>
        <w:tc>
          <w:tcPr>
            <w:tcW w:w="646" w:type="dxa"/>
            <w:noWrap/>
          </w:tcPr>
          <w:p w14:paraId="76AC80DF">
            <w:pPr>
              <w:pStyle w:val="280"/>
              <w:rPr>
                <w:color w:val="auto"/>
              </w:rPr>
            </w:pPr>
          </w:p>
        </w:tc>
        <w:tc>
          <w:tcPr>
            <w:tcW w:w="1043" w:type="dxa"/>
            <w:noWrap/>
          </w:tcPr>
          <w:p w14:paraId="36F5BBD5">
            <w:pPr>
              <w:pStyle w:val="280"/>
              <w:rPr>
                <w:color w:val="auto"/>
              </w:rPr>
            </w:pPr>
          </w:p>
        </w:tc>
        <w:tc>
          <w:tcPr>
            <w:tcW w:w="632" w:type="dxa"/>
            <w:noWrap/>
          </w:tcPr>
          <w:p w14:paraId="2D31A8EC">
            <w:pPr>
              <w:pStyle w:val="280"/>
              <w:rPr>
                <w:color w:val="auto"/>
              </w:rPr>
            </w:pPr>
          </w:p>
        </w:tc>
        <w:tc>
          <w:tcPr>
            <w:tcW w:w="456" w:type="dxa"/>
            <w:noWrap/>
          </w:tcPr>
          <w:p w14:paraId="335D7961">
            <w:pPr>
              <w:pStyle w:val="280"/>
              <w:rPr>
                <w:color w:val="auto"/>
              </w:rPr>
            </w:pPr>
          </w:p>
        </w:tc>
        <w:tc>
          <w:tcPr>
            <w:tcW w:w="546" w:type="dxa"/>
            <w:noWrap/>
          </w:tcPr>
          <w:p w14:paraId="56F6D0AA">
            <w:pPr>
              <w:pStyle w:val="280"/>
              <w:rPr>
                <w:color w:val="auto"/>
              </w:rPr>
            </w:pPr>
          </w:p>
        </w:tc>
        <w:tc>
          <w:tcPr>
            <w:tcW w:w="546" w:type="dxa"/>
            <w:noWrap/>
          </w:tcPr>
          <w:p w14:paraId="602D7A0A">
            <w:pPr>
              <w:pStyle w:val="280"/>
              <w:rPr>
                <w:color w:val="auto"/>
              </w:rPr>
            </w:pPr>
          </w:p>
        </w:tc>
        <w:tc>
          <w:tcPr>
            <w:tcW w:w="549" w:type="dxa"/>
            <w:noWrap/>
          </w:tcPr>
          <w:p w14:paraId="2E2EB492">
            <w:pPr>
              <w:pStyle w:val="280"/>
              <w:rPr>
                <w:color w:val="auto"/>
              </w:rPr>
            </w:pPr>
          </w:p>
        </w:tc>
        <w:tc>
          <w:tcPr>
            <w:tcW w:w="939" w:type="dxa"/>
            <w:noWrap/>
          </w:tcPr>
          <w:p w14:paraId="06CB253D">
            <w:pPr>
              <w:pStyle w:val="280"/>
              <w:rPr>
                <w:color w:val="auto"/>
              </w:rPr>
            </w:pPr>
          </w:p>
        </w:tc>
      </w:tr>
      <w:tr w14:paraId="0718E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noWrap/>
          </w:tcPr>
          <w:p w14:paraId="13FBE6A4">
            <w:pPr>
              <w:pStyle w:val="280"/>
              <w:rPr>
                <w:color w:val="auto"/>
              </w:rPr>
            </w:pPr>
          </w:p>
        </w:tc>
        <w:tc>
          <w:tcPr>
            <w:tcW w:w="913" w:type="dxa"/>
            <w:noWrap/>
          </w:tcPr>
          <w:p w14:paraId="0BB8FE9D">
            <w:pPr>
              <w:pStyle w:val="280"/>
              <w:rPr>
                <w:color w:val="auto"/>
              </w:rPr>
            </w:pPr>
          </w:p>
        </w:tc>
        <w:tc>
          <w:tcPr>
            <w:tcW w:w="903" w:type="dxa"/>
            <w:noWrap/>
          </w:tcPr>
          <w:p w14:paraId="00B3A54A">
            <w:pPr>
              <w:pStyle w:val="280"/>
              <w:rPr>
                <w:color w:val="auto"/>
              </w:rPr>
            </w:pPr>
          </w:p>
        </w:tc>
        <w:tc>
          <w:tcPr>
            <w:tcW w:w="656" w:type="dxa"/>
            <w:noWrap/>
          </w:tcPr>
          <w:p w14:paraId="385B56D9">
            <w:pPr>
              <w:pStyle w:val="280"/>
              <w:rPr>
                <w:color w:val="auto"/>
              </w:rPr>
            </w:pPr>
          </w:p>
        </w:tc>
        <w:tc>
          <w:tcPr>
            <w:tcW w:w="646" w:type="dxa"/>
            <w:noWrap/>
          </w:tcPr>
          <w:p w14:paraId="49D630A7">
            <w:pPr>
              <w:pStyle w:val="280"/>
              <w:rPr>
                <w:color w:val="auto"/>
              </w:rPr>
            </w:pPr>
          </w:p>
        </w:tc>
        <w:tc>
          <w:tcPr>
            <w:tcW w:w="1043" w:type="dxa"/>
            <w:noWrap/>
          </w:tcPr>
          <w:p w14:paraId="60D5896F">
            <w:pPr>
              <w:pStyle w:val="280"/>
              <w:rPr>
                <w:color w:val="auto"/>
              </w:rPr>
            </w:pPr>
          </w:p>
        </w:tc>
        <w:tc>
          <w:tcPr>
            <w:tcW w:w="632" w:type="dxa"/>
            <w:noWrap/>
          </w:tcPr>
          <w:p w14:paraId="6F572082">
            <w:pPr>
              <w:pStyle w:val="280"/>
              <w:rPr>
                <w:color w:val="auto"/>
              </w:rPr>
            </w:pPr>
          </w:p>
        </w:tc>
        <w:tc>
          <w:tcPr>
            <w:tcW w:w="456" w:type="dxa"/>
            <w:noWrap/>
          </w:tcPr>
          <w:p w14:paraId="020BC07C">
            <w:pPr>
              <w:pStyle w:val="280"/>
              <w:rPr>
                <w:color w:val="auto"/>
              </w:rPr>
            </w:pPr>
          </w:p>
        </w:tc>
        <w:tc>
          <w:tcPr>
            <w:tcW w:w="546" w:type="dxa"/>
            <w:noWrap/>
          </w:tcPr>
          <w:p w14:paraId="588953C2">
            <w:pPr>
              <w:pStyle w:val="280"/>
              <w:rPr>
                <w:color w:val="auto"/>
              </w:rPr>
            </w:pPr>
          </w:p>
        </w:tc>
        <w:tc>
          <w:tcPr>
            <w:tcW w:w="546" w:type="dxa"/>
            <w:noWrap/>
          </w:tcPr>
          <w:p w14:paraId="5C96481C">
            <w:pPr>
              <w:pStyle w:val="280"/>
              <w:rPr>
                <w:color w:val="auto"/>
              </w:rPr>
            </w:pPr>
          </w:p>
        </w:tc>
        <w:tc>
          <w:tcPr>
            <w:tcW w:w="549" w:type="dxa"/>
            <w:noWrap/>
          </w:tcPr>
          <w:p w14:paraId="5426CF2C">
            <w:pPr>
              <w:pStyle w:val="280"/>
              <w:rPr>
                <w:color w:val="auto"/>
              </w:rPr>
            </w:pPr>
          </w:p>
        </w:tc>
        <w:tc>
          <w:tcPr>
            <w:tcW w:w="939" w:type="dxa"/>
            <w:noWrap/>
          </w:tcPr>
          <w:p w14:paraId="1F332F2E">
            <w:pPr>
              <w:pStyle w:val="280"/>
              <w:rPr>
                <w:color w:val="auto"/>
              </w:rPr>
            </w:pPr>
          </w:p>
        </w:tc>
      </w:tr>
      <w:tr w14:paraId="66452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noWrap/>
          </w:tcPr>
          <w:p w14:paraId="20908EB1">
            <w:pPr>
              <w:pStyle w:val="280"/>
              <w:rPr>
                <w:color w:val="auto"/>
              </w:rPr>
            </w:pPr>
          </w:p>
        </w:tc>
        <w:tc>
          <w:tcPr>
            <w:tcW w:w="913" w:type="dxa"/>
            <w:noWrap/>
          </w:tcPr>
          <w:p w14:paraId="48538E23">
            <w:pPr>
              <w:pStyle w:val="280"/>
              <w:rPr>
                <w:color w:val="auto"/>
              </w:rPr>
            </w:pPr>
          </w:p>
        </w:tc>
        <w:tc>
          <w:tcPr>
            <w:tcW w:w="903" w:type="dxa"/>
            <w:noWrap/>
          </w:tcPr>
          <w:p w14:paraId="6AFD1A1F">
            <w:pPr>
              <w:pStyle w:val="280"/>
              <w:rPr>
                <w:color w:val="auto"/>
              </w:rPr>
            </w:pPr>
          </w:p>
        </w:tc>
        <w:tc>
          <w:tcPr>
            <w:tcW w:w="656" w:type="dxa"/>
            <w:noWrap/>
          </w:tcPr>
          <w:p w14:paraId="248C3990">
            <w:pPr>
              <w:pStyle w:val="280"/>
              <w:rPr>
                <w:color w:val="auto"/>
              </w:rPr>
            </w:pPr>
          </w:p>
        </w:tc>
        <w:tc>
          <w:tcPr>
            <w:tcW w:w="646" w:type="dxa"/>
            <w:noWrap/>
          </w:tcPr>
          <w:p w14:paraId="364F3F14">
            <w:pPr>
              <w:pStyle w:val="280"/>
              <w:rPr>
                <w:color w:val="auto"/>
              </w:rPr>
            </w:pPr>
          </w:p>
        </w:tc>
        <w:tc>
          <w:tcPr>
            <w:tcW w:w="1043" w:type="dxa"/>
            <w:noWrap/>
          </w:tcPr>
          <w:p w14:paraId="543D0178">
            <w:pPr>
              <w:pStyle w:val="280"/>
              <w:rPr>
                <w:color w:val="auto"/>
              </w:rPr>
            </w:pPr>
          </w:p>
        </w:tc>
        <w:tc>
          <w:tcPr>
            <w:tcW w:w="632" w:type="dxa"/>
            <w:noWrap/>
          </w:tcPr>
          <w:p w14:paraId="36E3A4F1">
            <w:pPr>
              <w:pStyle w:val="280"/>
              <w:rPr>
                <w:color w:val="auto"/>
              </w:rPr>
            </w:pPr>
          </w:p>
        </w:tc>
        <w:tc>
          <w:tcPr>
            <w:tcW w:w="456" w:type="dxa"/>
            <w:noWrap/>
          </w:tcPr>
          <w:p w14:paraId="0EEE6661">
            <w:pPr>
              <w:pStyle w:val="280"/>
              <w:rPr>
                <w:color w:val="auto"/>
              </w:rPr>
            </w:pPr>
          </w:p>
        </w:tc>
        <w:tc>
          <w:tcPr>
            <w:tcW w:w="546" w:type="dxa"/>
            <w:noWrap/>
          </w:tcPr>
          <w:p w14:paraId="50F928B3">
            <w:pPr>
              <w:pStyle w:val="280"/>
              <w:rPr>
                <w:color w:val="auto"/>
              </w:rPr>
            </w:pPr>
          </w:p>
        </w:tc>
        <w:tc>
          <w:tcPr>
            <w:tcW w:w="546" w:type="dxa"/>
            <w:noWrap/>
          </w:tcPr>
          <w:p w14:paraId="57196EC6">
            <w:pPr>
              <w:pStyle w:val="280"/>
              <w:rPr>
                <w:color w:val="auto"/>
              </w:rPr>
            </w:pPr>
          </w:p>
        </w:tc>
        <w:tc>
          <w:tcPr>
            <w:tcW w:w="549" w:type="dxa"/>
            <w:noWrap/>
          </w:tcPr>
          <w:p w14:paraId="35D51053">
            <w:pPr>
              <w:pStyle w:val="280"/>
              <w:rPr>
                <w:color w:val="auto"/>
              </w:rPr>
            </w:pPr>
          </w:p>
        </w:tc>
        <w:tc>
          <w:tcPr>
            <w:tcW w:w="939" w:type="dxa"/>
            <w:noWrap/>
          </w:tcPr>
          <w:p w14:paraId="5FF0777A">
            <w:pPr>
              <w:pStyle w:val="280"/>
              <w:rPr>
                <w:color w:val="auto"/>
              </w:rPr>
            </w:pPr>
          </w:p>
        </w:tc>
      </w:tr>
      <w:tr w14:paraId="3976D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noWrap/>
          </w:tcPr>
          <w:p w14:paraId="335BBAC3">
            <w:pPr>
              <w:pStyle w:val="280"/>
              <w:rPr>
                <w:color w:val="auto"/>
              </w:rPr>
            </w:pPr>
          </w:p>
        </w:tc>
        <w:tc>
          <w:tcPr>
            <w:tcW w:w="913" w:type="dxa"/>
            <w:noWrap/>
          </w:tcPr>
          <w:p w14:paraId="396888FD">
            <w:pPr>
              <w:pStyle w:val="280"/>
              <w:rPr>
                <w:color w:val="auto"/>
              </w:rPr>
            </w:pPr>
          </w:p>
        </w:tc>
        <w:tc>
          <w:tcPr>
            <w:tcW w:w="903" w:type="dxa"/>
            <w:noWrap/>
          </w:tcPr>
          <w:p w14:paraId="6F6D8649">
            <w:pPr>
              <w:pStyle w:val="280"/>
              <w:rPr>
                <w:color w:val="auto"/>
              </w:rPr>
            </w:pPr>
          </w:p>
        </w:tc>
        <w:tc>
          <w:tcPr>
            <w:tcW w:w="656" w:type="dxa"/>
            <w:noWrap/>
          </w:tcPr>
          <w:p w14:paraId="379F9CC2">
            <w:pPr>
              <w:pStyle w:val="280"/>
              <w:rPr>
                <w:color w:val="auto"/>
              </w:rPr>
            </w:pPr>
          </w:p>
        </w:tc>
        <w:tc>
          <w:tcPr>
            <w:tcW w:w="646" w:type="dxa"/>
            <w:noWrap/>
          </w:tcPr>
          <w:p w14:paraId="6DE99B85">
            <w:pPr>
              <w:pStyle w:val="280"/>
              <w:rPr>
                <w:color w:val="auto"/>
              </w:rPr>
            </w:pPr>
          </w:p>
        </w:tc>
        <w:tc>
          <w:tcPr>
            <w:tcW w:w="1043" w:type="dxa"/>
            <w:noWrap/>
          </w:tcPr>
          <w:p w14:paraId="38FE38E2">
            <w:pPr>
              <w:pStyle w:val="280"/>
              <w:rPr>
                <w:color w:val="auto"/>
              </w:rPr>
            </w:pPr>
          </w:p>
        </w:tc>
        <w:tc>
          <w:tcPr>
            <w:tcW w:w="632" w:type="dxa"/>
            <w:noWrap/>
          </w:tcPr>
          <w:p w14:paraId="3BB1D01A">
            <w:pPr>
              <w:pStyle w:val="280"/>
              <w:rPr>
                <w:color w:val="auto"/>
              </w:rPr>
            </w:pPr>
          </w:p>
        </w:tc>
        <w:tc>
          <w:tcPr>
            <w:tcW w:w="456" w:type="dxa"/>
            <w:noWrap/>
          </w:tcPr>
          <w:p w14:paraId="48260336">
            <w:pPr>
              <w:pStyle w:val="280"/>
              <w:rPr>
                <w:color w:val="auto"/>
              </w:rPr>
            </w:pPr>
          </w:p>
        </w:tc>
        <w:tc>
          <w:tcPr>
            <w:tcW w:w="546" w:type="dxa"/>
            <w:noWrap/>
          </w:tcPr>
          <w:p w14:paraId="22DC173A">
            <w:pPr>
              <w:pStyle w:val="280"/>
              <w:rPr>
                <w:color w:val="auto"/>
              </w:rPr>
            </w:pPr>
          </w:p>
        </w:tc>
        <w:tc>
          <w:tcPr>
            <w:tcW w:w="546" w:type="dxa"/>
            <w:noWrap/>
          </w:tcPr>
          <w:p w14:paraId="194CB5F7">
            <w:pPr>
              <w:pStyle w:val="280"/>
              <w:rPr>
                <w:color w:val="auto"/>
              </w:rPr>
            </w:pPr>
          </w:p>
        </w:tc>
        <w:tc>
          <w:tcPr>
            <w:tcW w:w="549" w:type="dxa"/>
            <w:noWrap/>
          </w:tcPr>
          <w:p w14:paraId="6627378D">
            <w:pPr>
              <w:pStyle w:val="280"/>
              <w:rPr>
                <w:color w:val="auto"/>
              </w:rPr>
            </w:pPr>
          </w:p>
        </w:tc>
        <w:tc>
          <w:tcPr>
            <w:tcW w:w="939" w:type="dxa"/>
            <w:noWrap/>
          </w:tcPr>
          <w:p w14:paraId="79B0FED9">
            <w:pPr>
              <w:pStyle w:val="280"/>
              <w:rPr>
                <w:color w:val="auto"/>
              </w:rPr>
            </w:pPr>
          </w:p>
        </w:tc>
      </w:tr>
      <w:tr w14:paraId="0DECB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noWrap/>
          </w:tcPr>
          <w:p w14:paraId="47249701">
            <w:pPr>
              <w:pStyle w:val="280"/>
              <w:rPr>
                <w:color w:val="auto"/>
              </w:rPr>
            </w:pPr>
          </w:p>
        </w:tc>
        <w:tc>
          <w:tcPr>
            <w:tcW w:w="913" w:type="dxa"/>
            <w:noWrap/>
          </w:tcPr>
          <w:p w14:paraId="560F6403">
            <w:pPr>
              <w:pStyle w:val="280"/>
              <w:rPr>
                <w:color w:val="auto"/>
              </w:rPr>
            </w:pPr>
          </w:p>
        </w:tc>
        <w:tc>
          <w:tcPr>
            <w:tcW w:w="903" w:type="dxa"/>
            <w:noWrap/>
          </w:tcPr>
          <w:p w14:paraId="4E340F6F">
            <w:pPr>
              <w:pStyle w:val="280"/>
              <w:rPr>
                <w:color w:val="auto"/>
              </w:rPr>
            </w:pPr>
          </w:p>
        </w:tc>
        <w:tc>
          <w:tcPr>
            <w:tcW w:w="656" w:type="dxa"/>
            <w:noWrap/>
          </w:tcPr>
          <w:p w14:paraId="32B3621C">
            <w:pPr>
              <w:pStyle w:val="280"/>
              <w:rPr>
                <w:color w:val="auto"/>
              </w:rPr>
            </w:pPr>
          </w:p>
        </w:tc>
        <w:tc>
          <w:tcPr>
            <w:tcW w:w="646" w:type="dxa"/>
            <w:noWrap/>
          </w:tcPr>
          <w:p w14:paraId="19770225">
            <w:pPr>
              <w:pStyle w:val="280"/>
              <w:rPr>
                <w:color w:val="auto"/>
              </w:rPr>
            </w:pPr>
          </w:p>
        </w:tc>
        <w:tc>
          <w:tcPr>
            <w:tcW w:w="1043" w:type="dxa"/>
            <w:noWrap/>
          </w:tcPr>
          <w:p w14:paraId="355A0D96">
            <w:pPr>
              <w:pStyle w:val="280"/>
              <w:rPr>
                <w:color w:val="auto"/>
              </w:rPr>
            </w:pPr>
          </w:p>
        </w:tc>
        <w:tc>
          <w:tcPr>
            <w:tcW w:w="632" w:type="dxa"/>
            <w:noWrap/>
          </w:tcPr>
          <w:p w14:paraId="647D5E30">
            <w:pPr>
              <w:pStyle w:val="280"/>
              <w:rPr>
                <w:color w:val="auto"/>
              </w:rPr>
            </w:pPr>
          </w:p>
        </w:tc>
        <w:tc>
          <w:tcPr>
            <w:tcW w:w="456" w:type="dxa"/>
            <w:noWrap/>
          </w:tcPr>
          <w:p w14:paraId="2FDCD038">
            <w:pPr>
              <w:pStyle w:val="280"/>
              <w:rPr>
                <w:color w:val="auto"/>
              </w:rPr>
            </w:pPr>
          </w:p>
        </w:tc>
        <w:tc>
          <w:tcPr>
            <w:tcW w:w="546" w:type="dxa"/>
            <w:noWrap/>
          </w:tcPr>
          <w:p w14:paraId="6EBD9C6E">
            <w:pPr>
              <w:pStyle w:val="280"/>
              <w:rPr>
                <w:color w:val="auto"/>
              </w:rPr>
            </w:pPr>
          </w:p>
        </w:tc>
        <w:tc>
          <w:tcPr>
            <w:tcW w:w="546" w:type="dxa"/>
            <w:noWrap/>
          </w:tcPr>
          <w:p w14:paraId="21C8FBC5">
            <w:pPr>
              <w:pStyle w:val="280"/>
              <w:rPr>
                <w:color w:val="auto"/>
              </w:rPr>
            </w:pPr>
          </w:p>
        </w:tc>
        <w:tc>
          <w:tcPr>
            <w:tcW w:w="549" w:type="dxa"/>
            <w:noWrap/>
          </w:tcPr>
          <w:p w14:paraId="6E121577">
            <w:pPr>
              <w:pStyle w:val="280"/>
              <w:rPr>
                <w:color w:val="auto"/>
              </w:rPr>
            </w:pPr>
          </w:p>
        </w:tc>
        <w:tc>
          <w:tcPr>
            <w:tcW w:w="939" w:type="dxa"/>
            <w:noWrap/>
          </w:tcPr>
          <w:p w14:paraId="1365DDD8">
            <w:pPr>
              <w:pStyle w:val="280"/>
              <w:rPr>
                <w:color w:val="auto"/>
              </w:rPr>
            </w:pPr>
          </w:p>
        </w:tc>
      </w:tr>
      <w:tr w14:paraId="1DC8D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noWrap/>
          </w:tcPr>
          <w:p w14:paraId="36DAE3DC">
            <w:pPr>
              <w:pStyle w:val="280"/>
              <w:rPr>
                <w:color w:val="auto"/>
              </w:rPr>
            </w:pPr>
          </w:p>
        </w:tc>
        <w:tc>
          <w:tcPr>
            <w:tcW w:w="913" w:type="dxa"/>
            <w:noWrap/>
          </w:tcPr>
          <w:p w14:paraId="2427B053">
            <w:pPr>
              <w:pStyle w:val="280"/>
              <w:rPr>
                <w:color w:val="auto"/>
              </w:rPr>
            </w:pPr>
          </w:p>
        </w:tc>
        <w:tc>
          <w:tcPr>
            <w:tcW w:w="903" w:type="dxa"/>
            <w:noWrap/>
          </w:tcPr>
          <w:p w14:paraId="49A0F45A">
            <w:pPr>
              <w:pStyle w:val="280"/>
              <w:rPr>
                <w:color w:val="auto"/>
              </w:rPr>
            </w:pPr>
          </w:p>
        </w:tc>
        <w:tc>
          <w:tcPr>
            <w:tcW w:w="656" w:type="dxa"/>
            <w:noWrap/>
          </w:tcPr>
          <w:p w14:paraId="6048D50A">
            <w:pPr>
              <w:pStyle w:val="280"/>
              <w:rPr>
                <w:color w:val="auto"/>
              </w:rPr>
            </w:pPr>
          </w:p>
        </w:tc>
        <w:tc>
          <w:tcPr>
            <w:tcW w:w="646" w:type="dxa"/>
            <w:noWrap/>
          </w:tcPr>
          <w:p w14:paraId="0EE0E2E4">
            <w:pPr>
              <w:pStyle w:val="280"/>
              <w:rPr>
                <w:color w:val="auto"/>
              </w:rPr>
            </w:pPr>
          </w:p>
        </w:tc>
        <w:tc>
          <w:tcPr>
            <w:tcW w:w="1043" w:type="dxa"/>
            <w:noWrap/>
          </w:tcPr>
          <w:p w14:paraId="0F6AACF5">
            <w:pPr>
              <w:pStyle w:val="280"/>
              <w:rPr>
                <w:color w:val="auto"/>
              </w:rPr>
            </w:pPr>
          </w:p>
        </w:tc>
        <w:tc>
          <w:tcPr>
            <w:tcW w:w="632" w:type="dxa"/>
            <w:noWrap/>
          </w:tcPr>
          <w:p w14:paraId="7B6D6626">
            <w:pPr>
              <w:pStyle w:val="280"/>
              <w:rPr>
                <w:color w:val="auto"/>
              </w:rPr>
            </w:pPr>
          </w:p>
        </w:tc>
        <w:tc>
          <w:tcPr>
            <w:tcW w:w="456" w:type="dxa"/>
            <w:noWrap/>
          </w:tcPr>
          <w:p w14:paraId="33474255">
            <w:pPr>
              <w:pStyle w:val="280"/>
              <w:rPr>
                <w:color w:val="auto"/>
              </w:rPr>
            </w:pPr>
          </w:p>
        </w:tc>
        <w:tc>
          <w:tcPr>
            <w:tcW w:w="546" w:type="dxa"/>
            <w:noWrap/>
          </w:tcPr>
          <w:p w14:paraId="4EED3D2C">
            <w:pPr>
              <w:pStyle w:val="280"/>
              <w:rPr>
                <w:color w:val="auto"/>
              </w:rPr>
            </w:pPr>
          </w:p>
        </w:tc>
        <w:tc>
          <w:tcPr>
            <w:tcW w:w="546" w:type="dxa"/>
            <w:noWrap/>
          </w:tcPr>
          <w:p w14:paraId="356A2B6B">
            <w:pPr>
              <w:pStyle w:val="280"/>
              <w:rPr>
                <w:color w:val="auto"/>
              </w:rPr>
            </w:pPr>
          </w:p>
        </w:tc>
        <w:tc>
          <w:tcPr>
            <w:tcW w:w="549" w:type="dxa"/>
            <w:noWrap/>
          </w:tcPr>
          <w:p w14:paraId="3E2A57EA">
            <w:pPr>
              <w:pStyle w:val="280"/>
              <w:rPr>
                <w:color w:val="auto"/>
              </w:rPr>
            </w:pPr>
          </w:p>
        </w:tc>
        <w:tc>
          <w:tcPr>
            <w:tcW w:w="939" w:type="dxa"/>
            <w:noWrap/>
          </w:tcPr>
          <w:p w14:paraId="566B8955">
            <w:pPr>
              <w:pStyle w:val="280"/>
              <w:rPr>
                <w:color w:val="auto"/>
              </w:rPr>
            </w:pPr>
          </w:p>
        </w:tc>
      </w:tr>
      <w:tr w14:paraId="371D3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noWrap/>
          </w:tcPr>
          <w:p w14:paraId="1AE2F196">
            <w:pPr>
              <w:pStyle w:val="280"/>
              <w:rPr>
                <w:color w:val="auto"/>
              </w:rPr>
            </w:pPr>
          </w:p>
        </w:tc>
        <w:tc>
          <w:tcPr>
            <w:tcW w:w="913" w:type="dxa"/>
            <w:noWrap/>
          </w:tcPr>
          <w:p w14:paraId="6A2386C0">
            <w:pPr>
              <w:pStyle w:val="280"/>
              <w:rPr>
                <w:color w:val="auto"/>
              </w:rPr>
            </w:pPr>
          </w:p>
        </w:tc>
        <w:tc>
          <w:tcPr>
            <w:tcW w:w="903" w:type="dxa"/>
            <w:noWrap/>
          </w:tcPr>
          <w:p w14:paraId="66587377">
            <w:pPr>
              <w:pStyle w:val="280"/>
              <w:rPr>
                <w:color w:val="auto"/>
              </w:rPr>
            </w:pPr>
          </w:p>
        </w:tc>
        <w:tc>
          <w:tcPr>
            <w:tcW w:w="656" w:type="dxa"/>
            <w:noWrap/>
          </w:tcPr>
          <w:p w14:paraId="66A551B4">
            <w:pPr>
              <w:pStyle w:val="280"/>
              <w:rPr>
                <w:color w:val="auto"/>
              </w:rPr>
            </w:pPr>
          </w:p>
        </w:tc>
        <w:tc>
          <w:tcPr>
            <w:tcW w:w="646" w:type="dxa"/>
            <w:noWrap/>
          </w:tcPr>
          <w:p w14:paraId="0D0386DA">
            <w:pPr>
              <w:pStyle w:val="280"/>
              <w:rPr>
                <w:color w:val="auto"/>
              </w:rPr>
            </w:pPr>
          </w:p>
        </w:tc>
        <w:tc>
          <w:tcPr>
            <w:tcW w:w="1043" w:type="dxa"/>
            <w:noWrap/>
          </w:tcPr>
          <w:p w14:paraId="1AA9EF7C">
            <w:pPr>
              <w:pStyle w:val="280"/>
              <w:rPr>
                <w:color w:val="auto"/>
              </w:rPr>
            </w:pPr>
          </w:p>
        </w:tc>
        <w:tc>
          <w:tcPr>
            <w:tcW w:w="632" w:type="dxa"/>
            <w:noWrap/>
          </w:tcPr>
          <w:p w14:paraId="0906404C">
            <w:pPr>
              <w:pStyle w:val="280"/>
              <w:rPr>
                <w:color w:val="auto"/>
              </w:rPr>
            </w:pPr>
          </w:p>
        </w:tc>
        <w:tc>
          <w:tcPr>
            <w:tcW w:w="456" w:type="dxa"/>
            <w:noWrap/>
          </w:tcPr>
          <w:p w14:paraId="58331109">
            <w:pPr>
              <w:pStyle w:val="280"/>
              <w:rPr>
                <w:color w:val="auto"/>
              </w:rPr>
            </w:pPr>
          </w:p>
        </w:tc>
        <w:tc>
          <w:tcPr>
            <w:tcW w:w="546" w:type="dxa"/>
            <w:noWrap/>
          </w:tcPr>
          <w:p w14:paraId="0CB8DEE7">
            <w:pPr>
              <w:pStyle w:val="280"/>
              <w:rPr>
                <w:color w:val="auto"/>
              </w:rPr>
            </w:pPr>
          </w:p>
        </w:tc>
        <w:tc>
          <w:tcPr>
            <w:tcW w:w="546" w:type="dxa"/>
            <w:noWrap/>
          </w:tcPr>
          <w:p w14:paraId="033AD874">
            <w:pPr>
              <w:pStyle w:val="280"/>
              <w:rPr>
                <w:color w:val="auto"/>
              </w:rPr>
            </w:pPr>
          </w:p>
        </w:tc>
        <w:tc>
          <w:tcPr>
            <w:tcW w:w="549" w:type="dxa"/>
            <w:noWrap/>
          </w:tcPr>
          <w:p w14:paraId="45ED2764">
            <w:pPr>
              <w:pStyle w:val="280"/>
              <w:rPr>
                <w:color w:val="auto"/>
              </w:rPr>
            </w:pPr>
          </w:p>
        </w:tc>
        <w:tc>
          <w:tcPr>
            <w:tcW w:w="939" w:type="dxa"/>
            <w:noWrap/>
          </w:tcPr>
          <w:p w14:paraId="03E048CC">
            <w:pPr>
              <w:pStyle w:val="280"/>
              <w:rPr>
                <w:color w:val="auto"/>
              </w:rPr>
            </w:pPr>
          </w:p>
        </w:tc>
      </w:tr>
      <w:tr w14:paraId="20054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noWrap/>
          </w:tcPr>
          <w:p w14:paraId="30D32E11">
            <w:pPr>
              <w:pStyle w:val="280"/>
              <w:rPr>
                <w:color w:val="auto"/>
              </w:rPr>
            </w:pPr>
          </w:p>
        </w:tc>
        <w:tc>
          <w:tcPr>
            <w:tcW w:w="913" w:type="dxa"/>
            <w:noWrap/>
          </w:tcPr>
          <w:p w14:paraId="380ABB33">
            <w:pPr>
              <w:pStyle w:val="280"/>
              <w:rPr>
                <w:color w:val="auto"/>
              </w:rPr>
            </w:pPr>
          </w:p>
        </w:tc>
        <w:tc>
          <w:tcPr>
            <w:tcW w:w="903" w:type="dxa"/>
            <w:noWrap/>
          </w:tcPr>
          <w:p w14:paraId="1F9A12F2">
            <w:pPr>
              <w:pStyle w:val="280"/>
              <w:rPr>
                <w:color w:val="auto"/>
              </w:rPr>
            </w:pPr>
          </w:p>
        </w:tc>
        <w:tc>
          <w:tcPr>
            <w:tcW w:w="656" w:type="dxa"/>
            <w:noWrap/>
          </w:tcPr>
          <w:p w14:paraId="2DD1FA12">
            <w:pPr>
              <w:pStyle w:val="280"/>
              <w:rPr>
                <w:color w:val="auto"/>
              </w:rPr>
            </w:pPr>
          </w:p>
        </w:tc>
        <w:tc>
          <w:tcPr>
            <w:tcW w:w="646" w:type="dxa"/>
            <w:noWrap/>
          </w:tcPr>
          <w:p w14:paraId="16AD80FA">
            <w:pPr>
              <w:pStyle w:val="280"/>
              <w:rPr>
                <w:color w:val="auto"/>
              </w:rPr>
            </w:pPr>
          </w:p>
        </w:tc>
        <w:tc>
          <w:tcPr>
            <w:tcW w:w="1043" w:type="dxa"/>
            <w:noWrap/>
          </w:tcPr>
          <w:p w14:paraId="61985AD2">
            <w:pPr>
              <w:pStyle w:val="280"/>
              <w:rPr>
                <w:color w:val="auto"/>
              </w:rPr>
            </w:pPr>
          </w:p>
        </w:tc>
        <w:tc>
          <w:tcPr>
            <w:tcW w:w="632" w:type="dxa"/>
            <w:noWrap/>
          </w:tcPr>
          <w:p w14:paraId="142D766C">
            <w:pPr>
              <w:pStyle w:val="280"/>
              <w:rPr>
                <w:color w:val="auto"/>
              </w:rPr>
            </w:pPr>
          </w:p>
        </w:tc>
        <w:tc>
          <w:tcPr>
            <w:tcW w:w="456" w:type="dxa"/>
            <w:noWrap/>
          </w:tcPr>
          <w:p w14:paraId="444672A2">
            <w:pPr>
              <w:pStyle w:val="280"/>
              <w:rPr>
                <w:color w:val="auto"/>
              </w:rPr>
            </w:pPr>
          </w:p>
        </w:tc>
        <w:tc>
          <w:tcPr>
            <w:tcW w:w="546" w:type="dxa"/>
            <w:noWrap/>
          </w:tcPr>
          <w:p w14:paraId="2DCB692C">
            <w:pPr>
              <w:pStyle w:val="280"/>
              <w:rPr>
                <w:color w:val="auto"/>
              </w:rPr>
            </w:pPr>
          </w:p>
        </w:tc>
        <w:tc>
          <w:tcPr>
            <w:tcW w:w="546" w:type="dxa"/>
            <w:noWrap/>
          </w:tcPr>
          <w:p w14:paraId="1804E401">
            <w:pPr>
              <w:pStyle w:val="280"/>
              <w:rPr>
                <w:color w:val="auto"/>
              </w:rPr>
            </w:pPr>
          </w:p>
        </w:tc>
        <w:tc>
          <w:tcPr>
            <w:tcW w:w="549" w:type="dxa"/>
            <w:noWrap/>
          </w:tcPr>
          <w:p w14:paraId="6DDC4D59">
            <w:pPr>
              <w:pStyle w:val="280"/>
              <w:rPr>
                <w:color w:val="auto"/>
              </w:rPr>
            </w:pPr>
          </w:p>
        </w:tc>
        <w:tc>
          <w:tcPr>
            <w:tcW w:w="939" w:type="dxa"/>
            <w:noWrap/>
          </w:tcPr>
          <w:p w14:paraId="7B6E277F">
            <w:pPr>
              <w:pStyle w:val="280"/>
              <w:rPr>
                <w:color w:val="auto"/>
              </w:rPr>
            </w:pPr>
          </w:p>
        </w:tc>
      </w:tr>
      <w:tr w14:paraId="2F558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noWrap/>
          </w:tcPr>
          <w:p w14:paraId="00E1830E">
            <w:pPr>
              <w:pStyle w:val="280"/>
              <w:rPr>
                <w:color w:val="auto"/>
              </w:rPr>
            </w:pPr>
          </w:p>
        </w:tc>
        <w:tc>
          <w:tcPr>
            <w:tcW w:w="913" w:type="dxa"/>
            <w:noWrap/>
          </w:tcPr>
          <w:p w14:paraId="46257BB5">
            <w:pPr>
              <w:pStyle w:val="280"/>
              <w:rPr>
                <w:color w:val="auto"/>
              </w:rPr>
            </w:pPr>
          </w:p>
        </w:tc>
        <w:tc>
          <w:tcPr>
            <w:tcW w:w="903" w:type="dxa"/>
            <w:noWrap/>
          </w:tcPr>
          <w:p w14:paraId="4B4D62AC">
            <w:pPr>
              <w:pStyle w:val="280"/>
              <w:rPr>
                <w:color w:val="auto"/>
              </w:rPr>
            </w:pPr>
          </w:p>
        </w:tc>
        <w:tc>
          <w:tcPr>
            <w:tcW w:w="656" w:type="dxa"/>
            <w:noWrap/>
          </w:tcPr>
          <w:p w14:paraId="46750EEB">
            <w:pPr>
              <w:pStyle w:val="280"/>
              <w:rPr>
                <w:color w:val="auto"/>
              </w:rPr>
            </w:pPr>
          </w:p>
        </w:tc>
        <w:tc>
          <w:tcPr>
            <w:tcW w:w="646" w:type="dxa"/>
            <w:noWrap/>
          </w:tcPr>
          <w:p w14:paraId="7D897DB3">
            <w:pPr>
              <w:pStyle w:val="280"/>
              <w:rPr>
                <w:color w:val="auto"/>
              </w:rPr>
            </w:pPr>
          </w:p>
        </w:tc>
        <w:tc>
          <w:tcPr>
            <w:tcW w:w="1043" w:type="dxa"/>
            <w:noWrap/>
          </w:tcPr>
          <w:p w14:paraId="2EA588C1">
            <w:pPr>
              <w:pStyle w:val="280"/>
              <w:rPr>
                <w:color w:val="auto"/>
              </w:rPr>
            </w:pPr>
          </w:p>
        </w:tc>
        <w:tc>
          <w:tcPr>
            <w:tcW w:w="632" w:type="dxa"/>
            <w:noWrap/>
          </w:tcPr>
          <w:p w14:paraId="62D3A219">
            <w:pPr>
              <w:pStyle w:val="280"/>
              <w:rPr>
                <w:color w:val="auto"/>
              </w:rPr>
            </w:pPr>
          </w:p>
        </w:tc>
        <w:tc>
          <w:tcPr>
            <w:tcW w:w="456" w:type="dxa"/>
            <w:noWrap/>
          </w:tcPr>
          <w:p w14:paraId="4B66759D">
            <w:pPr>
              <w:pStyle w:val="280"/>
              <w:rPr>
                <w:color w:val="auto"/>
              </w:rPr>
            </w:pPr>
          </w:p>
        </w:tc>
        <w:tc>
          <w:tcPr>
            <w:tcW w:w="546" w:type="dxa"/>
            <w:noWrap/>
          </w:tcPr>
          <w:p w14:paraId="6CDEC14D">
            <w:pPr>
              <w:pStyle w:val="280"/>
              <w:rPr>
                <w:color w:val="auto"/>
              </w:rPr>
            </w:pPr>
          </w:p>
        </w:tc>
        <w:tc>
          <w:tcPr>
            <w:tcW w:w="546" w:type="dxa"/>
            <w:noWrap/>
          </w:tcPr>
          <w:p w14:paraId="1D7FC7BE">
            <w:pPr>
              <w:pStyle w:val="280"/>
              <w:rPr>
                <w:color w:val="auto"/>
              </w:rPr>
            </w:pPr>
          </w:p>
        </w:tc>
        <w:tc>
          <w:tcPr>
            <w:tcW w:w="549" w:type="dxa"/>
            <w:noWrap/>
          </w:tcPr>
          <w:p w14:paraId="19590BD1">
            <w:pPr>
              <w:pStyle w:val="280"/>
              <w:rPr>
                <w:color w:val="auto"/>
              </w:rPr>
            </w:pPr>
          </w:p>
        </w:tc>
        <w:tc>
          <w:tcPr>
            <w:tcW w:w="939" w:type="dxa"/>
            <w:noWrap/>
          </w:tcPr>
          <w:p w14:paraId="35C4B3B7">
            <w:pPr>
              <w:pStyle w:val="280"/>
              <w:rPr>
                <w:color w:val="auto"/>
              </w:rPr>
            </w:pPr>
          </w:p>
        </w:tc>
      </w:tr>
      <w:tr w14:paraId="01587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noWrap/>
          </w:tcPr>
          <w:p w14:paraId="1AD08146">
            <w:pPr>
              <w:pStyle w:val="280"/>
              <w:rPr>
                <w:color w:val="auto"/>
              </w:rPr>
            </w:pPr>
          </w:p>
        </w:tc>
        <w:tc>
          <w:tcPr>
            <w:tcW w:w="913" w:type="dxa"/>
            <w:noWrap/>
          </w:tcPr>
          <w:p w14:paraId="332FD1CA">
            <w:pPr>
              <w:pStyle w:val="280"/>
              <w:rPr>
                <w:color w:val="auto"/>
              </w:rPr>
            </w:pPr>
          </w:p>
        </w:tc>
        <w:tc>
          <w:tcPr>
            <w:tcW w:w="903" w:type="dxa"/>
            <w:noWrap/>
          </w:tcPr>
          <w:p w14:paraId="087D8B87">
            <w:pPr>
              <w:pStyle w:val="280"/>
              <w:rPr>
                <w:color w:val="auto"/>
              </w:rPr>
            </w:pPr>
          </w:p>
        </w:tc>
        <w:tc>
          <w:tcPr>
            <w:tcW w:w="656" w:type="dxa"/>
            <w:noWrap/>
          </w:tcPr>
          <w:p w14:paraId="60D91010">
            <w:pPr>
              <w:pStyle w:val="280"/>
              <w:rPr>
                <w:color w:val="auto"/>
              </w:rPr>
            </w:pPr>
          </w:p>
        </w:tc>
        <w:tc>
          <w:tcPr>
            <w:tcW w:w="646" w:type="dxa"/>
            <w:noWrap/>
          </w:tcPr>
          <w:p w14:paraId="27F97189">
            <w:pPr>
              <w:pStyle w:val="280"/>
              <w:rPr>
                <w:color w:val="auto"/>
              </w:rPr>
            </w:pPr>
          </w:p>
        </w:tc>
        <w:tc>
          <w:tcPr>
            <w:tcW w:w="1043" w:type="dxa"/>
            <w:noWrap/>
          </w:tcPr>
          <w:p w14:paraId="72972A0E">
            <w:pPr>
              <w:pStyle w:val="280"/>
              <w:rPr>
                <w:color w:val="auto"/>
              </w:rPr>
            </w:pPr>
          </w:p>
        </w:tc>
        <w:tc>
          <w:tcPr>
            <w:tcW w:w="632" w:type="dxa"/>
            <w:noWrap/>
          </w:tcPr>
          <w:p w14:paraId="2D514975">
            <w:pPr>
              <w:pStyle w:val="280"/>
              <w:rPr>
                <w:color w:val="auto"/>
              </w:rPr>
            </w:pPr>
          </w:p>
        </w:tc>
        <w:tc>
          <w:tcPr>
            <w:tcW w:w="456" w:type="dxa"/>
            <w:noWrap/>
          </w:tcPr>
          <w:p w14:paraId="45500E5B">
            <w:pPr>
              <w:pStyle w:val="280"/>
              <w:rPr>
                <w:color w:val="auto"/>
              </w:rPr>
            </w:pPr>
          </w:p>
        </w:tc>
        <w:tc>
          <w:tcPr>
            <w:tcW w:w="546" w:type="dxa"/>
            <w:noWrap/>
          </w:tcPr>
          <w:p w14:paraId="02BE0FBE">
            <w:pPr>
              <w:pStyle w:val="280"/>
              <w:rPr>
                <w:color w:val="auto"/>
              </w:rPr>
            </w:pPr>
          </w:p>
        </w:tc>
        <w:tc>
          <w:tcPr>
            <w:tcW w:w="546" w:type="dxa"/>
            <w:noWrap/>
          </w:tcPr>
          <w:p w14:paraId="59E4796B">
            <w:pPr>
              <w:pStyle w:val="280"/>
              <w:rPr>
                <w:color w:val="auto"/>
              </w:rPr>
            </w:pPr>
          </w:p>
        </w:tc>
        <w:tc>
          <w:tcPr>
            <w:tcW w:w="549" w:type="dxa"/>
            <w:noWrap/>
          </w:tcPr>
          <w:p w14:paraId="729B366E">
            <w:pPr>
              <w:pStyle w:val="280"/>
              <w:rPr>
                <w:color w:val="auto"/>
              </w:rPr>
            </w:pPr>
          </w:p>
        </w:tc>
        <w:tc>
          <w:tcPr>
            <w:tcW w:w="939" w:type="dxa"/>
            <w:noWrap/>
          </w:tcPr>
          <w:p w14:paraId="363681A7">
            <w:pPr>
              <w:pStyle w:val="280"/>
              <w:rPr>
                <w:color w:val="auto"/>
              </w:rPr>
            </w:pPr>
          </w:p>
        </w:tc>
      </w:tr>
      <w:tr w14:paraId="14DDC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noWrap/>
          </w:tcPr>
          <w:p w14:paraId="250B9B46">
            <w:pPr>
              <w:pStyle w:val="280"/>
              <w:rPr>
                <w:color w:val="auto"/>
              </w:rPr>
            </w:pPr>
          </w:p>
        </w:tc>
        <w:tc>
          <w:tcPr>
            <w:tcW w:w="913" w:type="dxa"/>
            <w:noWrap/>
          </w:tcPr>
          <w:p w14:paraId="2CA216D3">
            <w:pPr>
              <w:pStyle w:val="280"/>
              <w:rPr>
                <w:color w:val="auto"/>
              </w:rPr>
            </w:pPr>
          </w:p>
        </w:tc>
        <w:tc>
          <w:tcPr>
            <w:tcW w:w="903" w:type="dxa"/>
            <w:noWrap/>
          </w:tcPr>
          <w:p w14:paraId="4B347CEA">
            <w:pPr>
              <w:pStyle w:val="280"/>
              <w:rPr>
                <w:color w:val="auto"/>
              </w:rPr>
            </w:pPr>
          </w:p>
        </w:tc>
        <w:tc>
          <w:tcPr>
            <w:tcW w:w="656" w:type="dxa"/>
            <w:noWrap/>
          </w:tcPr>
          <w:p w14:paraId="24659DC1">
            <w:pPr>
              <w:pStyle w:val="280"/>
              <w:rPr>
                <w:color w:val="auto"/>
              </w:rPr>
            </w:pPr>
          </w:p>
        </w:tc>
        <w:tc>
          <w:tcPr>
            <w:tcW w:w="646" w:type="dxa"/>
            <w:noWrap/>
          </w:tcPr>
          <w:p w14:paraId="19ED6DFC">
            <w:pPr>
              <w:pStyle w:val="280"/>
              <w:rPr>
                <w:color w:val="auto"/>
              </w:rPr>
            </w:pPr>
          </w:p>
        </w:tc>
        <w:tc>
          <w:tcPr>
            <w:tcW w:w="1043" w:type="dxa"/>
            <w:noWrap/>
          </w:tcPr>
          <w:p w14:paraId="1E19439C">
            <w:pPr>
              <w:pStyle w:val="280"/>
              <w:rPr>
                <w:color w:val="auto"/>
              </w:rPr>
            </w:pPr>
          </w:p>
        </w:tc>
        <w:tc>
          <w:tcPr>
            <w:tcW w:w="632" w:type="dxa"/>
            <w:noWrap/>
          </w:tcPr>
          <w:p w14:paraId="17642791">
            <w:pPr>
              <w:pStyle w:val="280"/>
              <w:rPr>
                <w:color w:val="auto"/>
              </w:rPr>
            </w:pPr>
          </w:p>
        </w:tc>
        <w:tc>
          <w:tcPr>
            <w:tcW w:w="456" w:type="dxa"/>
            <w:noWrap/>
          </w:tcPr>
          <w:p w14:paraId="71F6FC34">
            <w:pPr>
              <w:pStyle w:val="280"/>
              <w:rPr>
                <w:color w:val="auto"/>
              </w:rPr>
            </w:pPr>
          </w:p>
        </w:tc>
        <w:tc>
          <w:tcPr>
            <w:tcW w:w="546" w:type="dxa"/>
            <w:noWrap/>
          </w:tcPr>
          <w:p w14:paraId="4CE5270A">
            <w:pPr>
              <w:pStyle w:val="280"/>
              <w:rPr>
                <w:color w:val="auto"/>
              </w:rPr>
            </w:pPr>
          </w:p>
        </w:tc>
        <w:tc>
          <w:tcPr>
            <w:tcW w:w="546" w:type="dxa"/>
            <w:noWrap/>
          </w:tcPr>
          <w:p w14:paraId="10BBE75C">
            <w:pPr>
              <w:pStyle w:val="280"/>
              <w:rPr>
                <w:color w:val="auto"/>
              </w:rPr>
            </w:pPr>
          </w:p>
        </w:tc>
        <w:tc>
          <w:tcPr>
            <w:tcW w:w="549" w:type="dxa"/>
            <w:noWrap/>
          </w:tcPr>
          <w:p w14:paraId="70432777">
            <w:pPr>
              <w:pStyle w:val="280"/>
              <w:rPr>
                <w:color w:val="auto"/>
              </w:rPr>
            </w:pPr>
          </w:p>
        </w:tc>
        <w:tc>
          <w:tcPr>
            <w:tcW w:w="939" w:type="dxa"/>
            <w:noWrap/>
          </w:tcPr>
          <w:p w14:paraId="19C526AC">
            <w:pPr>
              <w:pStyle w:val="280"/>
              <w:rPr>
                <w:color w:val="auto"/>
              </w:rPr>
            </w:pPr>
          </w:p>
        </w:tc>
      </w:tr>
      <w:tr w14:paraId="41008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noWrap/>
          </w:tcPr>
          <w:p w14:paraId="6FF9E2B1">
            <w:pPr>
              <w:pStyle w:val="280"/>
              <w:rPr>
                <w:color w:val="auto"/>
              </w:rPr>
            </w:pPr>
          </w:p>
        </w:tc>
        <w:tc>
          <w:tcPr>
            <w:tcW w:w="913" w:type="dxa"/>
            <w:noWrap/>
          </w:tcPr>
          <w:p w14:paraId="2B3B7BEB">
            <w:pPr>
              <w:pStyle w:val="280"/>
              <w:rPr>
                <w:color w:val="auto"/>
              </w:rPr>
            </w:pPr>
          </w:p>
        </w:tc>
        <w:tc>
          <w:tcPr>
            <w:tcW w:w="903" w:type="dxa"/>
            <w:noWrap/>
          </w:tcPr>
          <w:p w14:paraId="075C11B7">
            <w:pPr>
              <w:pStyle w:val="280"/>
              <w:rPr>
                <w:color w:val="auto"/>
              </w:rPr>
            </w:pPr>
          </w:p>
        </w:tc>
        <w:tc>
          <w:tcPr>
            <w:tcW w:w="656" w:type="dxa"/>
            <w:noWrap/>
          </w:tcPr>
          <w:p w14:paraId="6326169C">
            <w:pPr>
              <w:pStyle w:val="280"/>
              <w:rPr>
                <w:color w:val="auto"/>
              </w:rPr>
            </w:pPr>
          </w:p>
        </w:tc>
        <w:tc>
          <w:tcPr>
            <w:tcW w:w="646" w:type="dxa"/>
            <w:noWrap/>
          </w:tcPr>
          <w:p w14:paraId="606C95B6">
            <w:pPr>
              <w:pStyle w:val="280"/>
              <w:rPr>
                <w:color w:val="auto"/>
              </w:rPr>
            </w:pPr>
          </w:p>
        </w:tc>
        <w:tc>
          <w:tcPr>
            <w:tcW w:w="1043" w:type="dxa"/>
            <w:noWrap/>
          </w:tcPr>
          <w:p w14:paraId="5B586015">
            <w:pPr>
              <w:pStyle w:val="280"/>
              <w:rPr>
                <w:color w:val="auto"/>
              </w:rPr>
            </w:pPr>
          </w:p>
        </w:tc>
        <w:tc>
          <w:tcPr>
            <w:tcW w:w="632" w:type="dxa"/>
            <w:noWrap/>
          </w:tcPr>
          <w:p w14:paraId="2B7C3A2B">
            <w:pPr>
              <w:pStyle w:val="280"/>
              <w:rPr>
                <w:color w:val="auto"/>
              </w:rPr>
            </w:pPr>
          </w:p>
        </w:tc>
        <w:tc>
          <w:tcPr>
            <w:tcW w:w="456" w:type="dxa"/>
            <w:noWrap/>
          </w:tcPr>
          <w:p w14:paraId="23DAEB34">
            <w:pPr>
              <w:pStyle w:val="280"/>
              <w:rPr>
                <w:color w:val="auto"/>
              </w:rPr>
            </w:pPr>
          </w:p>
        </w:tc>
        <w:tc>
          <w:tcPr>
            <w:tcW w:w="546" w:type="dxa"/>
            <w:noWrap/>
          </w:tcPr>
          <w:p w14:paraId="0EF40B53">
            <w:pPr>
              <w:pStyle w:val="280"/>
              <w:rPr>
                <w:color w:val="auto"/>
              </w:rPr>
            </w:pPr>
          </w:p>
        </w:tc>
        <w:tc>
          <w:tcPr>
            <w:tcW w:w="546" w:type="dxa"/>
            <w:noWrap/>
          </w:tcPr>
          <w:p w14:paraId="5CE842D5">
            <w:pPr>
              <w:pStyle w:val="280"/>
              <w:rPr>
                <w:color w:val="auto"/>
              </w:rPr>
            </w:pPr>
          </w:p>
        </w:tc>
        <w:tc>
          <w:tcPr>
            <w:tcW w:w="549" w:type="dxa"/>
            <w:noWrap/>
          </w:tcPr>
          <w:p w14:paraId="687B5965">
            <w:pPr>
              <w:pStyle w:val="280"/>
              <w:rPr>
                <w:color w:val="auto"/>
              </w:rPr>
            </w:pPr>
          </w:p>
        </w:tc>
        <w:tc>
          <w:tcPr>
            <w:tcW w:w="939" w:type="dxa"/>
            <w:noWrap/>
          </w:tcPr>
          <w:p w14:paraId="39AB6EEF">
            <w:pPr>
              <w:pStyle w:val="280"/>
              <w:rPr>
                <w:color w:val="auto"/>
              </w:rPr>
            </w:pPr>
          </w:p>
        </w:tc>
      </w:tr>
      <w:tr w14:paraId="569D9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noWrap/>
          </w:tcPr>
          <w:p w14:paraId="45A84F39">
            <w:pPr>
              <w:pStyle w:val="280"/>
              <w:rPr>
                <w:color w:val="auto"/>
              </w:rPr>
            </w:pPr>
          </w:p>
        </w:tc>
        <w:tc>
          <w:tcPr>
            <w:tcW w:w="913" w:type="dxa"/>
            <w:noWrap/>
          </w:tcPr>
          <w:p w14:paraId="19E952D4">
            <w:pPr>
              <w:pStyle w:val="280"/>
              <w:rPr>
                <w:color w:val="auto"/>
              </w:rPr>
            </w:pPr>
          </w:p>
        </w:tc>
        <w:tc>
          <w:tcPr>
            <w:tcW w:w="903" w:type="dxa"/>
            <w:noWrap/>
          </w:tcPr>
          <w:p w14:paraId="0E368315">
            <w:pPr>
              <w:pStyle w:val="280"/>
              <w:rPr>
                <w:color w:val="auto"/>
              </w:rPr>
            </w:pPr>
          </w:p>
        </w:tc>
        <w:tc>
          <w:tcPr>
            <w:tcW w:w="656" w:type="dxa"/>
            <w:noWrap/>
          </w:tcPr>
          <w:p w14:paraId="6AD50EF5">
            <w:pPr>
              <w:pStyle w:val="280"/>
              <w:rPr>
                <w:color w:val="auto"/>
              </w:rPr>
            </w:pPr>
          </w:p>
        </w:tc>
        <w:tc>
          <w:tcPr>
            <w:tcW w:w="646" w:type="dxa"/>
            <w:noWrap/>
          </w:tcPr>
          <w:p w14:paraId="0F5DC0A4">
            <w:pPr>
              <w:pStyle w:val="280"/>
              <w:rPr>
                <w:color w:val="auto"/>
              </w:rPr>
            </w:pPr>
          </w:p>
        </w:tc>
        <w:tc>
          <w:tcPr>
            <w:tcW w:w="1043" w:type="dxa"/>
            <w:noWrap/>
          </w:tcPr>
          <w:p w14:paraId="24B363A3">
            <w:pPr>
              <w:pStyle w:val="280"/>
              <w:rPr>
                <w:color w:val="auto"/>
              </w:rPr>
            </w:pPr>
          </w:p>
        </w:tc>
        <w:tc>
          <w:tcPr>
            <w:tcW w:w="632" w:type="dxa"/>
            <w:noWrap/>
          </w:tcPr>
          <w:p w14:paraId="73CFB7D9">
            <w:pPr>
              <w:pStyle w:val="280"/>
              <w:rPr>
                <w:color w:val="auto"/>
              </w:rPr>
            </w:pPr>
          </w:p>
        </w:tc>
        <w:tc>
          <w:tcPr>
            <w:tcW w:w="456" w:type="dxa"/>
            <w:noWrap/>
          </w:tcPr>
          <w:p w14:paraId="1055542C">
            <w:pPr>
              <w:pStyle w:val="280"/>
              <w:rPr>
                <w:color w:val="auto"/>
              </w:rPr>
            </w:pPr>
          </w:p>
        </w:tc>
        <w:tc>
          <w:tcPr>
            <w:tcW w:w="546" w:type="dxa"/>
            <w:noWrap/>
          </w:tcPr>
          <w:p w14:paraId="487FB781">
            <w:pPr>
              <w:pStyle w:val="280"/>
              <w:rPr>
                <w:color w:val="auto"/>
              </w:rPr>
            </w:pPr>
          </w:p>
        </w:tc>
        <w:tc>
          <w:tcPr>
            <w:tcW w:w="546" w:type="dxa"/>
            <w:noWrap/>
          </w:tcPr>
          <w:p w14:paraId="74E0B845">
            <w:pPr>
              <w:pStyle w:val="280"/>
              <w:rPr>
                <w:color w:val="auto"/>
              </w:rPr>
            </w:pPr>
          </w:p>
        </w:tc>
        <w:tc>
          <w:tcPr>
            <w:tcW w:w="549" w:type="dxa"/>
            <w:noWrap/>
          </w:tcPr>
          <w:p w14:paraId="6A883C48">
            <w:pPr>
              <w:pStyle w:val="280"/>
              <w:rPr>
                <w:color w:val="auto"/>
              </w:rPr>
            </w:pPr>
          </w:p>
        </w:tc>
        <w:tc>
          <w:tcPr>
            <w:tcW w:w="939" w:type="dxa"/>
            <w:noWrap/>
          </w:tcPr>
          <w:p w14:paraId="061BE8E4">
            <w:pPr>
              <w:pStyle w:val="280"/>
              <w:rPr>
                <w:color w:val="auto"/>
              </w:rPr>
            </w:pPr>
          </w:p>
        </w:tc>
      </w:tr>
      <w:tr w14:paraId="3F1B8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noWrap/>
          </w:tcPr>
          <w:p w14:paraId="14093C9E">
            <w:pPr>
              <w:pStyle w:val="280"/>
              <w:rPr>
                <w:color w:val="auto"/>
              </w:rPr>
            </w:pPr>
          </w:p>
        </w:tc>
        <w:tc>
          <w:tcPr>
            <w:tcW w:w="913" w:type="dxa"/>
            <w:noWrap/>
          </w:tcPr>
          <w:p w14:paraId="0626007D">
            <w:pPr>
              <w:pStyle w:val="280"/>
              <w:rPr>
                <w:color w:val="auto"/>
              </w:rPr>
            </w:pPr>
          </w:p>
        </w:tc>
        <w:tc>
          <w:tcPr>
            <w:tcW w:w="903" w:type="dxa"/>
            <w:noWrap/>
          </w:tcPr>
          <w:p w14:paraId="381CC112">
            <w:pPr>
              <w:pStyle w:val="280"/>
              <w:rPr>
                <w:color w:val="auto"/>
              </w:rPr>
            </w:pPr>
          </w:p>
        </w:tc>
        <w:tc>
          <w:tcPr>
            <w:tcW w:w="656" w:type="dxa"/>
            <w:noWrap/>
          </w:tcPr>
          <w:p w14:paraId="03F39B93">
            <w:pPr>
              <w:pStyle w:val="280"/>
              <w:rPr>
                <w:color w:val="auto"/>
              </w:rPr>
            </w:pPr>
          </w:p>
        </w:tc>
        <w:tc>
          <w:tcPr>
            <w:tcW w:w="646" w:type="dxa"/>
            <w:noWrap/>
          </w:tcPr>
          <w:p w14:paraId="48D53B39">
            <w:pPr>
              <w:pStyle w:val="280"/>
              <w:rPr>
                <w:color w:val="auto"/>
              </w:rPr>
            </w:pPr>
          </w:p>
        </w:tc>
        <w:tc>
          <w:tcPr>
            <w:tcW w:w="1043" w:type="dxa"/>
            <w:noWrap/>
          </w:tcPr>
          <w:p w14:paraId="65013F5E">
            <w:pPr>
              <w:pStyle w:val="280"/>
              <w:rPr>
                <w:color w:val="auto"/>
              </w:rPr>
            </w:pPr>
          </w:p>
        </w:tc>
        <w:tc>
          <w:tcPr>
            <w:tcW w:w="632" w:type="dxa"/>
            <w:noWrap/>
          </w:tcPr>
          <w:p w14:paraId="0C916DA4">
            <w:pPr>
              <w:pStyle w:val="280"/>
              <w:rPr>
                <w:color w:val="auto"/>
              </w:rPr>
            </w:pPr>
          </w:p>
        </w:tc>
        <w:tc>
          <w:tcPr>
            <w:tcW w:w="456" w:type="dxa"/>
            <w:noWrap/>
          </w:tcPr>
          <w:p w14:paraId="460DBEBA">
            <w:pPr>
              <w:pStyle w:val="280"/>
              <w:rPr>
                <w:color w:val="auto"/>
              </w:rPr>
            </w:pPr>
          </w:p>
        </w:tc>
        <w:tc>
          <w:tcPr>
            <w:tcW w:w="546" w:type="dxa"/>
            <w:noWrap/>
          </w:tcPr>
          <w:p w14:paraId="7823D754">
            <w:pPr>
              <w:pStyle w:val="280"/>
              <w:rPr>
                <w:color w:val="auto"/>
              </w:rPr>
            </w:pPr>
          </w:p>
        </w:tc>
        <w:tc>
          <w:tcPr>
            <w:tcW w:w="546" w:type="dxa"/>
            <w:noWrap/>
          </w:tcPr>
          <w:p w14:paraId="1FCEC8DE">
            <w:pPr>
              <w:pStyle w:val="280"/>
              <w:rPr>
                <w:color w:val="auto"/>
              </w:rPr>
            </w:pPr>
          </w:p>
        </w:tc>
        <w:tc>
          <w:tcPr>
            <w:tcW w:w="549" w:type="dxa"/>
            <w:noWrap/>
          </w:tcPr>
          <w:p w14:paraId="3207AD92">
            <w:pPr>
              <w:pStyle w:val="280"/>
              <w:rPr>
                <w:color w:val="auto"/>
              </w:rPr>
            </w:pPr>
          </w:p>
        </w:tc>
        <w:tc>
          <w:tcPr>
            <w:tcW w:w="939" w:type="dxa"/>
            <w:noWrap/>
          </w:tcPr>
          <w:p w14:paraId="23671A46">
            <w:pPr>
              <w:pStyle w:val="280"/>
              <w:rPr>
                <w:color w:val="auto"/>
              </w:rPr>
            </w:pPr>
          </w:p>
        </w:tc>
      </w:tr>
      <w:tr w14:paraId="6CE82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noWrap/>
          </w:tcPr>
          <w:p w14:paraId="57F53D8F">
            <w:pPr>
              <w:pStyle w:val="280"/>
              <w:rPr>
                <w:color w:val="auto"/>
              </w:rPr>
            </w:pPr>
          </w:p>
        </w:tc>
        <w:tc>
          <w:tcPr>
            <w:tcW w:w="913" w:type="dxa"/>
            <w:noWrap/>
          </w:tcPr>
          <w:p w14:paraId="111AA55C">
            <w:pPr>
              <w:pStyle w:val="280"/>
              <w:rPr>
                <w:color w:val="auto"/>
              </w:rPr>
            </w:pPr>
          </w:p>
        </w:tc>
        <w:tc>
          <w:tcPr>
            <w:tcW w:w="903" w:type="dxa"/>
            <w:noWrap/>
          </w:tcPr>
          <w:p w14:paraId="5A212172">
            <w:pPr>
              <w:pStyle w:val="280"/>
              <w:rPr>
                <w:color w:val="auto"/>
              </w:rPr>
            </w:pPr>
          </w:p>
        </w:tc>
        <w:tc>
          <w:tcPr>
            <w:tcW w:w="656" w:type="dxa"/>
            <w:noWrap/>
          </w:tcPr>
          <w:p w14:paraId="25728BEC">
            <w:pPr>
              <w:pStyle w:val="280"/>
              <w:rPr>
                <w:color w:val="auto"/>
              </w:rPr>
            </w:pPr>
          </w:p>
        </w:tc>
        <w:tc>
          <w:tcPr>
            <w:tcW w:w="646" w:type="dxa"/>
            <w:noWrap/>
          </w:tcPr>
          <w:p w14:paraId="75FDDA53">
            <w:pPr>
              <w:pStyle w:val="280"/>
              <w:rPr>
                <w:color w:val="auto"/>
              </w:rPr>
            </w:pPr>
          </w:p>
        </w:tc>
        <w:tc>
          <w:tcPr>
            <w:tcW w:w="1043" w:type="dxa"/>
            <w:noWrap/>
          </w:tcPr>
          <w:p w14:paraId="0A48886D">
            <w:pPr>
              <w:pStyle w:val="280"/>
              <w:rPr>
                <w:color w:val="auto"/>
              </w:rPr>
            </w:pPr>
          </w:p>
        </w:tc>
        <w:tc>
          <w:tcPr>
            <w:tcW w:w="632" w:type="dxa"/>
            <w:noWrap/>
          </w:tcPr>
          <w:p w14:paraId="58155305">
            <w:pPr>
              <w:pStyle w:val="280"/>
              <w:rPr>
                <w:color w:val="auto"/>
              </w:rPr>
            </w:pPr>
          </w:p>
        </w:tc>
        <w:tc>
          <w:tcPr>
            <w:tcW w:w="456" w:type="dxa"/>
            <w:noWrap/>
          </w:tcPr>
          <w:p w14:paraId="1A62C987">
            <w:pPr>
              <w:pStyle w:val="280"/>
              <w:rPr>
                <w:color w:val="auto"/>
              </w:rPr>
            </w:pPr>
          </w:p>
        </w:tc>
        <w:tc>
          <w:tcPr>
            <w:tcW w:w="546" w:type="dxa"/>
            <w:noWrap/>
          </w:tcPr>
          <w:p w14:paraId="69AA670E">
            <w:pPr>
              <w:pStyle w:val="280"/>
              <w:rPr>
                <w:color w:val="auto"/>
              </w:rPr>
            </w:pPr>
          </w:p>
        </w:tc>
        <w:tc>
          <w:tcPr>
            <w:tcW w:w="546" w:type="dxa"/>
            <w:noWrap/>
          </w:tcPr>
          <w:p w14:paraId="16C6F3A1">
            <w:pPr>
              <w:pStyle w:val="280"/>
              <w:rPr>
                <w:color w:val="auto"/>
              </w:rPr>
            </w:pPr>
          </w:p>
        </w:tc>
        <w:tc>
          <w:tcPr>
            <w:tcW w:w="549" w:type="dxa"/>
            <w:noWrap/>
          </w:tcPr>
          <w:p w14:paraId="1DF02235">
            <w:pPr>
              <w:pStyle w:val="280"/>
              <w:rPr>
                <w:color w:val="auto"/>
              </w:rPr>
            </w:pPr>
          </w:p>
        </w:tc>
        <w:tc>
          <w:tcPr>
            <w:tcW w:w="939" w:type="dxa"/>
            <w:noWrap/>
          </w:tcPr>
          <w:p w14:paraId="41B11DA9">
            <w:pPr>
              <w:pStyle w:val="280"/>
              <w:rPr>
                <w:color w:val="auto"/>
              </w:rPr>
            </w:pPr>
          </w:p>
        </w:tc>
      </w:tr>
      <w:tr w14:paraId="68DE9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noWrap/>
          </w:tcPr>
          <w:p w14:paraId="34304310">
            <w:pPr>
              <w:pStyle w:val="280"/>
              <w:rPr>
                <w:color w:val="auto"/>
              </w:rPr>
            </w:pPr>
          </w:p>
        </w:tc>
        <w:tc>
          <w:tcPr>
            <w:tcW w:w="913" w:type="dxa"/>
            <w:noWrap/>
          </w:tcPr>
          <w:p w14:paraId="795B0FC1">
            <w:pPr>
              <w:pStyle w:val="280"/>
              <w:rPr>
                <w:color w:val="auto"/>
              </w:rPr>
            </w:pPr>
          </w:p>
        </w:tc>
        <w:tc>
          <w:tcPr>
            <w:tcW w:w="903" w:type="dxa"/>
            <w:noWrap/>
          </w:tcPr>
          <w:p w14:paraId="2BB77D08">
            <w:pPr>
              <w:pStyle w:val="280"/>
              <w:rPr>
                <w:color w:val="auto"/>
              </w:rPr>
            </w:pPr>
          </w:p>
        </w:tc>
        <w:tc>
          <w:tcPr>
            <w:tcW w:w="656" w:type="dxa"/>
            <w:noWrap/>
          </w:tcPr>
          <w:p w14:paraId="5B1AE407">
            <w:pPr>
              <w:pStyle w:val="280"/>
              <w:rPr>
                <w:color w:val="auto"/>
              </w:rPr>
            </w:pPr>
          </w:p>
        </w:tc>
        <w:tc>
          <w:tcPr>
            <w:tcW w:w="646" w:type="dxa"/>
            <w:noWrap/>
          </w:tcPr>
          <w:p w14:paraId="1E9FDE4F">
            <w:pPr>
              <w:pStyle w:val="280"/>
              <w:rPr>
                <w:color w:val="auto"/>
              </w:rPr>
            </w:pPr>
          </w:p>
        </w:tc>
        <w:tc>
          <w:tcPr>
            <w:tcW w:w="1043" w:type="dxa"/>
            <w:noWrap/>
          </w:tcPr>
          <w:p w14:paraId="6A74578B">
            <w:pPr>
              <w:pStyle w:val="280"/>
              <w:rPr>
                <w:color w:val="auto"/>
              </w:rPr>
            </w:pPr>
          </w:p>
        </w:tc>
        <w:tc>
          <w:tcPr>
            <w:tcW w:w="632" w:type="dxa"/>
            <w:noWrap/>
          </w:tcPr>
          <w:p w14:paraId="5A6AE59A">
            <w:pPr>
              <w:pStyle w:val="280"/>
              <w:rPr>
                <w:color w:val="auto"/>
              </w:rPr>
            </w:pPr>
          </w:p>
        </w:tc>
        <w:tc>
          <w:tcPr>
            <w:tcW w:w="456" w:type="dxa"/>
            <w:noWrap/>
          </w:tcPr>
          <w:p w14:paraId="289BF7B2">
            <w:pPr>
              <w:pStyle w:val="280"/>
              <w:rPr>
                <w:color w:val="auto"/>
              </w:rPr>
            </w:pPr>
          </w:p>
        </w:tc>
        <w:tc>
          <w:tcPr>
            <w:tcW w:w="546" w:type="dxa"/>
            <w:noWrap/>
          </w:tcPr>
          <w:p w14:paraId="0D221192">
            <w:pPr>
              <w:pStyle w:val="280"/>
              <w:rPr>
                <w:color w:val="auto"/>
              </w:rPr>
            </w:pPr>
          </w:p>
        </w:tc>
        <w:tc>
          <w:tcPr>
            <w:tcW w:w="546" w:type="dxa"/>
            <w:noWrap/>
          </w:tcPr>
          <w:p w14:paraId="6C4BC736">
            <w:pPr>
              <w:pStyle w:val="280"/>
              <w:rPr>
                <w:color w:val="auto"/>
              </w:rPr>
            </w:pPr>
          </w:p>
        </w:tc>
        <w:tc>
          <w:tcPr>
            <w:tcW w:w="549" w:type="dxa"/>
            <w:noWrap/>
          </w:tcPr>
          <w:p w14:paraId="6BC0EB6E">
            <w:pPr>
              <w:pStyle w:val="280"/>
              <w:rPr>
                <w:color w:val="auto"/>
              </w:rPr>
            </w:pPr>
          </w:p>
        </w:tc>
        <w:tc>
          <w:tcPr>
            <w:tcW w:w="939" w:type="dxa"/>
            <w:noWrap/>
          </w:tcPr>
          <w:p w14:paraId="0FCF183F">
            <w:pPr>
              <w:pStyle w:val="280"/>
              <w:rPr>
                <w:color w:val="auto"/>
              </w:rPr>
            </w:pPr>
          </w:p>
        </w:tc>
      </w:tr>
      <w:tr w14:paraId="1EA20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noWrap/>
          </w:tcPr>
          <w:p w14:paraId="0BA308CB">
            <w:pPr>
              <w:pStyle w:val="280"/>
              <w:rPr>
                <w:color w:val="auto"/>
              </w:rPr>
            </w:pPr>
          </w:p>
        </w:tc>
        <w:tc>
          <w:tcPr>
            <w:tcW w:w="913" w:type="dxa"/>
            <w:noWrap/>
          </w:tcPr>
          <w:p w14:paraId="3B39E4C2">
            <w:pPr>
              <w:pStyle w:val="280"/>
              <w:rPr>
                <w:color w:val="auto"/>
              </w:rPr>
            </w:pPr>
          </w:p>
        </w:tc>
        <w:tc>
          <w:tcPr>
            <w:tcW w:w="903" w:type="dxa"/>
            <w:noWrap/>
          </w:tcPr>
          <w:p w14:paraId="00D906AC">
            <w:pPr>
              <w:pStyle w:val="280"/>
              <w:rPr>
                <w:color w:val="auto"/>
              </w:rPr>
            </w:pPr>
          </w:p>
        </w:tc>
        <w:tc>
          <w:tcPr>
            <w:tcW w:w="656" w:type="dxa"/>
            <w:noWrap/>
          </w:tcPr>
          <w:p w14:paraId="1D48FF4B">
            <w:pPr>
              <w:pStyle w:val="280"/>
              <w:rPr>
                <w:color w:val="auto"/>
              </w:rPr>
            </w:pPr>
          </w:p>
        </w:tc>
        <w:tc>
          <w:tcPr>
            <w:tcW w:w="646" w:type="dxa"/>
            <w:noWrap/>
          </w:tcPr>
          <w:p w14:paraId="2E1F6613">
            <w:pPr>
              <w:pStyle w:val="280"/>
              <w:rPr>
                <w:color w:val="auto"/>
              </w:rPr>
            </w:pPr>
          </w:p>
        </w:tc>
        <w:tc>
          <w:tcPr>
            <w:tcW w:w="1043" w:type="dxa"/>
            <w:noWrap/>
          </w:tcPr>
          <w:p w14:paraId="65E8CDDB">
            <w:pPr>
              <w:pStyle w:val="280"/>
              <w:rPr>
                <w:color w:val="auto"/>
              </w:rPr>
            </w:pPr>
          </w:p>
        </w:tc>
        <w:tc>
          <w:tcPr>
            <w:tcW w:w="632" w:type="dxa"/>
            <w:noWrap/>
          </w:tcPr>
          <w:p w14:paraId="7E48CC44">
            <w:pPr>
              <w:pStyle w:val="280"/>
              <w:rPr>
                <w:color w:val="auto"/>
              </w:rPr>
            </w:pPr>
          </w:p>
        </w:tc>
        <w:tc>
          <w:tcPr>
            <w:tcW w:w="456" w:type="dxa"/>
            <w:noWrap/>
          </w:tcPr>
          <w:p w14:paraId="33093422">
            <w:pPr>
              <w:pStyle w:val="280"/>
              <w:rPr>
                <w:color w:val="auto"/>
              </w:rPr>
            </w:pPr>
          </w:p>
        </w:tc>
        <w:tc>
          <w:tcPr>
            <w:tcW w:w="546" w:type="dxa"/>
            <w:noWrap/>
          </w:tcPr>
          <w:p w14:paraId="241594E2">
            <w:pPr>
              <w:pStyle w:val="280"/>
              <w:rPr>
                <w:color w:val="auto"/>
              </w:rPr>
            </w:pPr>
          </w:p>
        </w:tc>
        <w:tc>
          <w:tcPr>
            <w:tcW w:w="546" w:type="dxa"/>
            <w:noWrap/>
          </w:tcPr>
          <w:p w14:paraId="2233451F">
            <w:pPr>
              <w:pStyle w:val="280"/>
              <w:rPr>
                <w:color w:val="auto"/>
              </w:rPr>
            </w:pPr>
          </w:p>
        </w:tc>
        <w:tc>
          <w:tcPr>
            <w:tcW w:w="549" w:type="dxa"/>
            <w:noWrap/>
          </w:tcPr>
          <w:p w14:paraId="49855CDC">
            <w:pPr>
              <w:pStyle w:val="280"/>
              <w:rPr>
                <w:color w:val="auto"/>
              </w:rPr>
            </w:pPr>
          </w:p>
        </w:tc>
        <w:tc>
          <w:tcPr>
            <w:tcW w:w="939" w:type="dxa"/>
            <w:noWrap/>
          </w:tcPr>
          <w:p w14:paraId="31E5E7CA">
            <w:pPr>
              <w:pStyle w:val="280"/>
              <w:rPr>
                <w:color w:val="auto"/>
              </w:rPr>
            </w:pPr>
          </w:p>
        </w:tc>
      </w:tr>
      <w:tr w14:paraId="5EEF1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noWrap/>
          </w:tcPr>
          <w:p w14:paraId="1B638F07">
            <w:pPr>
              <w:pStyle w:val="280"/>
              <w:rPr>
                <w:color w:val="auto"/>
              </w:rPr>
            </w:pPr>
          </w:p>
        </w:tc>
        <w:tc>
          <w:tcPr>
            <w:tcW w:w="913" w:type="dxa"/>
            <w:noWrap/>
          </w:tcPr>
          <w:p w14:paraId="28285579">
            <w:pPr>
              <w:pStyle w:val="280"/>
              <w:rPr>
                <w:color w:val="auto"/>
              </w:rPr>
            </w:pPr>
          </w:p>
        </w:tc>
        <w:tc>
          <w:tcPr>
            <w:tcW w:w="903" w:type="dxa"/>
            <w:noWrap/>
          </w:tcPr>
          <w:p w14:paraId="23FB9E5C">
            <w:pPr>
              <w:pStyle w:val="280"/>
              <w:rPr>
                <w:color w:val="auto"/>
              </w:rPr>
            </w:pPr>
          </w:p>
        </w:tc>
        <w:tc>
          <w:tcPr>
            <w:tcW w:w="656" w:type="dxa"/>
            <w:noWrap/>
          </w:tcPr>
          <w:p w14:paraId="6069A4ED">
            <w:pPr>
              <w:pStyle w:val="280"/>
              <w:rPr>
                <w:color w:val="auto"/>
              </w:rPr>
            </w:pPr>
          </w:p>
        </w:tc>
        <w:tc>
          <w:tcPr>
            <w:tcW w:w="646" w:type="dxa"/>
            <w:noWrap/>
          </w:tcPr>
          <w:p w14:paraId="4FA933D6">
            <w:pPr>
              <w:pStyle w:val="280"/>
              <w:rPr>
                <w:color w:val="auto"/>
              </w:rPr>
            </w:pPr>
          </w:p>
        </w:tc>
        <w:tc>
          <w:tcPr>
            <w:tcW w:w="1043" w:type="dxa"/>
            <w:noWrap/>
          </w:tcPr>
          <w:p w14:paraId="1FD2CD03">
            <w:pPr>
              <w:pStyle w:val="280"/>
              <w:rPr>
                <w:color w:val="auto"/>
              </w:rPr>
            </w:pPr>
          </w:p>
        </w:tc>
        <w:tc>
          <w:tcPr>
            <w:tcW w:w="632" w:type="dxa"/>
            <w:noWrap/>
          </w:tcPr>
          <w:p w14:paraId="6007A46E">
            <w:pPr>
              <w:pStyle w:val="280"/>
              <w:rPr>
                <w:color w:val="auto"/>
              </w:rPr>
            </w:pPr>
          </w:p>
        </w:tc>
        <w:tc>
          <w:tcPr>
            <w:tcW w:w="456" w:type="dxa"/>
            <w:noWrap/>
          </w:tcPr>
          <w:p w14:paraId="1497CC71">
            <w:pPr>
              <w:pStyle w:val="280"/>
              <w:rPr>
                <w:color w:val="auto"/>
              </w:rPr>
            </w:pPr>
          </w:p>
        </w:tc>
        <w:tc>
          <w:tcPr>
            <w:tcW w:w="546" w:type="dxa"/>
            <w:noWrap/>
          </w:tcPr>
          <w:p w14:paraId="3512D385">
            <w:pPr>
              <w:pStyle w:val="280"/>
              <w:rPr>
                <w:color w:val="auto"/>
              </w:rPr>
            </w:pPr>
          </w:p>
        </w:tc>
        <w:tc>
          <w:tcPr>
            <w:tcW w:w="546" w:type="dxa"/>
            <w:noWrap/>
          </w:tcPr>
          <w:p w14:paraId="163AF49F">
            <w:pPr>
              <w:pStyle w:val="280"/>
              <w:rPr>
                <w:color w:val="auto"/>
              </w:rPr>
            </w:pPr>
          </w:p>
        </w:tc>
        <w:tc>
          <w:tcPr>
            <w:tcW w:w="549" w:type="dxa"/>
            <w:noWrap/>
          </w:tcPr>
          <w:p w14:paraId="288413B7">
            <w:pPr>
              <w:pStyle w:val="280"/>
              <w:rPr>
                <w:color w:val="auto"/>
              </w:rPr>
            </w:pPr>
          </w:p>
        </w:tc>
        <w:tc>
          <w:tcPr>
            <w:tcW w:w="939" w:type="dxa"/>
            <w:noWrap/>
          </w:tcPr>
          <w:p w14:paraId="6C1461FA">
            <w:pPr>
              <w:pStyle w:val="280"/>
              <w:rPr>
                <w:color w:val="auto"/>
              </w:rPr>
            </w:pPr>
          </w:p>
        </w:tc>
      </w:tr>
      <w:tr w14:paraId="28654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noWrap/>
          </w:tcPr>
          <w:p w14:paraId="2C64EE26">
            <w:pPr>
              <w:pStyle w:val="280"/>
              <w:rPr>
                <w:color w:val="auto"/>
              </w:rPr>
            </w:pPr>
          </w:p>
        </w:tc>
        <w:tc>
          <w:tcPr>
            <w:tcW w:w="913" w:type="dxa"/>
            <w:noWrap/>
          </w:tcPr>
          <w:p w14:paraId="2703BFF7">
            <w:pPr>
              <w:pStyle w:val="280"/>
              <w:rPr>
                <w:color w:val="auto"/>
              </w:rPr>
            </w:pPr>
          </w:p>
        </w:tc>
        <w:tc>
          <w:tcPr>
            <w:tcW w:w="903" w:type="dxa"/>
            <w:noWrap/>
          </w:tcPr>
          <w:p w14:paraId="1298EB3C">
            <w:pPr>
              <w:pStyle w:val="280"/>
              <w:rPr>
                <w:color w:val="auto"/>
              </w:rPr>
            </w:pPr>
          </w:p>
        </w:tc>
        <w:tc>
          <w:tcPr>
            <w:tcW w:w="656" w:type="dxa"/>
            <w:noWrap/>
          </w:tcPr>
          <w:p w14:paraId="0694EA96">
            <w:pPr>
              <w:pStyle w:val="280"/>
              <w:rPr>
                <w:color w:val="auto"/>
              </w:rPr>
            </w:pPr>
          </w:p>
        </w:tc>
        <w:tc>
          <w:tcPr>
            <w:tcW w:w="646" w:type="dxa"/>
            <w:noWrap/>
          </w:tcPr>
          <w:p w14:paraId="43193E06">
            <w:pPr>
              <w:pStyle w:val="280"/>
              <w:rPr>
                <w:color w:val="auto"/>
              </w:rPr>
            </w:pPr>
          </w:p>
        </w:tc>
        <w:tc>
          <w:tcPr>
            <w:tcW w:w="1043" w:type="dxa"/>
            <w:noWrap/>
          </w:tcPr>
          <w:p w14:paraId="4B217C0E">
            <w:pPr>
              <w:pStyle w:val="280"/>
              <w:rPr>
                <w:color w:val="auto"/>
              </w:rPr>
            </w:pPr>
          </w:p>
        </w:tc>
        <w:tc>
          <w:tcPr>
            <w:tcW w:w="632" w:type="dxa"/>
            <w:noWrap/>
          </w:tcPr>
          <w:p w14:paraId="10571C87">
            <w:pPr>
              <w:pStyle w:val="280"/>
              <w:rPr>
                <w:color w:val="auto"/>
              </w:rPr>
            </w:pPr>
          </w:p>
        </w:tc>
        <w:tc>
          <w:tcPr>
            <w:tcW w:w="456" w:type="dxa"/>
            <w:noWrap/>
          </w:tcPr>
          <w:p w14:paraId="172F95EC">
            <w:pPr>
              <w:pStyle w:val="280"/>
              <w:rPr>
                <w:color w:val="auto"/>
              </w:rPr>
            </w:pPr>
          </w:p>
        </w:tc>
        <w:tc>
          <w:tcPr>
            <w:tcW w:w="546" w:type="dxa"/>
            <w:noWrap/>
          </w:tcPr>
          <w:p w14:paraId="2C1A959E">
            <w:pPr>
              <w:pStyle w:val="280"/>
              <w:rPr>
                <w:color w:val="auto"/>
              </w:rPr>
            </w:pPr>
          </w:p>
        </w:tc>
        <w:tc>
          <w:tcPr>
            <w:tcW w:w="546" w:type="dxa"/>
            <w:noWrap/>
          </w:tcPr>
          <w:p w14:paraId="70FEB2DB">
            <w:pPr>
              <w:pStyle w:val="280"/>
              <w:rPr>
                <w:color w:val="auto"/>
              </w:rPr>
            </w:pPr>
          </w:p>
        </w:tc>
        <w:tc>
          <w:tcPr>
            <w:tcW w:w="549" w:type="dxa"/>
            <w:noWrap/>
          </w:tcPr>
          <w:p w14:paraId="617D3180">
            <w:pPr>
              <w:pStyle w:val="280"/>
              <w:rPr>
                <w:color w:val="auto"/>
              </w:rPr>
            </w:pPr>
          </w:p>
        </w:tc>
        <w:tc>
          <w:tcPr>
            <w:tcW w:w="939" w:type="dxa"/>
            <w:noWrap/>
          </w:tcPr>
          <w:p w14:paraId="374983C1">
            <w:pPr>
              <w:pStyle w:val="280"/>
              <w:rPr>
                <w:color w:val="auto"/>
              </w:rPr>
            </w:pPr>
          </w:p>
        </w:tc>
      </w:tr>
      <w:tr w14:paraId="6642B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noWrap/>
          </w:tcPr>
          <w:p w14:paraId="11321AA1">
            <w:pPr>
              <w:pStyle w:val="280"/>
              <w:rPr>
                <w:color w:val="auto"/>
              </w:rPr>
            </w:pPr>
          </w:p>
        </w:tc>
        <w:tc>
          <w:tcPr>
            <w:tcW w:w="913" w:type="dxa"/>
            <w:noWrap/>
          </w:tcPr>
          <w:p w14:paraId="5325F6B7">
            <w:pPr>
              <w:pStyle w:val="280"/>
              <w:rPr>
                <w:color w:val="auto"/>
              </w:rPr>
            </w:pPr>
          </w:p>
        </w:tc>
        <w:tc>
          <w:tcPr>
            <w:tcW w:w="903" w:type="dxa"/>
            <w:noWrap/>
          </w:tcPr>
          <w:p w14:paraId="5433870E">
            <w:pPr>
              <w:pStyle w:val="280"/>
              <w:rPr>
                <w:color w:val="auto"/>
              </w:rPr>
            </w:pPr>
          </w:p>
        </w:tc>
        <w:tc>
          <w:tcPr>
            <w:tcW w:w="656" w:type="dxa"/>
            <w:noWrap/>
          </w:tcPr>
          <w:p w14:paraId="3CBF6393">
            <w:pPr>
              <w:pStyle w:val="280"/>
              <w:rPr>
                <w:color w:val="auto"/>
              </w:rPr>
            </w:pPr>
          </w:p>
        </w:tc>
        <w:tc>
          <w:tcPr>
            <w:tcW w:w="646" w:type="dxa"/>
            <w:noWrap/>
          </w:tcPr>
          <w:p w14:paraId="4FDA1E90">
            <w:pPr>
              <w:pStyle w:val="280"/>
              <w:rPr>
                <w:color w:val="auto"/>
              </w:rPr>
            </w:pPr>
          </w:p>
        </w:tc>
        <w:tc>
          <w:tcPr>
            <w:tcW w:w="1043" w:type="dxa"/>
            <w:noWrap/>
          </w:tcPr>
          <w:p w14:paraId="060220E9">
            <w:pPr>
              <w:pStyle w:val="280"/>
              <w:rPr>
                <w:color w:val="auto"/>
              </w:rPr>
            </w:pPr>
          </w:p>
        </w:tc>
        <w:tc>
          <w:tcPr>
            <w:tcW w:w="632" w:type="dxa"/>
            <w:noWrap/>
          </w:tcPr>
          <w:p w14:paraId="001E013B">
            <w:pPr>
              <w:pStyle w:val="280"/>
              <w:rPr>
                <w:color w:val="auto"/>
              </w:rPr>
            </w:pPr>
          </w:p>
        </w:tc>
        <w:tc>
          <w:tcPr>
            <w:tcW w:w="456" w:type="dxa"/>
            <w:noWrap/>
          </w:tcPr>
          <w:p w14:paraId="426A571E">
            <w:pPr>
              <w:pStyle w:val="280"/>
              <w:rPr>
                <w:color w:val="auto"/>
              </w:rPr>
            </w:pPr>
          </w:p>
        </w:tc>
        <w:tc>
          <w:tcPr>
            <w:tcW w:w="546" w:type="dxa"/>
            <w:noWrap/>
          </w:tcPr>
          <w:p w14:paraId="120A1C9E">
            <w:pPr>
              <w:pStyle w:val="280"/>
              <w:rPr>
                <w:color w:val="auto"/>
              </w:rPr>
            </w:pPr>
          </w:p>
        </w:tc>
        <w:tc>
          <w:tcPr>
            <w:tcW w:w="546" w:type="dxa"/>
            <w:noWrap/>
          </w:tcPr>
          <w:p w14:paraId="5BC956F4">
            <w:pPr>
              <w:pStyle w:val="280"/>
              <w:rPr>
                <w:color w:val="auto"/>
              </w:rPr>
            </w:pPr>
          </w:p>
        </w:tc>
        <w:tc>
          <w:tcPr>
            <w:tcW w:w="549" w:type="dxa"/>
            <w:noWrap/>
          </w:tcPr>
          <w:p w14:paraId="0C562D4C">
            <w:pPr>
              <w:pStyle w:val="280"/>
              <w:rPr>
                <w:color w:val="auto"/>
              </w:rPr>
            </w:pPr>
          </w:p>
        </w:tc>
        <w:tc>
          <w:tcPr>
            <w:tcW w:w="939" w:type="dxa"/>
            <w:noWrap/>
          </w:tcPr>
          <w:p w14:paraId="7209454C">
            <w:pPr>
              <w:pStyle w:val="280"/>
              <w:rPr>
                <w:color w:val="auto"/>
              </w:rPr>
            </w:pPr>
          </w:p>
        </w:tc>
      </w:tr>
      <w:tr w14:paraId="5D851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noWrap/>
          </w:tcPr>
          <w:p w14:paraId="1FDF3F94">
            <w:pPr>
              <w:pStyle w:val="280"/>
              <w:rPr>
                <w:color w:val="auto"/>
              </w:rPr>
            </w:pPr>
          </w:p>
        </w:tc>
        <w:tc>
          <w:tcPr>
            <w:tcW w:w="913" w:type="dxa"/>
            <w:noWrap/>
          </w:tcPr>
          <w:p w14:paraId="4B8676A3">
            <w:pPr>
              <w:pStyle w:val="280"/>
              <w:rPr>
                <w:color w:val="auto"/>
              </w:rPr>
            </w:pPr>
          </w:p>
        </w:tc>
        <w:tc>
          <w:tcPr>
            <w:tcW w:w="903" w:type="dxa"/>
            <w:noWrap/>
          </w:tcPr>
          <w:p w14:paraId="4BF0065F">
            <w:pPr>
              <w:pStyle w:val="280"/>
              <w:rPr>
                <w:color w:val="auto"/>
              </w:rPr>
            </w:pPr>
          </w:p>
        </w:tc>
        <w:tc>
          <w:tcPr>
            <w:tcW w:w="656" w:type="dxa"/>
            <w:noWrap/>
          </w:tcPr>
          <w:p w14:paraId="3B81BD8A">
            <w:pPr>
              <w:pStyle w:val="280"/>
              <w:rPr>
                <w:color w:val="auto"/>
              </w:rPr>
            </w:pPr>
          </w:p>
        </w:tc>
        <w:tc>
          <w:tcPr>
            <w:tcW w:w="646" w:type="dxa"/>
            <w:noWrap/>
          </w:tcPr>
          <w:p w14:paraId="07702D08">
            <w:pPr>
              <w:pStyle w:val="280"/>
              <w:rPr>
                <w:color w:val="auto"/>
              </w:rPr>
            </w:pPr>
          </w:p>
        </w:tc>
        <w:tc>
          <w:tcPr>
            <w:tcW w:w="1043" w:type="dxa"/>
            <w:noWrap/>
          </w:tcPr>
          <w:p w14:paraId="3CA2A2D9">
            <w:pPr>
              <w:pStyle w:val="280"/>
              <w:rPr>
                <w:color w:val="auto"/>
              </w:rPr>
            </w:pPr>
          </w:p>
        </w:tc>
        <w:tc>
          <w:tcPr>
            <w:tcW w:w="632" w:type="dxa"/>
            <w:noWrap/>
          </w:tcPr>
          <w:p w14:paraId="5376C9B2">
            <w:pPr>
              <w:pStyle w:val="280"/>
              <w:rPr>
                <w:color w:val="auto"/>
              </w:rPr>
            </w:pPr>
          </w:p>
        </w:tc>
        <w:tc>
          <w:tcPr>
            <w:tcW w:w="456" w:type="dxa"/>
            <w:noWrap/>
          </w:tcPr>
          <w:p w14:paraId="0FDB293D">
            <w:pPr>
              <w:pStyle w:val="280"/>
              <w:rPr>
                <w:color w:val="auto"/>
              </w:rPr>
            </w:pPr>
          </w:p>
        </w:tc>
        <w:tc>
          <w:tcPr>
            <w:tcW w:w="546" w:type="dxa"/>
            <w:noWrap/>
          </w:tcPr>
          <w:p w14:paraId="755002A8">
            <w:pPr>
              <w:pStyle w:val="280"/>
              <w:rPr>
                <w:color w:val="auto"/>
              </w:rPr>
            </w:pPr>
          </w:p>
        </w:tc>
        <w:tc>
          <w:tcPr>
            <w:tcW w:w="546" w:type="dxa"/>
            <w:noWrap/>
          </w:tcPr>
          <w:p w14:paraId="22A5E84B">
            <w:pPr>
              <w:pStyle w:val="280"/>
              <w:rPr>
                <w:color w:val="auto"/>
              </w:rPr>
            </w:pPr>
          </w:p>
        </w:tc>
        <w:tc>
          <w:tcPr>
            <w:tcW w:w="549" w:type="dxa"/>
            <w:noWrap/>
          </w:tcPr>
          <w:p w14:paraId="33E713FA">
            <w:pPr>
              <w:pStyle w:val="280"/>
              <w:rPr>
                <w:color w:val="auto"/>
              </w:rPr>
            </w:pPr>
          </w:p>
        </w:tc>
        <w:tc>
          <w:tcPr>
            <w:tcW w:w="939" w:type="dxa"/>
            <w:noWrap/>
          </w:tcPr>
          <w:p w14:paraId="757D88AA">
            <w:pPr>
              <w:pStyle w:val="280"/>
              <w:rPr>
                <w:color w:val="auto"/>
              </w:rPr>
            </w:pPr>
          </w:p>
        </w:tc>
      </w:tr>
      <w:tr w14:paraId="13D14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05" w:type="dxa"/>
            <w:noWrap/>
          </w:tcPr>
          <w:p w14:paraId="00C99116">
            <w:pPr>
              <w:pStyle w:val="280"/>
              <w:rPr>
                <w:color w:val="auto"/>
              </w:rPr>
            </w:pPr>
          </w:p>
        </w:tc>
        <w:tc>
          <w:tcPr>
            <w:tcW w:w="913" w:type="dxa"/>
            <w:noWrap/>
          </w:tcPr>
          <w:p w14:paraId="4DD7893E">
            <w:pPr>
              <w:pStyle w:val="280"/>
              <w:rPr>
                <w:color w:val="auto"/>
              </w:rPr>
            </w:pPr>
          </w:p>
        </w:tc>
        <w:tc>
          <w:tcPr>
            <w:tcW w:w="903" w:type="dxa"/>
            <w:noWrap/>
          </w:tcPr>
          <w:p w14:paraId="2D79EC83">
            <w:pPr>
              <w:pStyle w:val="280"/>
              <w:rPr>
                <w:color w:val="auto"/>
              </w:rPr>
            </w:pPr>
          </w:p>
        </w:tc>
        <w:tc>
          <w:tcPr>
            <w:tcW w:w="656" w:type="dxa"/>
            <w:noWrap/>
          </w:tcPr>
          <w:p w14:paraId="4BEF7382">
            <w:pPr>
              <w:pStyle w:val="280"/>
              <w:rPr>
                <w:color w:val="auto"/>
              </w:rPr>
            </w:pPr>
          </w:p>
        </w:tc>
        <w:tc>
          <w:tcPr>
            <w:tcW w:w="646" w:type="dxa"/>
            <w:noWrap/>
          </w:tcPr>
          <w:p w14:paraId="5BBEC197">
            <w:pPr>
              <w:pStyle w:val="280"/>
              <w:rPr>
                <w:color w:val="auto"/>
              </w:rPr>
            </w:pPr>
          </w:p>
        </w:tc>
        <w:tc>
          <w:tcPr>
            <w:tcW w:w="1043" w:type="dxa"/>
            <w:noWrap/>
          </w:tcPr>
          <w:p w14:paraId="7952B632">
            <w:pPr>
              <w:pStyle w:val="280"/>
              <w:rPr>
                <w:color w:val="auto"/>
              </w:rPr>
            </w:pPr>
          </w:p>
        </w:tc>
        <w:tc>
          <w:tcPr>
            <w:tcW w:w="632" w:type="dxa"/>
            <w:noWrap/>
          </w:tcPr>
          <w:p w14:paraId="58E4C0F1">
            <w:pPr>
              <w:pStyle w:val="280"/>
              <w:rPr>
                <w:color w:val="auto"/>
              </w:rPr>
            </w:pPr>
          </w:p>
        </w:tc>
        <w:tc>
          <w:tcPr>
            <w:tcW w:w="456" w:type="dxa"/>
            <w:noWrap/>
          </w:tcPr>
          <w:p w14:paraId="419F886B">
            <w:pPr>
              <w:pStyle w:val="280"/>
              <w:rPr>
                <w:color w:val="auto"/>
              </w:rPr>
            </w:pPr>
          </w:p>
        </w:tc>
        <w:tc>
          <w:tcPr>
            <w:tcW w:w="546" w:type="dxa"/>
            <w:noWrap/>
          </w:tcPr>
          <w:p w14:paraId="09BA5373">
            <w:pPr>
              <w:pStyle w:val="280"/>
              <w:rPr>
                <w:color w:val="auto"/>
              </w:rPr>
            </w:pPr>
          </w:p>
        </w:tc>
        <w:tc>
          <w:tcPr>
            <w:tcW w:w="546" w:type="dxa"/>
            <w:noWrap/>
          </w:tcPr>
          <w:p w14:paraId="31CBB03C">
            <w:pPr>
              <w:pStyle w:val="280"/>
              <w:rPr>
                <w:color w:val="auto"/>
              </w:rPr>
            </w:pPr>
          </w:p>
        </w:tc>
        <w:tc>
          <w:tcPr>
            <w:tcW w:w="549" w:type="dxa"/>
            <w:noWrap/>
          </w:tcPr>
          <w:p w14:paraId="450C4C97">
            <w:pPr>
              <w:pStyle w:val="280"/>
              <w:rPr>
                <w:color w:val="auto"/>
              </w:rPr>
            </w:pPr>
          </w:p>
        </w:tc>
        <w:tc>
          <w:tcPr>
            <w:tcW w:w="939" w:type="dxa"/>
            <w:noWrap/>
          </w:tcPr>
          <w:p w14:paraId="304B98B4">
            <w:pPr>
              <w:pStyle w:val="280"/>
              <w:rPr>
                <w:color w:val="auto"/>
              </w:rPr>
            </w:pPr>
          </w:p>
        </w:tc>
      </w:tr>
    </w:tbl>
    <w:p w14:paraId="2ADB8C05">
      <w:pPr>
        <w:pStyle w:val="21"/>
        <w:spacing w:line="258" w:lineRule="auto"/>
        <w:rPr>
          <w:color w:val="auto"/>
        </w:rPr>
      </w:pPr>
    </w:p>
    <w:p w14:paraId="28EC4A1D">
      <w:pPr>
        <w:pStyle w:val="21"/>
        <w:spacing w:line="259" w:lineRule="auto"/>
        <w:rPr>
          <w:color w:val="auto"/>
        </w:rPr>
      </w:pPr>
    </w:p>
    <w:p w14:paraId="44101B4A">
      <w:pPr>
        <w:pStyle w:val="21"/>
        <w:spacing w:line="259" w:lineRule="auto"/>
        <w:rPr>
          <w:color w:val="auto"/>
        </w:rPr>
      </w:pPr>
      <w:r>
        <w:rPr>
          <w:color w:val="auto"/>
        </w:rPr>
        <w:pict>
          <v:shape id="_x0000_s2057" o:spid="_x0000_s2057" o:spt="100" style="position:absolute;left:0pt;margin-left:0.2pt;margin-top:1.45pt;height:0pt;width:144pt;z-index:251674624;mso-width-relative:page;mso-height-relative:page;" filled="f" coordsize="2880,1" o:gfxdata="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nZTxXQAAAABAEAAA8AAAAAAAAAAQAgAAAAIgAAAGRycy9kb3ducmV2LnhtbFBLAQIUABQAAAAI&#10;AIdO4kCXcL1NLgIAAJUEAAAOAAAAAAAAAAEAIAAAAB8BAABkcnMvZTJvRG9jLnhtbFBLBQYAAAAA&#10;BgAGAFkBAAC/BQAAAAA=&#10;" path="m0,0l2880,0e">
            <v:path o:connecttype="segments"/>
            <v:fill on="f" focussize="0,0"/>
            <v:stroke weight="0pt" joinstyle="bevel" endcap="square"/>
            <v:imagedata o:title=""/>
            <o:lock v:ext="edit"/>
          </v:shape>
        </w:pict>
      </w:r>
    </w:p>
    <w:p w14:paraId="3511D14D">
      <w:pPr>
        <w:spacing w:before="61" w:line="226" w:lineRule="auto"/>
        <w:ind w:left="412"/>
        <w:rPr>
          <w:rFonts w:ascii="宋体" w:hAnsi="宋体" w:cs="宋体"/>
          <w:color w:val="auto"/>
          <w:sz w:val="19"/>
          <w:szCs w:val="19"/>
        </w:rPr>
      </w:pPr>
      <w:bookmarkStart w:id="193" w:name="bookmark235"/>
      <w:bookmarkEnd w:id="193"/>
      <w:r>
        <w:rPr>
          <w:rFonts w:ascii="宋体" w:hAnsi="宋体" w:cs="宋体"/>
          <w:color w:val="auto"/>
          <w:spacing w:val="9"/>
          <w:sz w:val="19"/>
          <w:szCs w:val="19"/>
        </w:rPr>
        <w:t>① 发包人和承包人应在合同中约定承包人投入本项目的主要机械设备和试验检测设备。</w:t>
      </w:r>
    </w:p>
    <w:p w14:paraId="70C6925A">
      <w:pPr>
        <w:spacing w:line="226" w:lineRule="auto"/>
        <w:rPr>
          <w:rFonts w:ascii="宋体" w:hAnsi="宋体" w:cs="宋体"/>
          <w:color w:val="auto"/>
          <w:sz w:val="19"/>
          <w:szCs w:val="19"/>
        </w:rPr>
        <w:sectPr>
          <w:footerReference r:id="rId16" w:type="default"/>
          <w:pgSz w:w="11907" w:h="16840"/>
          <w:pgMar w:top="1431" w:right="1628" w:bottom="1195" w:left="1639" w:header="0" w:footer="1017" w:gutter="0"/>
          <w:cols w:space="720" w:num="1"/>
        </w:sectPr>
      </w:pPr>
    </w:p>
    <w:p w14:paraId="64897089">
      <w:pPr>
        <w:spacing w:before="172" w:line="227" w:lineRule="auto"/>
        <w:ind w:left="140"/>
        <w:outlineLvl w:val="2"/>
        <w:rPr>
          <w:rFonts w:ascii="宋体" w:hAnsi="宋体" w:cs="宋体"/>
          <w:color w:val="auto"/>
          <w:sz w:val="12"/>
          <w:szCs w:val="12"/>
        </w:rPr>
      </w:pPr>
      <w:bookmarkStart w:id="194" w:name="bookmark65"/>
      <w:bookmarkEnd w:id="194"/>
      <w:bookmarkStart w:id="195" w:name="bookmark66"/>
      <w:bookmarkEnd w:id="195"/>
      <w:r>
        <w:rPr>
          <w:rFonts w:ascii="宋体" w:hAnsi="宋体" w:cs="宋体"/>
          <w:b/>
          <w:bCs/>
          <w:color w:val="auto"/>
          <w:spacing w:val="-4"/>
          <w:sz w:val="24"/>
        </w:rPr>
        <w:t>附件五养护站点设施、设备清单</w:t>
      </w:r>
      <w:r>
        <w:rPr>
          <w:color w:val="auto"/>
        </w:rPr>
        <w:fldChar w:fldCharType="begin"/>
      </w:r>
      <w:r>
        <w:rPr>
          <w:color w:val="auto"/>
        </w:rPr>
        <w:instrText xml:space="preserve"> HYPERLINK \l "bookmark236" </w:instrText>
      </w:r>
      <w:r>
        <w:rPr>
          <w:color w:val="auto"/>
        </w:rPr>
        <w:fldChar w:fldCharType="separate"/>
      </w:r>
      <w:r>
        <w:rPr>
          <w:rFonts w:ascii="宋体" w:hAnsi="宋体" w:cs="宋体"/>
          <w:b/>
          <w:bCs/>
          <w:color w:val="auto"/>
          <w:spacing w:val="-4"/>
          <w:position w:val="12"/>
          <w:sz w:val="12"/>
          <w:szCs w:val="12"/>
        </w:rPr>
        <w:t>①</w:t>
      </w:r>
      <w:r>
        <w:rPr>
          <w:rFonts w:ascii="宋体" w:hAnsi="宋体" w:cs="宋体"/>
          <w:b/>
          <w:bCs/>
          <w:color w:val="auto"/>
          <w:spacing w:val="-4"/>
          <w:position w:val="12"/>
          <w:sz w:val="12"/>
          <w:szCs w:val="12"/>
        </w:rPr>
        <w:fldChar w:fldCharType="end"/>
      </w:r>
    </w:p>
    <w:tbl>
      <w:tblPr>
        <w:tblStyle w:val="282"/>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1430"/>
        <w:gridCol w:w="1430"/>
        <w:gridCol w:w="1430"/>
        <w:gridCol w:w="1430"/>
        <w:gridCol w:w="1431"/>
        <w:gridCol w:w="878"/>
      </w:tblGrid>
      <w:tr w14:paraId="370E8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8895" w:type="dxa"/>
            <w:gridSpan w:val="7"/>
            <w:noWrap/>
          </w:tcPr>
          <w:p w14:paraId="318EEC33">
            <w:pPr>
              <w:spacing w:before="113" w:line="228" w:lineRule="auto"/>
              <w:ind w:left="2660"/>
              <w:rPr>
                <w:rFonts w:ascii="宋体" w:hAnsi="宋体" w:cs="宋体"/>
                <w:color w:val="auto"/>
                <w:sz w:val="20"/>
                <w:szCs w:val="20"/>
              </w:rPr>
            </w:pPr>
            <w:r>
              <w:rPr>
                <w:rFonts w:ascii="宋体" w:hAnsi="宋体" w:cs="宋体"/>
                <w:b/>
                <w:bCs/>
                <w:color w:val="auto"/>
                <w:spacing w:val="7"/>
                <w:sz w:val="20"/>
                <w:szCs w:val="20"/>
              </w:rPr>
              <w:t>养护站点设施、设备清单（绩效部分）</w:t>
            </w:r>
          </w:p>
        </w:tc>
      </w:tr>
      <w:tr w14:paraId="59F88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866" w:type="dxa"/>
            <w:noWrap/>
          </w:tcPr>
          <w:p w14:paraId="788FF0F4">
            <w:pPr>
              <w:spacing w:before="108" w:line="229" w:lineRule="auto"/>
              <w:ind w:left="227"/>
              <w:rPr>
                <w:rFonts w:ascii="宋体" w:hAnsi="宋体" w:cs="宋体"/>
                <w:color w:val="auto"/>
                <w:sz w:val="20"/>
                <w:szCs w:val="20"/>
              </w:rPr>
            </w:pPr>
            <w:r>
              <w:rPr>
                <w:rFonts w:ascii="宋体" w:hAnsi="宋体" w:cs="宋体"/>
                <w:color w:val="auto"/>
                <w:spacing w:val="5"/>
                <w:sz w:val="20"/>
                <w:szCs w:val="20"/>
              </w:rPr>
              <w:t>序号</w:t>
            </w:r>
          </w:p>
        </w:tc>
        <w:tc>
          <w:tcPr>
            <w:tcW w:w="1430" w:type="dxa"/>
            <w:noWrap/>
          </w:tcPr>
          <w:p w14:paraId="720C2DD3">
            <w:pPr>
              <w:spacing w:before="108" w:line="228" w:lineRule="auto"/>
              <w:ind w:left="307"/>
              <w:rPr>
                <w:rFonts w:ascii="宋体" w:hAnsi="宋体" w:cs="宋体"/>
                <w:color w:val="auto"/>
                <w:sz w:val="20"/>
                <w:szCs w:val="20"/>
              </w:rPr>
            </w:pPr>
            <w:r>
              <w:rPr>
                <w:rFonts w:ascii="宋体" w:hAnsi="宋体" w:cs="宋体"/>
                <w:color w:val="auto"/>
                <w:spacing w:val="5"/>
                <w:sz w:val="20"/>
                <w:szCs w:val="20"/>
              </w:rPr>
              <w:t>资产名称</w:t>
            </w:r>
          </w:p>
        </w:tc>
        <w:tc>
          <w:tcPr>
            <w:tcW w:w="1430" w:type="dxa"/>
            <w:noWrap/>
          </w:tcPr>
          <w:p w14:paraId="7EC9C425">
            <w:pPr>
              <w:spacing w:before="108" w:line="228" w:lineRule="auto"/>
              <w:ind w:left="308"/>
              <w:rPr>
                <w:rFonts w:ascii="宋体" w:hAnsi="宋体" w:cs="宋体"/>
                <w:color w:val="auto"/>
                <w:sz w:val="20"/>
                <w:szCs w:val="20"/>
              </w:rPr>
            </w:pPr>
            <w:r>
              <w:rPr>
                <w:rFonts w:ascii="宋体" w:hAnsi="宋体" w:cs="宋体"/>
                <w:color w:val="auto"/>
                <w:spacing w:val="5"/>
                <w:sz w:val="20"/>
                <w:szCs w:val="20"/>
              </w:rPr>
              <w:t>资产编码</w:t>
            </w:r>
          </w:p>
        </w:tc>
        <w:tc>
          <w:tcPr>
            <w:tcW w:w="1430" w:type="dxa"/>
            <w:noWrap/>
          </w:tcPr>
          <w:p w14:paraId="3630082D">
            <w:pPr>
              <w:spacing w:before="108" w:line="228" w:lineRule="auto"/>
              <w:ind w:left="308"/>
              <w:rPr>
                <w:rFonts w:ascii="宋体" w:hAnsi="宋体" w:cs="宋体"/>
                <w:color w:val="auto"/>
                <w:sz w:val="20"/>
                <w:szCs w:val="20"/>
              </w:rPr>
            </w:pPr>
            <w:r>
              <w:rPr>
                <w:rFonts w:ascii="宋体" w:hAnsi="宋体" w:cs="宋体"/>
                <w:color w:val="auto"/>
                <w:spacing w:val="5"/>
                <w:sz w:val="20"/>
                <w:szCs w:val="20"/>
              </w:rPr>
              <w:t>资产类型</w:t>
            </w:r>
          </w:p>
        </w:tc>
        <w:tc>
          <w:tcPr>
            <w:tcW w:w="1430" w:type="dxa"/>
            <w:noWrap/>
          </w:tcPr>
          <w:p w14:paraId="4D35ABF5">
            <w:pPr>
              <w:spacing w:before="108" w:line="228" w:lineRule="auto"/>
              <w:ind w:left="317"/>
              <w:rPr>
                <w:rFonts w:ascii="宋体" w:hAnsi="宋体" w:cs="宋体"/>
                <w:color w:val="auto"/>
                <w:sz w:val="20"/>
                <w:szCs w:val="20"/>
              </w:rPr>
            </w:pPr>
            <w:r>
              <w:rPr>
                <w:rFonts w:ascii="宋体" w:hAnsi="宋体" w:cs="宋体"/>
                <w:color w:val="auto"/>
                <w:spacing w:val="3"/>
                <w:sz w:val="20"/>
                <w:szCs w:val="20"/>
              </w:rPr>
              <w:t>品牌型号</w:t>
            </w:r>
          </w:p>
        </w:tc>
        <w:tc>
          <w:tcPr>
            <w:tcW w:w="1431" w:type="dxa"/>
            <w:noWrap/>
          </w:tcPr>
          <w:p w14:paraId="2B682AD2">
            <w:pPr>
              <w:spacing w:before="108" w:line="228" w:lineRule="auto"/>
              <w:ind w:left="303"/>
              <w:rPr>
                <w:rFonts w:ascii="宋体" w:hAnsi="宋体" w:cs="宋体"/>
                <w:color w:val="auto"/>
                <w:sz w:val="20"/>
                <w:szCs w:val="20"/>
              </w:rPr>
            </w:pPr>
            <w:r>
              <w:rPr>
                <w:rFonts w:ascii="宋体" w:hAnsi="宋体" w:cs="宋体"/>
                <w:color w:val="auto"/>
                <w:spacing w:val="7"/>
                <w:sz w:val="20"/>
                <w:szCs w:val="20"/>
              </w:rPr>
              <w:t>使用单位</w:t>
            </w:r>
          </w:p>
        </w:tc>
        <w:tc>
          <w:tcPr>
            <w:tcW w:w="878" w:type="dxa"/>
            <w:noWrap/>
          </w:tcPr>
          <w:p w14:paraId="6883DCAF">
            <w:pPr>
              <w:spacing w:before="108" w:line="229" w:lineRule="auto"/>
              <w:ind w:left="237"/>
              <w:rPr>
                <w:rFonts w:ascii="宋体" w:hAnsi="宋体" w:cs="宋体"/>
                <w:color w:val="auto"/>
                <w:sz w:val="20"/>
                <w:szCs w:val="20"/>
              </w:rPr>
            </w:pPr>
            <w:r>
              <w:rPr>
                <w:rFonts w:ascii="宋体" w:hAnsi="宋体" w:cs="宋体"/>
                <w:color w:val="auto"/>
                <w:spacing w:val="3"/>
                <w:sz w:val="20"/>
                <w:szCs w:val="20"/>
              </w:rPr>
              <w:t>备注</w:t>
            </w:r>
          </w:p>
        </w:tc>
      </w:tr>
      <w:tr w14:paraId="628C0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866" w:type="dxa"/>
            <w:noWrap/>
          </w:tcPr>
          <w:p w14:paraId="059E774B">
            <w:pPr>
              <w:pStyle w:val="280"/>
              <w:rPr>
                <w:color w:val="auto"/>
              </w:rPr>
            </w:pPr>
          </w:p>
        </w:tc>
        <w:tc>
          <w:tcPr>
            <w:tcW w:w="1430" w:type="dxa"/>
            <w:noWrap/>
          </w:tcPr>
          <w:p w14:paraId="7681880F">
            <w:pPr>
              <w:pStyle w:val="280"/>
              <w:rPr>
                <w:color w:val="auto"/>
              </w:rPr>
            </w:pPr>
          </w:p>
        </w:tc>
        <w:tc>
          <w:tcPr>
            <w:tcW w:w="1430" w:type="dxa"/>
            <w:noWrap/>
          </w:tcPr>
          <w:p w14:paraId="5F06B39B">
            <w:pPr>
              <w:pStyle w:val="280"/>
              <w:rPr>
                <w:color w:val="auto"/>
              </w:rPr>
            </w:pPr>
          </w:p>
        </w:tc>
        <w:tc>
          <w:tcPr>
            <w:tcW w:w="1430" w:type="dxa"/>
            <w:noWrap/>
          </w:tcPr>
          <w:p w14:paraId="37296D81">
            <w:pPr>
              <w:pStyle w:val="280"/>
              <w:rPr>
                <w:color w:val="auto"/>
              </w:rPr>
            </w:pPr>
          </w:p>
        </w:tc>
        <w:tc>
          <w:tcPr>
            <w:tcW w:w="1430" w:type="dxa"/>
            <w:noWrap/>
          </w:tcPr>
          <w:p w14:paraId="2F2E293F">
            <w:pPr>
              <w:pStyle w:val="280"/>
              <w:rPr>
                <w:color w:val="auto"/>
              </w:rPr>
            </w:pPr>
          </w:p>
        </w:tc>
        <w:tc>
          <w:tcPr>
            <w:tcW w:w="1431" w:type="dxa"/>
            <w:noWrap/>
          </w:tcPr>
          <w:p w14:paraId="098C7C01">
            <w:pPr>
              <w:pStyle w:val="280"/>
              <w:rPr>
                <w:color w:val="auto"/>
              </w:rPr>
            </w:pPr>
          </w:p>
        </w:tc>
        <w:tc>
          <w:tcPr>
            <w:tcW w:w="878" w:type="dxa"/>
            <w:noWrap/>
          </w:tcPr>
          <w:p w14:paraId="17786521">
            <w:pPr>
              <w:pStyle w:val="280"/>
              <w:rPr>
                <w:color w:val="auto"/>
              </w:rPr>
            </w:pPr>
          </w:p>
        </w:tc>
      </w:tr>
      <w:tr w14:paraId="31370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noWrap/>
          </w:tcPr>
          <w:p w14:paraId="33D8FC27">
            <w:pPr>
              <w:pStyle w:val="280"/>
              <w:rPr>
                <w:color w:val="auto"/>
              </w:rPr>
            </w:pPr>
          </w:p>
        </w:tc>
        <w:tc>
          <w:tcPr>
            <w:tcW w:w="1430" w:type="dxa"/>
            <w:noWrap/>
          </w:tcPr>
          <w:p w14:paraId="05B7D91C">
            <w:pPr>
              <w:pStyle w:val="280"/>
              <w:rPr>
                <w:color w:val="auto"/>
              </w:rPr>
            </w:pPr>
          </w:p>
        </w:tc>
        <w:tc>
          <w:tcPr>
            <w:tcW w:w="1430" w:type="dxa"/>
            <w:noWrap/>
          </w:tcPr>
          <w:p w14:paraId="7AAA7824">
            <w:pPr>
              <w:pStyle w:val="280"/>
              <w:rPr>
                <w:color w:val="auto"/>
              </w:rPr>
            </w:pPr>
          </w:p>
        </w:tc>
        <w:tc>
          <w:tcPr>
            <w:tcW w:w="1430" w:type="dxa"/>
            <w:noWrap/>
          </w:tcPr>
          <w:p w14:paraId="0FE2BE94">
            <w:pPr>
              <w:pStyle w:val="280"/>
              <w:rPr>
                <w:color w:val="auto"/>
              </w:rPr>
            </w:pPr>
          </w:p>
        </w:tc>
        <w:tc>
          <w:tcPr>
            <w:tcW w:w="1430" w:type="dxa"/>
            <w:noWrap/>
          </w:tcPr>
          <w:p w14:paraId="3F118042">
            <w:pPr>
              <w:pStyle w:val="280"/>
              <w:rPr>
                <w:color w:val="auto"/>
              </w:rPr>
            </w:pPr>
          </w:p>
        </w:tc>
        <w:tc>
          <w:tcPr>
            <w:tcW w:w="1431" w:type="dxa"/>
            <w:noWrap/>
          </w:tcPr>
          <w:p w14:paraId="45E9D668">
            <w:pPr>
              <w:pStyle w:val="280"/>
              <w:rPr>
                <w:color w:val="auto"/>
              </w:rPr>
            </w:pPr>
          </w:p>
        </w:tc>
        <w:tc>
          <w:tcPr>
            <w:tcW w:w="878" w:type="dxa"/>
            <w:noWrap/>
          </w:tcPr>
          <w:p w14:paraId="6ADFFDE0">
            <w:pPr>
              <w:pStyle w:val="280"/>
              <w:rPr>
                <w:color w:val="auto"/>
              </w:rPr>
            </w:pPr>
          </w:p>
        </w:tc>
      </w:tr>
      <w:tr w14:paraId="04D4E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866" w:type="dxa"/>
            <w:noWrap/>
          </w:tcPr>
          <w:p w14:paraId="497C6CD0">
            <w:pPr>
              <w:pStyle w:val="280"/>
              <w:rPr>
                <w:color w:val="auto"/>
              </w:rPr>
            </w:pPr>
          </w:p>
        </w:tc>
        <w:tc>
          <w:tcPr>
            <w:tcW w:w="1430" w:type="dxa"/>
            <w:noWrap/>
          </w:tcPr>
          <w:p w14:paraId="0ABF202E">
            <w:pPr>
              <w:pStyle w:val="280"/>
              <w:rPr>
                <w:color w:val="auto"/>
              </w:rPr>
            </w:pPr>
          </w:p>
        </w:tc>
        <w:tc>
          <w:tcPr>
            <w:tcW w:w="1430" w:type="dxa"/>
            <w:noWrap/>
          </w:tcPr>
          <w:p w14:paraId="5F84A39F">
            <w:pPr>
              <w:pStyle w:val="280"/>
              <w:rPr>
                <w:color w:val="auto"/>
              </w:rPr>
            </w:pPr>
          </w:p>
        </w:tc>
        <w:tc>
          <w:tcPr>
            <w:tcW w:w="1430" w:type="dxa"/>
            <w:noWrap/>
          </w:tcPr>
          <w:p w14:paraId="79834A96">
            <w:pPr>
              <w:pStyle w:val="280"/>
              <w:rPr>
                <w:color w:val="auto"/>
              </w:rPr>
            </w:pPr>
          </w:p>
        </w:tc>
        <w:tc>
          <w:tcPr>
            <w:tcW w:w="1430" w:type="dxa"/>
            <w:noWrap/>
          </w:tcPr>
          <w:p w14:paraId="2EAB8C79">
            <w:pPr>
              <w:pStyle w:val="280"/>
              <w:rPr>
                <w:color w:val="auto"/>
              </w:rPr>
            </w:pPr>
          </w:p>
        </w:tc>
        <w:tc>
          <w:tcPr>
            <w:tcW w:w="1431" w:type="dxa"/>
            <w:noWrap/>
          </w:tcPr>
          <w:p w14:paraId="57FE2893">
            <w:pPr>
              <w:pStyle w:val="280"/>
              <w:rPr>
                <w:color w:val="auto"/>
              </w:rPr>
            </w:pPr>
          </w:p>
        </w:tc>
        <w:tc>
          <w:tcPr>
            <w:tcW w:w="878" w:type="dxa"/>
            <w:noWrap/>
          </w:tcPr>
          <w:p w14:paraId="769EB4AC">
            <w:pPr>
              <w:pStyle w:val="280"/>
              <w:rPr>
                <w:color w:val="auto"/>
              </w:rPr>
            </w:pPr>
          </w:p>
        </w:tc>
      </w:tr>
      <w:tr w14:paraId="3287C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0" w:hRule="atLeast"/>
        </w:trPr>
        <w:tc>
          <w:tcPr>
            <w:tcW w:w="866" w:type="dxa"/>
            <w:noWrap/>
          </w:tcPr>
          <w:p w14:paraId="01937267">
            <w:pPr>
              <w:pStyle w:val="280"/>
              <w:rPr>
                <w:color w:val="auto"/>
              </w:rPr>
            </w:pPr>
          </w:p>
        </w:tc>
        <w:tc>
          <w:tcPr>
            <w:tcW w:w="1430" w:type="dxa"/>
            <w:noWrap/>
          </w:tcPr>
          <w:p w14:paraId="58792B0C">
            <w:pPr>
              <w:pStyle w:val="280"/>
              <w:rPr>
                <w:color w:val="auto"/>
              </w:rPr>
            </w:pPr>
          </w:p>
        </w:tc>
        <w:tc>
          <w:tcPr>
            <w:tcW w:w="1430" w:type="dxa"/>
            <w:noWrap/>
          </w:tcPr>
          <w:p w14:paraId="4284CE14">
            <w:pPr>
              <w:pStyle w:val="280"/>
              <w:rPr>
                <w:color w:val="auto"/>
              </w:rPr>
            </w:pPr>
          </w:p>
        </w:tc>
        <w:tc>
          <w:tcPr>
            <w:tcW w:w="1430" w:type="dxa"/>
            <w:noWrap/>
          </w:tcPr>
          <w:p w14:paraId="2395EE64">
            <w:pPr>
              <w:pStyle w:val="280"/>
              <w:rPr>
                <w:color w:val="auto"/>
              </w:rPr>
            </w:pPr>
          </w:p>
        </w:tc>
        <w:tc>
          <w:tcPr>
            <w:tcW w:w="1430" w:type="dxa"/>
            <w:noWrap/>
          </w:tcPr>
          <w:p w14:paraId="4F607A97">
            <w:pPr>
              <w:pStyle w:val="280"/>
              <w:rPr>
                <w:color w:val="auto"/>
              </w:rPr>
            </w:pPr>
          </w:p>
        </w:tc>
        <w:tc>
          <w:tcPr>
            <w:tcW w:w="1431" w:type="dxa"/>
            <w:noWrap/>
          </w:tcPr>
          <w:p w14:paraId="37BDEEE8">
            <w:pPr>
              <w:pStyle w:val="280"/>
              <w:rPr>
                <w:color w:val="auto"/>
              </w:rPr>
            </w:pPr>
          </w:p>
        </w:tc>
        <w:tc>
          <w:tcPr>
            <w:tcW w:w="878" w:type="dxa"/>
            <w:noWrap/>
          </w:tcPr>
          <w:p w14:paraId="2F084B08">
            <w:pPr>
              <w:pStyle w:val="280"/>
              <w:rPr>
                <w:color w:val="auto"/>
              </w:rPr>
            </w:pPr>
          </w:p>
        </w:tc>
      </w:tr>
      <w:tr w14:paraId="49DE8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866" w:type="dxa"/>
            <w:noWrap/>
          </w:tcPr>
          <w:p w14:paraId="59BE456C">
            <w:pPr>
              <w:pStyle w:val="280"/>
              <w:rPr>
                <w:color w:val="auto"/>
              </w:rPr>
            </w:pPr>
          </w:p>
        </w:tc>
        <w:tc>
          <w:tcPr>
            <w:tcW w:w="1430" w:type="dxa"/>
            <w:noWrap/>
          </w:tcPr>
          <w:p w14:paraId="25E711DB">
            <w:pPr>
              <w:pStyle w:val="280"/>
              <w:rPr>
                <w:color w:val="auto"/>
              </w:rPr>
            </w:pPr>
          </w:p>
        </w:tc>
        <w:tc>
          <w:tcPr>
            <w:tcW w:w="1430" w:type="dxa"/>
            <w:noWrap/>
          </w:tcPr>
          <w:p w14:paraId="62828178">
            <w:pPr>
              <w:pStyle w:val="280"/>
              <w:rPr>
                <w:color w:val="auto"/>
              </w:rPr>
            </w:pPr>
          </w:p>
        </w:tc>
        <w:tc>
          <w:tcPr>
            <w:tcW w:w="1430" w:type="dxa"/>
            <w:noWrap/>
          </w:tcPr>
          <w:p w14:paraId="31FF3B01">
            <w:pPr>
              <w:pStyle w:val="280"/>
              <w:rPr>
                <w:color w:val="auto"/>
              </w:rPr>
            </w:pPr>
          </w:p>
        </w:tc>
        <w:tc>
          <w:tcPr>
            <w:tcW w:w="1430" w:type="dxa"/>
            <w:noWrap/>
          </w:tcPr>
          <w:p w14:paraId="51B974D4">
            <w:pPr>
              <w:pStyle w:val="280"/>
              <w:rPr>
                <w:color w:val="auto"/>
              </w:rPr>
            </w:pPr>
          </w:p>
        </w:tc>
        <w:tc>
          <w:tcPr>
            <w:tcW w:w="1431" w:type="dxa"/>
            <w:noWrap/>
          </w:tcPr>
          <w:p w14:paraId="0178AD3E">
            <w:pPr>
              <w:pStyle w:val="280"/>
              <w:rPr>
                <w:color w:val="auto"/>
              </w:rPr>
            </w:pPr>
          </w:p>
        </w:tc>
        <w:tc>
          <w:tcPr>
            <w:tcW w:w="878" w:type="dxa"/>
            <w:noWrap/>
          </w:tcPr>
          <w:p w14:paraId="4A94E11E">
            <w:pPr>
              <w:pStyle w:val="280"/>
              <w:rPr>
                <w:color w:val="auto"/>
              </w:rPr>
            </w:pPr>
          </w:p>
        </w:tc>
      </w:tr>
      <w:tr w14:paraId="44025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noWrap/>
          </w:tcPr>
          <w:p w14:paraId="6ABBC1B6">
            <w:pPr>
              <w:pStyle w:val="280"/>
              <w:rPr>
                <w:color w:val="auto"/>
              </w:rPr>
            </w:pPr>
          </w:p>
        </w:tc>
        <w:tc>
          <w:tcPr>
            <w:tcW w:w="1430" w:type="dxa"/>
            <w:noWrap/>
          </w:tcPr>
          <w:p w14:paraId="764ADAD5">
            <w:pPr>
              <w:pStyle w:val="280"/>
              <w:rPr>
                <w:color w:val="auto"/>
              </w:rPr>
            </w:pPr>
          </w:p>
        </w:tc>
        <w:tc>
          <w:tcPr>
            <w:tcW w:w="1430" w:type="dxa"/>
            <w:noWrap/>
          </w:tcPr>
          <w:p w14:paraId="03B84FE7">
            <w:pPr>
              <w:pStyle w:val="280"/>
              <w:rPr>
                <w:color w:val="auto"/>
              </w:rPr>
            </w:pPr>
          </w:p>
        </w:tc>
        <w:tc>
          <w:tcPr>
            <w:tcW w:w="1430" w:type="dxa"/>
            <w:noWrap/>
          </w:tcPr>
          <w:p w14:paraId="740AAE9A">
            <w:pPr>
              <w:pStyle w:val="280"/>
              <w:rPr>
                <w:color w:val="auto"/>
              </w:rPr>
            </w:pPr>
          </w:p>
        </w:tc>
        <w:tc>
          <w:tcPr>
            <w:tcW w:w="1430" w:type="dxa"/>
            <w:noWrap/>
          </w:tcPr>
          <w:p w14:paraId="11AD263E">
            <w:pPr>
              <w:pStyle w:val="280"/>
              <w:rPr>
                <w:color w:val="auto"/>
              </w:rPr>
            </w:pPr>
          </w:p>
        </w:tc>
        <w:tc>
          <w:tcPr>
            <w:tcW w:w="1431" w:type="dxa"/>
            <w:noWrap/>
          </w:tcPr>
          <w:p w14:paraId="5C7377B1">
            <w:pPr>
              <w:pStyle w:val="280"/>
              <w:rPr>
                <w:color w:val="auto"/>
              </w:rPr>
            </w:pPr>
          </w:p>
        </w:tc>
        <w:tc>
          <w:tcPr>
            <w:tcW w:w="878" w:type="dxa"/>
            <w:noWrap/>
          </w:tcPr>
          <w:p w14:paraId="6FE50511">
            <w:pPr>
              <w:pStyle w:val="280"/>
              <w:rPr>
                <w:color w:val="auto"/>
              </w:rPr>
            </w:pPr>
          </w:p>
        </w:tc>
      </w:tr>
      <w:tr w14:paraId="5B667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noWrap/>
          </w:tcPr>
          <w:p w14:paraId="58C08699">
            <w:pPr>
              <w:pStyle w:val="280"/>
              <w:rPr>
                <w:color w:val="auto"/>
              </w:rPr>
            </w:pPr>
          </w:p>
        </w:tc>
        <w:tc>
          <w:tcPr>
            <w:tcW w:w="1430" w:type="dxa"/>
            <w:noWrap/>
          </w:tcPr>
          <w:p w14:paraId="59A987FC">
            <w:pPr>
              <w:pStyle w:val="280"/>
              <w:rPr>
                <w:color w:val="auto"/>
              </w:rPr>
            </w:pPr>
          </w:p>
        </w:tc>
        <w:tc>
          <w:tcPr>
            <w:tcW w:w="1430" w:type="dxa"/>
            <w:noWrap/>
          </w:tcPr>
          <w:p w14:paraId="552CFE93">
            <w:pPr>
              <w:pStyle w:val="280"/>
              <w:rPr>
                <w:color w:val="auto"/>
              </w:rPr>
            </w:pPr>
          </w:p>
        </w:tc>
        <w:tc>
          <w:tcPr>
            <w:tcW w:w="1430" w:type="dxa"/>
            <w:noWrap/>
          </w:tcPr>
          <w:p w14:paraId="7F2CFAAE">
            <w:pPr>
              <w:pStyle w:val="280"/>
              <w:rPr>
                <w:color w:val="auto"/>
              </w:rPr>
            </w:pPr>
          </w:p>
        </w:tc>
        <w:tc>
          <w:tcPr>
            <w:tcW w:w="1430" w:type="dxa"/>
            <w:noWrap/>
          </w:tcPr>
          <w:p w14:paraId="65174F16">
            <w:pPr>
              <w:pStyle w:val="280"/>
              <w:rPr>
                <w:color w:val="auto"/>
              </w:rPr>
            </w:pPr>
          </w:p>
        </w:tc>
        <w:tc>
          <w:tcPr>
            <w:tcW w:w="1431" w:type="dxa"/>
            <w:noWrap/>
          </w:tcPr>
          <w:p w14:paraId="0DB85513">
            <w:pPr>
              <w:pStyle w:val="280"/>
              <w:rPr>
                <w:color w:val="auto"/>
              </w:rPr>
            </w:pPr>
          </w:p>
        </w:tc>
        <w:tc>
          <w:tcPr>
            <w:tcW w:w="878" w:type="dxa"/>
            <w:noWrap/>
          </w:tcPr>
          <w:p w14:paraId="3B36357F">
            <w:pPr>
              <w:pStyle w:val="280"/>
              <w:rPr>
                <w:color w:val="auto"/>
              </w:rPr>
            </w:pPr>
          </w:p>
        </w:tc>
      </w:tr>
      <w:tr w14:paraId="23F69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noWrap/>
          </w:tcPr>
          <w:p w14:paraId="7048F2A9">
            <w:pPr>
              <w:pStyle w:val="280"/>
              <w:rPr>
                <w:color w:val="auto"/>
              </w:rPr>
            </w:pPr>
          </w:p>
        </w:tc>
        <w:tc>
          <w:tcPr>
            <w:tcW w:w="1430" w:type="dxa"/>
            <w:noWrap/>
          </w:tcPr>
          <w:p w14:paraId="332B8F8F">
            <w:pPr>
              <w:pStyle w:val="280"/>
              <w:rPr>
                <w:color w:val="auto"/>
              </w:rPr>
            </w:pPr>
          </w:p>
        </w:tc>
        <w:tc>
          <w:tcPr>
            <w:tcW w:w="1430" w:type="dxa"/>
            <w:noWrap/>
          </w:tcPr>
          <w:p w14:paraId="74A18015">
            <w:pPr>
              <w:pStyle w:val="280"/>
              <w:rPr>
                <w:color w:val="auto"/>
              </w:rPr>
            </w:pPr>
          </w:p>
        </w:tc>
        <w:tc>
          <w:tcPr>
            <w:tcW w:w="1430" w:type="dxa"/>
            <w:noWrap/>
          </w:tcPr>
          <w:p w14:paraId="3F8A9539">
            <w:pPr>
              <w:pStyle w:val="280"/>
              <w:rPr>
                <w:color w:val="auto"/>
              </w:rPr>
            </w:pPr>
          </w:p>
        </w:tc>
        <w:tc>
          <w:tcPr>
            <w:tcW w:w="1430" w:type="dxa"/>
            <w:noWrap/>
          </w:tcPr>
          <w:p w14:paraId="329E0EA0">
            <w:pPr>
              <w:pStyle w:val="280"/>
              <w:rPr>
                <w:color w:val="auto"/>
              </w:rPr>
            </w:pPr>
          </w:p>
        </w:tc>
        <w:tc>
          <w:tcPr>
            <w:tcW w:w="1431" w:type="dxa"/>
            <w:noWrap/>
          </w:tcPr>
          <w:p w14:paraId="5454E187">
            <w:pPr>
              <w:pStyle w:val="280"/>
              <w:rPr>
                <w:color w:val="auto"/>
              </w:rPr>
            </w:pPr>
          </w:p>
        </w:tc>
        <w:tc>
          <w:tcPr>
            <w:tcW w:w="878" w:type="dxa"/>
            <w:noWrap/>
          </w:tcPr>
          <w:p w14:paraId="0CD43035">
            <w:pPr>
              <w:pStyle w:val="280"/>
              <w:rPr>
                <w:color w:val="auto"/>
              </w:rPr>
            </w:pPr>
          </w:p>
        </w:tc>
      </w:tr>
      <w:tr w14:paraId="7EF52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noWrap/>
          </w:tcPr>
          <w:p w14:paraId="3F0CDA4E">
            <w:pPr>
              <w:pStyle w:val="280"/>
              <w:rPr>
                <w:color w:val="auto"/>
              </w:rPr>
            </w:pPr>
          </w:p>
        </w:tc>
        <w:tc>
          <w:tcPr>
            <w:tcW w:w="1430" w:type="dxa"/>
            <w:noWrap/>
          </w:tcPr>
          <w:p w14:paraId="5EA6A6BA">
            <w:pPr>
              <w:pStyle w:val="280"/>
              <w:rPr>
                <w:color w:val="auto"/>
              </w:rPr>
            </w:pPr>
          </w:p>
        </w:tc>
        <w:tc>
          <w:tcPr>
            <w:tcW w:w="1430" w:type="dxa"/>
            <w:noWrap/>
          </w:tcPr>
          <w:p w14:paraId="06941AFF">
            <w:pPr>
              <w:pStyle w:val="280"/>
              <w:rPr>
                <w:color w:val="auto"/>
              </w:rPr>
            </w:pPr>
          </w:p>
        </w:tc>
        <w:tc>
          <w:tcPr>
            <w:tcW w:w="1430" w:type="dxa"/>
            <w:noWrap/>
          </w:tcPr>
          <w:p w14:paraId="1D5C6B3C">
            <w:pPr>
              <w:pStyle w:val="280"/>
              <w:rPr>
                <w:color w:val="auto"/>
              </w:rPr>
            </w:pPr>
          </w:p>
        </w:tc>
        <w:tc>
          <w:tcPr>
            <w:tcW w:w="1430" w:type="dxa"/>
            <w:noWrap/>
          </w:tcPr>
          <w:p w14:paraId="322897D5">
            <w:pPr>
              <w:pStyle w:val="280"/>
              <w:rPr>
                <w:color w:val="auto"/>
              </w:rPr>
            </w:pPr>
          </w:p>
        </w:tc>
        <w:tc>
          <w:tcPr>
            <w:tcW w:w="1431" w:type="dxa"/>
            <w:noWrap/>
          </w:tcPr>
          <w:p w14:paraId="719FEE1D">
            <w:pPr>
              <w:pStyle w:val="280"/>
              <w:rPr>
                <w:color w:val="auto"/>
              </w:rPr>
            </w:pPr>
          </w:p>
        </w:tc>
        <w:tc>
          <w:tcPr>
            <w:tcW w:w="878" w:type="dxa"/>
            <w:noWrap/>
          </w:tcPr>
          <w:p w14:paraId="66D63933">
            <w:pPr>
              <w:pStyle w:val="280"/>
              <w:rPr>
                <w:color w:val="auto"/>
              </w:rPr>
            </w:pPr>
          </w:p>
        </w:tc>
      </w:tr>
      <w:tr w14:paraId="428A0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noWrap/>
          </w:tcPr>
          <w:p w14:paraId="1143DF18">
            <w:pPr>
              <w:pStyle w:val="280"/>
              <w:rPr>
                <w:color w:val="auto"/>
              </w:rPr>
            </w:pPr>
          </w:p>
        </w:tc>
        <w:tc>
          <w:tcPr>
            <w:tcW w:w="1430" w:type="dxa"/>
            <w:noWrap/>
          </w:tcPr>
          <w:p w14:paraId="2A3282FB">
            <w:pPr>
              <w:pStyle w:val="280"/>
              <w:rPr>
                <w:color w:val="auto"/>
              </w:rPr>
            </w:pPr>
          </w:p>
        </w:tc>
        <w:tc>
          <w:tcPr>
            <w:tcW w:w="1430" w:type="dxa"/>
            <w:noWrap/>
          </w:tcPr>
          <w:p w14:paraId="387F666A">
            <w:pPr>
              <w:pStyle w:val="280"/>
              <w:rPr>
                <w:color w:val="auto"/>
              </w:rPr>
            </w:pPr>
          </w:p>
        </w:tc>
        <w:tc>
          <w:tcPr>
            <w:tcW w:w="1430" w:type="dxa"/>
            <w:noWrap/>
          </w:tcPr>
          <w:p w14:paraId="593C46CA">
            <w:pPr>
              <w:pStyle w:val="280"/>
              <w:rPr>
                <w:color w:val="auto"/>
              </w:rPr>
            </w:pPr>
          </w:p>
        </w:tc>
        <w:tc>
          <w:tcPr>
            <w:tcW w:w="1430" w:type="dxa"/>
            <w:noWrap/>
          </w:tcPr>
          <w:p w14:paraId="0499C5B5">
            <w:pPr>
              <w:pStyle w:val="280"/>
              <w:rPr>
                <w:color w:val="auto"/>
              </w:rPr>
            </w:pPr>
          </w:p>
        </w:tc>
        <w:tc>
          <w:tcPr>
            <w:tcW w:w="1431" w:type="dxa"/>
            <w:noWrap/>
          </w:tcPr>
          <w:p w14:paraId="0B173EF8">
            <w:pPr>
              <w:pStyle w:val="280"/>
              <w:rPr>
                <w:color w:val="auto"/>
              </w:rPr>
            </w:pPr>
          </w:p>
        </w:tc>
        <w:tc>
          <w:tcPr>
            <w:tcW w:w="878" w:type="dxa"/>
            <w:noWrap/>
          </w:tcPr>
          <w:p w14:paraId="7448278B">
            <w:pPr>
              <w:pStyle w:val="280"/>
              <w:rPr>
                <w:color w:val="auto"/>
              </w:rPr>
            </w:pPr>
          </w:p>
        </w:tc>
      </w:tr>
      <w:tr w14:paraId="596F8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noWrap/>
          </w:tcPr>
          <w:p w14:paraId="201111A2">
            <w:pPr>
              <w:pStyle w:val="280"/>
              <w:rPr>
                <w:color w:val="auto"/>
              </w:rPr>
            </w:pPr>
          </w:p>
        </w:tc>
        <w:tc>
          <w:tcPr>
            <w:tcW w:w="1430" w:type="dxa"/>
            <w:noWrap/>
          </w:tcPr>
          <w:p w14:paraId="1CCE8CA1">
            <w:pPr>
              <w:pStyle w:val="280"/>
              <w:rPr>
                <w:color w:val="auto"/>
              </w:rPr>
            </w:pPr>
          </w:p>
        </w:tc>
        <w:tc>
          <w:tcPr>
            <w:tcW w:w="1430" w:type="dxa"/>
            <w:noWrap/>
          </w:tcPr>
          <w:p w14:paraId="48ADF5E4">
            <w:pPr>
              <w:pStyle w:val="280"/>
              <w:rPr>
                <w:color w:val="auto"/>
              </w:rPr>
            </w:pPr>
          </w:p>
        </w:tc>
        <w:tc>
          <w:tcPr>
            <w:tcW w:w="1430" w:type="dxa"/>
            <w:noWrap/>
          </w:tcPr>
          <w:p w14:paraId="62189827">
            <w:pPr>
              <w:pStyle w:val="280"/>
              <w:rPr>
                <w:color w:val="auto"/>
              </w:rPr>
            </w:pPr>
          </w:p>
        </w:tc>
        <w:tc>
          <w:tcPr>
            <w:tcW w:w="1430" w:type="dxa"/>
            <w:noWrap/>
          </w:tcPr>
          <w:p w14:paraId="0452C38A">
            <w:pPr>
              <w:pStyle w:val="280"/>
              <w:rPr>
                <w:color w:val="auto"/>
              </w:rPr>
            </w:pPr>
          </w:p>
        </w:tc>
        <w:tc>
          <w:tcPr>
            <w:tcW w:w="1431" w:type="dxa"/>
            <w:noWrap/>
          </w:tcPr>
          <w:p w14:paraId="62B9DB4E">
            <w:pPr>
              <w:pStyle w:val="280"/>
              <w:rPr>
                <w:color w:val="auto"/>
              </w:rPr>
            </w:pPr>
          </w:p>
        </w:tc>
        <w:tc>
          <w:tcPr>
            <w:tcW w:w="878" w:type="dxa"/>
            <w:noWrap/>
          </w:tcPr>
          <w:p w14:paraId="06F71A47">
            <w:pPr>
              <w:pStyle w:val="280"/>
              <w:rPr>
                <w:color w:val="auto"/>
              </w:rPr>
            </w:pPr>
          </w:p>
        </w:tc>
      </w:tr>
      <w:tr w14:paraId="5FA4E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noWrap/>
          </w:tcPr>
          <w:p w14:paraId="74E3B9A3">
            <w:pPr>
              <w:pStyle w:val="280"/>
              <w:rPr>
                <w:color w:val="auto"/>
              </w:rPr>
            </w:pPr>
          </w:p>
        </w:tc>
        <w:tc>
          <w:tcPr>
            <w:tcW w:w="1430" w:type="dxa"/>
            <w:noWrap/>
          </w:tcPr>
          <w:p w14:paraId="33158714">
            <w:pPr>
              <w:pStyle w:val="280"/>
              <w:rPr>
                <w:color w:val="auto"/>
              </w:rPr>
            </w:pPr>
          </w:p>
        </w:tc>
        <w:tc>
          <w:tcPr>
            <w:tcW w:w="1430" w:type="dxa"/>
            <w:noWrap/>
          </w:tcPr>
          <w:p w14:paraId="028F451C">
            <w:pPr>
              <w:pStyle w:val="280"/>
              <w:rPr>
                <w:color w:val="auto"/>
              </w:rPr>
            </w:pPr>
          </w:p>
        </w:tc>
        <w:tc>
          <w:tcPr>
            <w:tcW w:w="1430" w:type="dxa"/>
            <w:noWrap/>
          </w:tcPr>
          <w:p w14:paraId="329AD9AB">
            <w:pPr>
              <w:pStyle w:val="280"/>
              <w:rPr>
                <w:color w:val="auto"/>
              </w:rPr>
            </w:pPr>
          </w:p>
        </w:tc>
        <w:tc>
          <w:tcPr>
            <w:tcW w:w="1430" w:type="dxa"/>
            <w:noWrap/>
          </w:tcPr>
          <w:p w14:paraId="36974A9A">
            <w:pPr>
              <w:pStyle w:val="280"/>
              <w:rPr>
                <w:color w:val="auto"/>
              </w:rPr>
            </w:pPr>
          </w:p>
        </w:tc>
        <w:tc>
          <w:tcPr>
            <w:tcW w:w="1431" w:type="dxa"/>
            <w:noWrap/>
          </w:tcPr>
          <w:p w14:paraId="1E66AE37">
            <w:pPr>
              <w:pStyle w:val="280"/>
              <w:rPr>
                <w:color w:val="auto"/>
              </w:rPr>
            </w:pPr>
          </w:p>
        </w:tc>
        <w:tc>
          <w:tcPr>
            <w:tcW w:w="878" w:type="dxa"/>
            <w:noWrap/>
          </w:tcPr>
          <w:p w14:paraId="50669403">
            <w:pPr>
              <w:pStyle w:val="280"/>
              <w:rPr>
                <w:color w:val="auto"/>
              </w:rPr>
            </w:pPr>
          </w:p>
        </w:tc>
      </w:tr>
      <w:tr w14:paraId="3794F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noWrap/>
          </w:tcPr>
          <w:p w14:paraId="230E8AAF">
            <w:pPr>
              <w:pStyle w:val="280"/>
              <w:rPr>
                <w:color w:val="auto"/>
              </w:rPr>
            </w:pPr>
          </w:p>
        </w:tc>
        <w:tc>
          <w:tcPr>
            <w:tcW w:w="1430" w:type="dxa"/>
            <w:noWrap/>
          </w:tcPr>
          <w:p w14:paraId="5CC53839">
            <w:pPr>
              <w:pStyle w:val="280"/>
              <w:rPr>
                <w:color w:val="auto"/>
              </w:rPr>
            </w:pPr>
          </w:p>
        </w:tc>
        <w:tc>
          <w:tcPr>
            <w:tcW w:w="1430" w:type="dxa"/>
            <w:noWrap/>
          </w:tcPr>
          <w:p w14:paraId="7DEA35B3">
            <w:pPr>
              <w:pStyle w:val="280"/>
              <w:rPr>
                <w:color w:val="auto"/>
              </w:rPr>
            </w:pPr>
          </w:p>
        </w:tc>
        <w:tc>
          <w:tcPr>
            <w:tcW w:w="1430" w:type="dxa"/>
            <w:noWrap/>
          </w:tcPr>
          <w:p w14:paraId="07CDC3B6">
            <w:pPr>
              <w:pStyle w:val="280"/>
              <w:rPr>
                <w:color w:val="auto"/>
              </w:rPr>
            </w:pPr>
          </w:p>
        </w:tc>
        <w:tc>
          <w:tcPr>
            <w:tcW w:w="1430" w:type="dxa"/>
            <w:noWrap/>
          </w:tcPr>
          <w:p w14:paraId="3DC354C3">
            <w:pPr>
              <w:pStyle w:val="280"/>
              <w:rPr>
                <w:color w:val="auto"/>
              </w:rPr>
            </w:pPr>
          </w:p>
        </w:tc>
        <w:tc>
          <w:tcPr>
            <w:tcW w:w="1431" w:type="dxa"/>
            <w:noWrap/>
          </w:tcPr>
          <w:p w14:paraId="18A24542">
            <w:pPr>
              <w:pStyle w:val="280"/>
              <w:rPr>
                <w:color w:val="auto"/>
              </w:rPr>
            </w:pPr>
          </w:p>
        </w:tc>
        <w:tc>
          <w:tcPr>
            <w:tcW w:w="878" w:type="dxa"/>
            <w:noWrap/>
          </w:tcPr>
          <w:p w14:paraId="5E607631">
            <w:pPr>
              <w:pStyle w:val="280"/>
              <w:rPr>
                <w:color w:val="auto"/>
              </w:rPr>
            </w:pPr>
          </w:p>
        </w:tc>
      </w:tr>
      <w:tr w14:paraId="58B6D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noWrap/>
          </w:tcPr>
          <w:p w14:paraId="328A71C4">
            <w:pPr>
              <w:pStyle w:val="280"/>
              <w:rPr>
                <w:color w:val="auto"/>
              </w:rPr>
            </w:pPr>
          </w:p>
        </w:tc>
        <w:tc>
          <w:tcPr>
            <w:tcW w:w="1430" w:type="dxa"/>
            <w:noWrap/>
          </w:tcPr>
          <w:p w14:paraId="675CDB0B">
            <w:pPr>
              <w:pStyle w:val="280"/>
              <w:rPr>
                <w:color w:val="auto"/>
              </w:rPr>
            </w:pPr>
          </w:p>
        </w:tc>
        <w:tc>
          <w:tcPr>
            <w:tcW w:w="1430" w:type="dxa"/>
            <w:noWrap/>
          </w:tcPr>
          <w:p w14:paraId="3259B77A">
            <w:pPr>
              <w:pStyle w:val="280"/>
              <w:rPr>
                <w:color w:val="auto"/>
              </w:rPr>
            </w:pPr>
          </w:p>
        </w:tc>
        <w:tc>
          <w:tcPr>
            <w:tcW w:w="1430" w:type="dxa"/>
            <w:noWrap/>
          </w:tcPr>
          <w:p w14:paraId="6538DBC2">
            <w:pPr>
              <w:pStyle w:val="280"/>
              <w:rPr>
                <w:color w:val="auto"/>
              </w:rPr>
            </w:pPr>
          </w:p>
        </w:tc>
        <w:tc>
          <w:tcPr>
            <w:tcW w:w="1430" w:type="dxa"/>
            <w:noWrap/>
          </w:tcPr>
          <w:p w14:paraId="5E50D46F">
            <w:pPr>
              <w:pStyle w:val="280"/>
              <w:rPr>
                <w:color w:val="auto"/>
              </w:rPr>
            </w:pPr>
          </w:p>
        </w:tc>
        <w:tc>
          <w:tcPr>
            <w:tcW w:w="1431" w:type="dxa"/>
            <w:noWrap/>
          </w:tcPr>
          <w:p w14:paraId="5C5D1815">
            <w:pPr>
              <w:pStyle w:val="280"/>
              <w:rPr>
                <w:color w:val="auto"/>
              </w:rPr>
            </w:pPr>
          </w:p>
        </w:tc>
        <w:tc>
          <w:tcPr>
            <w:tcW w:w="878" w:type="dxa"/>
            <w:noWrap/>
          </w:tcPr>
          <w:p w14:paraId="62CEB9AF">
            <w:pPr>
              <w:pStyle w:val="280"/>
              <w:rPr>
                <w:color w:val="auto"/>
              </w:rPr>
            </w:pPr>
          </w:p>
        </w:tc>
      </w:tr>
      <w:tr w14:paraId="2DD05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noWrap/>
          </w:tcPr>
          <w:p w14:paraId="1EE5E301">
            <w:pPr>
              <w:pStyle w:val="280"/>
              <w:rPr>
                <w:color w:val="auto"/>
              </w:rPr>
            </w:pPr>
          </w:p>
        </w:tc>
        <w:tc>
          <w:tcPr>
            <w:tcW w:w="1430" w:type="dxa"/>
            <w:noWrap/>
          </w:tcPr>
          <w:p w14:paraId="02081E87">
            <w:pPr>
              <w:pStyle w:val="280"/>
              <w:rPr>
                <w:color w:val="auto"/>
              </w:rPr>
            </w:pPr>
          </w:p>
        </w:tc>
        <w:tc>
          <w:tcPr>
            <w:tcW w:w="1430" w:type="dxa"/>
            <w:noWrap/>
          </w:tcPr>
          <w:p w14:paraId="4E2F0BF0">
            <w:pPr>
              <w:pStyle w:val="280"/>
              <w:rPr>
                <w:color w:val="auto"/>
              </w:rPr>
            </w:pPr>
          </w:p>
        </w:tc>
        <w:tc>
          <w:tcPr>
            <w:tcW w:w="1430" w:type="dxa"/>
            <w:noWrap/>
          </w:tcPr>
          <w:p w14:paraId="2C215651">
            <w:pPr>
              <w:pStyle w:val="280"/>
              <w:rPr>
                <w:color w:val="auto"/>
              </w:rPr>
            </w:pPr>
          </w:p>
        </w:tc>
        <w:tc>
          <w:tcPr>
            <w:tcW w:w="1430" w:type="dxa"/>
            <w:noWrap/>
          </w:tcPr>
          <w:p w14:paraId="274713B9">
            <w:pPr>
              <w:pStyle w:val="280"/>
              <w:rPr>
                <w:color w:val="auto"/>
              </w:rPr>
            </w:pPr>
          </w:p>
        </w:tc>
        <w:tc>
          <w:tcPr>
            <w:tcW w:w="1431" w:type="dxa"/>
            <w:noWrap/>
          </w:tcPr>
          <w:p w14:paraId="4286A7AB">
            <w:pPr>
              <w:pStyle w:val="280"/>
              <w:rPr>
                <w:color w:val="auto"/>
              </w:rPr>
            </w:pPr>
          </w:p>
        </w:tc>
        <w:tc>
          <w:tcPr>
            <w:tcW w:w="878" w:type="dxa"/>
            <w:noWrap/>
          </w:tcPr>
          <w:p w14:paraId="0F1D93C7">
            <w:pPr>
              <w:pStyle w:val="280"/>
              <w:rPr>
                <w:color w:val="auto"/>
              </w:rPr>
            </w:pPr>
          </w:p>
        </w:tc>
      </w:tr>
      <w:tr w14:paraId="4D3C4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noWrap/>
          </w:tcPr>
          <w:p w14:paraId="4115B0D9">
            <w:pPr>
              <w:pStyle w:val="280"/>
              <w:rPr>
                <w:color w:val="auto"/>
              </w:rPr>
            </w:pPr>
          </w:p>
        </w:tc>
        <w:tc>
          <w:tcPr>
            <w:tcW w:w="1430" w:type="dxa"/>
            <w:noWrap/>
          </w:tcPr>
          <w:p w14:paraId="61C95EFD">
            <w:pPr>
              <w:pStyle w:val="280"/>
              <w:rPr>
                <w:color w:val="auto"/>
              </w:rPr>
            </w:pPr>
          </w:p>
        </w:tc>
        <w:tc>
          <w:tcPr>
            <w:tcW w:w="1430" w:type="dxa"/>
            <w:noWrap/>
          </w:tcPr>
          <w:p w14:paraId="45B86C14">
            <w:pPr>
              <w:pStyle w:val="280"/>
              <w:rPr>
                <w:color w:val="auto"/>
              </w:rPr>
            </w:pPr>
          </w:p>
        </w:tc>
        <w:tc>
          <w:tcPr>
            <w:tcW w:w="1430" w:type="dxa"/>
            <w:noWrap/>
          </w:tcPr>
          <w:p w14:paraId="2F1ADEAF">
            <w:pPr>
              <w:pStyle w:val="280"/>
              <w:rPr>
                <w:color w:val="auto"/>
              </w:rPr>
            </w:pPr>
          </w:p>
        </w:tc>
        <w:tc>
          <w:tcPr>
            <w:tcW w:w="1430" w:type="dxa"/>
            <w:noWrap/>
          </w:tcPr>
          <w:p w14:paraId="7C229138">
            <w:pPr>
              <w:pStyle w:val="280"/>
              <w:rPr>
                <w:color w:val="auto"/>
              </w:rPr>
            </w:pPr>
          </w:p>
        </w:tc>
        <w:tc>
          <w:tcPr>
            <w:tcW w:w="1431" w:type="dxa"/>
            <w:noWrap/>
          </w:tcPr>
          <w:p w14:paraId="5F39DDB5">
            <w:pPr>
              <w:pStyle w:val="280"/>
              <w:rPr>
                <w:color w:val="auto"/>
              </w:rPr>
            </w:pPr>
          </w:p>
        </w:tc>
        <w:tc>
          <w:tcPr>
            <w:tcW w:w="878" w:type="dxa"/>
            <w:noWrap/>
          </w:tcPr>
          <w:p w14:paraId="27D295F6">
            <w:pPr>
              <w:pStyle w:val="280"/>
              <w:rPr>
                <w:color w:val="auto"/>
              </w:rPr>
            </w:pPr>
          </w:p>
        </w:tc>
      </w:tr>
      <w:tr w14:paraId="25BFB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noWrap/>
          </w:tcPr>
          <w:p w14:paraId="1698C282">
            <w:pPr>
              <w:pStyle w:val="280"/>
              <w:rPr>
                <w:color w:val="auto"/>
              </w:rPr>
            </w:pPr>
          </w:p>
        </w:tc>
        <w:tc>
          <w:tcPr>
            <w:tcW w:w="1430" w:type="dxa"/>
            <w:noWrap/>
          </w:tcPr>
          <w:p w14:paraId="3A3447BF">
            <w:pPr>
              <w:pStyle w:val="280"/>
              <w:rPr>
                <w:color w:val="auto"/>
              </w:rPr>
            </w:pPr>
          </w:p>
        </w:tc>
        <w:tc>
          <w:tcPr>
            <w:tcW w:w="1430" w:type="dxa"/>
            <w:noWrap/>
          </w:tcPr>
          <w:p w14:paraId="5FF87B40">
            <w:pPr>
              <w:pStyle w:val="280"/>
              <w:rPr>
                <w:color w:val="auto"/>
              </w:rPr>
            </w:pPr>
          </w:p>
        </w:tc>
        <w:tc>
          <w:tcPr>
            <w:tcW w:w="1430" w:type="dxa"/>
            <w:noWrap/>
          </w:tcPr>
          <w:p w14:paraId="3DDFA1E9">
            <w:pPr>
              <w:pStyle w:val="280"/>
              <w:rPr>
                <w:color w:val="auto"/>
              </w:rPr>
            </w:pPr>
          </w:p>
        </w:tc>
        <w:tc>
          <w:tcPr>
            <w:tcW w:w="1430" w:type="dxa"/>
            <w:noWrap/>
          </w:tcPr>
          <w:p w14:paraId="221FC35D">
            <w:pPr>
              <w:pStyle w:val="280"/>
              <w:rPr>
                <w:color w:val="auto"/>
              </w:rPr>
            </w:pPr>
          </w:p>
        </w:tc>
        <w:tc>
          <w:tcPr>
            <w:tcW w:w="1431" w:type="dxa"/>
            <w:noWrap/>
          </w:tcPr>
          <w:p w14:paraId="61931760">
            <w:pPr>
              <w:pStyle w:val="280"/>
              <w:rPr>
                <w:color w:val="auto"/>
              </w:rPr>
            </w:pPr>
          </w:p>
        </w:tc>
        <w:tc>
          <w:tcPr>
            <w:tcW w:w="878" w:type="dxa"/>
            <w:noWrap/>
          </w:tcPr>
          <w:p w14:paraId="32EF70D4">
            <w:pPr>
              <w:pStyle w:val="280"/>
              <w:rPr>
                <w:color w:val="auto"/>
              </w:rPr>
            </w:pPr>
          </w:p>
        </w:tc>
      </w:tr>
      <w:tr w14:paraId="4AEB0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866" w:type="dxa"/>
            <w:noWrap/>
          </w:tcPr>
          <w:p w14:paraId="43B62ACE">
            <w:pPr>
              <w:pStyle w:val="280"/>
              <w:rPr>
                <w:color w:val="auto"/>
              </w:rPr>
            </w:pPr>
          </w:p>
        </w:tc>
        <w:tc>
          <w:tcPr>
            <w:tcW w:w="1430" w:type="dxa"/>
            <w:noWrap/>
          </w:tcPr>
          <w:p w14:paraId="5974302F">
            <w:pPr>
              <w:spacing w:before="111" w:line="229" w:lineRule="auto"/>
              <w:ind w:left="508"/>
              <w:rPr>
                <w:rFonts w:ascii="宋体" w:hAnsi="宋体" w:cs="宋体"/>
                <w:color w:val="auto"/>
                <w:sz w:val="20"/>
                <w:szCs w:val="20"/>
              </w:rPr>
            </w:pPr>
            <w:r>
              <w:rPr>
                <w:rFonts w:ascii="宋体" w:hAnsi="宋体" w:cs="宋体"/>
                <w:color w:val="auto"/>
                <w:spacing w:val="4"/>
                <w:sz w:val="20"/>
                <w:szCs w:val="20"/>
              </w:rPr>
              <w:t>合计</w:t>
            </w:r>
          </w:p>
        </w:tc>
        <w:tc>
          <w:tcPr>
            <w:tcW w:w="1430" w:type="dxa"/>
            <w:noWrap/>
          </w:tcPr>
          <w:p w14:paraId="2A523C04">
            <w:pPr>
              <w:pStyle w:val="280"/>
              <w:rPr>
                <w:color w:val="auto"/>
              </w:rPr>
            </w:pPr>
          </w:p>
        </w:tc>
        <w:tc>
          <w:tcPr>
            <w:tcW w:w="1430" w:type="dxa"/>
            <w:noWrap/>
          </w:tcPr>
          <w:p w14:paraId="591343AF">
            <w:pPr>
              <w:pStyle w:val="280"/>
              <w:rPr>
                <w:color w:val="auto"/>
              </w:rPr>
            </w:pPr>
          </w:p>
        </w:tc>
        <w:tc>
          <w:tcPr>
            <w:tcW w:w="1430" w:type="dxa"/>
            <w:noWrap/>
          </w:tcPr>
          <w:p w14:paraId="019ED713">
            <w:pPr>
              <w:pStyle w:val="280"/>
              <w:rPr>
                <w:color w:val="auto"/>
              </w:rPr>
            </w:pPr>
          </w:p>
        </w:tc>
        <w:tc>
          <w:tcPr>
            <w:tcW w:w="1431" w:type="dxa"/>
            <w:noWrap/>
          </w:tcPr>
          <w:p w14:paraId="2962B1BA">
            <w:pPr>
              <w:pStyle w:val="280"/>
              <w:rPr>
                <w:color w:val="auto"/>
              </w:rPr>
            </w:pPr>
          </w:p>
        </w:tc>
        <w:tc>
          <w:tcPr>
            <w:tcW w:w="878" w:type="dxa"/>
            <w:noWrap/>
          </w:tcPr>
          <w:p w14:paraId="50AF62C5">
            <w:pPr>
              <w:pStyle w:val="280"/>
              <w:rPr>
                <w:color w:val="auto"/>
              </w:rPr>
            </w:pPr>
          </w:p>
        </w:tc>
      </w:tr>
    </w:tbl>
    <w:p w14:paraId="47FC4029">
      <w:pPr>
        <w:pStyle w:val="21"/>
        <w:spacing w:line="252" w:lineRule="auto"/>
        <w:rPr>
          <w:color w:val="auto"/>
        </w:rPr>
      </w:pPr>
    </w:p>
    <w:p w14:paraId="0207DD14">
      <w:pPr>
        <w:pStyle w:val="21"/>
        <w:spacing w:line="253" w:lineRule="auto"/>
        <w:rPr>
          <w:color w:val="auto"/>
        </w:rPr>
      </w:pPr>
    </w:p>
    <w:p w14:paraId="40EAD9C6">
      <w:pPr>
        <w:pStyle w:val="21"/>
        <w:spacing w:line="253" w:lineRule="auto"/>
        <w:rPr>
          <w:color w:val="auto"/>
        </w:rPr>
      </w:pPr>
      <w:r>
        <w:rPr>
          <w:color w:val="auto"/>
        </w:rPr>
        <w:pict>
          <v:shape id="_x0000_s2056" o:spid="_x0000_s2056" o:spt="100" style="position:absolute;left:0pt;margin-left:5.6pt;margin-top:1.2pt;height:0pt;width:144pt;z-index:251675648;mso-width-relative:page;mso-height-relative:page;" filled="f" coordsize="2880,1" o:gfxdata="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5dBzINAAAAAGAQAADwAAAAAAAAABACAAAAAiAAAAZHJzL2Rvd25yZXYueG1sUEsBAhQAFAAAAAgA&#10;h07iQBKHfz8tAgAAlQQAAA4AAAAAAAAAAQAgAAAAHwEAAGRycy9lMm9Eb2MueG1sUEsFBgAAAAAG&#10;AAYAWQEAAL4FAAAAAA==&#10;" path="m0,0l2880,0e">
            <v:path o:connecttype="segments"/>
            <v:fill on="f" focussize="0,0"/>
            <v:stroke weight="0pt" joinstyle="bevel" endcap="square"/>
            <v:imagedata o:title=""/>
            <o:lock v:ext="edit"/>
          </v:shape>
        </w:pict>
      </w:r>
    </w:p>
    <w:p w14:paraId="6D92CECE">
      <w:pPr>
        <w:spacing w:before="62" w:line="389" w:lineRule="auto"/>
        <w:ind w:left="123" w:right="121" w:firstLine="396"/>
        <w:rPr>
          <w:rFonts w:ascii="宋体" w:hAnsi="宋体" w:cs="宋体"/>
          <w:color w:val="auto"/>
          <w:sz w:val="19"/>
          <w:szCs w:val="19"/>
        </w:rPr>
      </w:pPr>
      <w:r>
        <w:rPr>
          <w:rFonts w:ascii="宋体" w:hAnsi="宋体" w:cs="宋体"/>
          <w:color w:val="auto"/>
          <w:spacing w:val="9"/>
          <w:sz w:val="19"/>
          <w:szCs w:val="19"/>
        </w:rPr>
        <w:t>① 若发包人提供可供承包人使用的养护站点及相关设施、设备，则需在清单中明</w:t>
      </w:r>
      <w:r>
        <w:rPr>
          <w:rFonts w:ascii="宋体" w:hAnsi="宋体" w:cs="宋体"/>
          <w:color w:val="auto"/>
          <w:spacing w:val="8"/>
          <w:sz w:val="19"/>
          <w:szCs w:val="19"/>
        </w:rPr>
        <w:t>确相关设施、</w:t>
      </w:r>
      <w:bookmarkStart w:id="196" w:name="bookmark236"/>
      <w:bookmarkEnd w:id="196"/>
      <w:r>
        <w:rPr>
          <w:rFonts w:ascii="宋体" w:hAnsi="宋体" w:cs="宋体"/>
          <w:color w:val="auto"/>
          <w:spacing w:val="7"/>
          <w:sz w:val="19"/>
          <w:szCs w:val="19"/>
        </w:rPr>
        <w:t>设备，并经承包人确认。</w:t>
      </w:r>
    </w:p>
    <w:p w14:paraId="34A7E5B2">
      <w:pPr>
        <w:spacing w:line="389" w:lineRule="auto"/>
        <w:rPr>
          <w:rFonts w:ascii="宋体" w:hAnsi="宋体" w:cs="宋体"/>
          <w:color w:val="auto"/>
          <w:sz w:val="19"/>
          <w:szCs w:val="19"/>
        </w:rPr>
        <w:sectPr>
          <w:footerReference r:id="rId17" w:type="default"/>
          <w:pgSz w:w="11907" w:h="16840"/>
          <w:pgMar w:top="1431" w:right="1475" w:bottom="1195" w:left="1531" w:header="0" w:footer="1017" w:gutter="0"/>
          <w:cols w:space="720" w:num="1"/>
        </w:sectPr>
      </w:pPr>
    </w:p>
    <w:p w14:paraId="25EA193A">
      <w:pPr>
        <w:spacing w:before="191" w:line="219" w:lineRule="auto"/>
        <w:ind w:left="19"/>
        <w:outlineLvl w:val="2"/>
        <w:rPr>
          <w:rFonts w:ascii="宋体" w:hAnsi="宋体" w:cs="宋体"/>
          <w:color w:val="auto"/>
          <w:sz w:val="24"/>
        </w:rPr>
      </w:pPr>
      <w:bookmarkStart w:id="197" w:name="bookmark67"/>
      <w:bookmarkEnd w:id="197"/>
      <w:bookmarkStart w:id="198" w:name="bookmark68"/>
      <w:bookmarkEnd w:id="198"/>
      <w:r>
        <w:rPr>
          <w:rFonts w:ascii="宋体" w:hAnsi="宋体" w:cs="宋体"/>
          <w:b/>
          <w:bCs/>
          <w:color w:val="auto"/>
          <w:spacing w:val="-4"/>
          <w:sz w:val="24"/>
        </w:rPr>
        <w:t>附件六项目经理委任书</w:t>
      </w:r>
    </w:p>
    <w:p w14:paraId="3257BC74">
      <w:pPr>
        <w:spacing w:before="261" w:line="219" w:lineRule="auto"/>
        <w:ind w:left="3749"/>
        <w:rPr>
          <w:rFonts w:ascii="宋体" w:hAnsi="宋体" w:cs="宋体"/>
          <w:color w:val="auto"/>
          <w:sz w:val="24"/>
        </w:rPr>
      </w:pPr>
      <w:r>
        <w:rPr>
          <w:rFonts w:ascii="宋体" w:hAnsi="宋体" w:cs="宋体"/>
          <w:color w:val="auto"/>
          <w:spacing w:val="-3"/>
          <w:sz w:val="24"/>
        </w:rPr>
        <w:t>（承包人全称）</w:t>
      </w:r>
    </w:p>
    <w:p w14:paraId="3AB90DC2">
      <w:pPr>
        <w:spacing w:before="115" w:line="219" w:lineRule="auto"/>
        <w:ind w:left="2729"/>
        <w:rPr>
          <w:rFonts w:ascii="宋体" w:hAnsi="宋体" w:cs="宋体"/>
          <w:color w:val="auto"/>
          <w:sz w:val="24"/>
        </w:rPr>
      </w:pPr>
      <w:r>
        <w:rPr>
          <w:rFonts w:ascii="宋体" w:hAnsi="宋体" w:cs="宋体"/>
          <w:color w:val="auto"/>
          <w:spacing w:val="-2"/>
          <w:sz w:val="24"/>
        </w:rPr>
        <w:t>（养护项目名称） 项目经理委任书</w:t>
      </w:r>
    </w:p>
    <w:p w14:paraId="634B0029">
      <w:pPr>
        <w:pStyle w:val="21"/>
        <w:spacing w:line="277" w:lineRule="auto"/>
        <w:rPr>
          <w:color w:val="auto"/>
        </w:rPr>
      </w:pPr>
    </w:p>
    <w:p w14:paraId="257CB9F5">
      <w:pPr>
        <w:pStyle w:val="21"/>
        <w:spacing w:line="277" w:lineRule="auto"/>
        <w:rPr>
          <w:color w:val="auto"/>
        </w:rPr>
      </w:pPr>
    </w:p>
    <w:p w14:paraId="2206C6FA">
      <w:pPr>
        <w:pStyle w:val="21"/>
        <w:spacing w:line="278" w:lineRule="auto"/>
        <w:rPr>
          <w:color w:val="auto"/>
        </w:rPr>
      </w:pPr>
    </w:p>
    <w:p w14:paraId="6ED892F1">
      <w:pPr>
        <w:spacing w:before="78" w:line="220" w:lineRule="auto"/>
        <w:rPr>
          <w:rFonts w:ascii="宋体" w:hAnsi="宋体" w:cs="宋体"/>
          <w:color w:val="auto"/>
          <w:sz w:val="24"/>
        </w:rPr>
      </w:pPr>
      <w:r>
        <w:rPr>
          <w:rFonts w:ascii="宋体" w:hAnsi="宋体" w:cs="宋体"/>
          <w:color w:val="auto"/>
          <w:spacing w:val="7"/>
          <w:sz w:val="24"/>
        </w:rPr>
        <w:t>致</w:t>
      </w:r>
      <w:r>
        <w:rPr>
          <w:rFonts w:ascii="宋体" w:hAnsi="宋体" w:cs="宋体"/>
          <w:color w:val="auto"/>
          <w:spacing w:val="-30"/>
          <w:sz w:val="24"/>
        </w:rPr>
        <w:t>：（</w:t>
      </w:r>
      <w:r>
        <w:rPr>
          <w:rFonts w:ascii="宋体" w:hAnsi="宋体" w:cs="宋体"/>
          <w:color w:val="auto"/>
          <w:spacing w:val="7"/>
          <w:sz w:val="24"/>
        </w:rPr>
        <w:t>发包人全称）</w:t>
      </w:r>
    </w:p>
    <w:p w14:paraId="101DA651">
      <w:pPr>
        <w:tabs>
          <w:tab w:val="left" w:pos="846"/>
        </w:tabs>
        <w:spacing w:before="110" w:line="309" w:lineRule="auto"/>
        <w:ind w:firstLine="471"/>
        <w:rPr>
          <w:rFonts w:ascii="宋体" w:hAnsi="宋体" w:cs="宋体"/>
          <w:color w:val="auto"/>
          <w:sz w:val="24"/>
        </w:rPr>
      </w:pPr>
      <w:r>
        <w:rPr>
          <w:rFonts w:ascii="宋体" w:hAnsi="宋体" w:cs="宋体"/>
          <w:color w:val="auto"/>
          <w:sz w:val="24"/>
          <w:u w:val="single"/>
        </w:rPr>
        <w:tab/>
      </w:r>
      <w:r>
        <w:rPr>
          <w:rFonts w:ascii="宋体" w:hAnsi="宋体" w:cs="宋体"/>
          <w:color w:val="auto"/>
          <w:spacing w:val="-4"/>
          <w:sz w:val="24"/>
          <w:u w:val="single"/>
        </w:rPr>
        <w:t xml:space="preserve">（承包人全称） </w:t>
      </w:r>
      <w:r>
        <w:rPr>
          <w:rFonts w:ascii="宋体" w:hAnsi="宋体" w:cs="宋体"/>
          <w:color w:val="auto"/>
          <w:spacing w:val="-4"/>
          <w:sz w:val="24"/>
        </w:rPr>
        <w:t>法定代表人</w:t>
      </w:r>
      <w:r>
        <w:rPr>
          <w:rFonts w:ascii="宋体" w:hAnsi="宋体" w:cs="宋体"/>
          <w:color w:val="auto"/>
          <w:spacing w:val="-4"/>
          <w:sz w:val="24"/>
          <w:u w:val="single"/>
        </w:rPr>
        <w:t xml:space="preserve"> （职务、姓名） </w:t>
      </w:r>
      <w:r>
        <w:rPr>
          <w:rFonts w:ascii="宋体" w:hAnsi="宋体" w:cs="宋体"/>
          <w:color w:val="auto"/>
          <w:spacing w:val="-4"/>
          <w:sz w:val="24"/>
        </w:rPr>
        <w:t>代表本单位委任</w:t>
      </w:r>
      <w:r>
        <w:rPr>
          <w:rFonts w:ascii="宋体" w:hAnsi="宋体" w:cs="宋体"/>
          <w:color w:val="auto"/>
          <w:spacing w:val="-4"/>
          <w:sz w:val="24"/>
          <w:u w:val="single"/>
        </w:rPr>
        <w:t xml:space="preserve"> （职务、姓</w:t>
      </w:r>
      <w:r>
        <w:rPr>
          <w:rFonts w:ascii="宋体" w:hAnsi="宋体" w:cs="宋体"/>
          <w:color w:val="auto"/>
          <w:spacing w:val="4"/>
          <w:sz w:val="24"/>
          <w:u w:val="single"/>
        </w:rPr>
        <w:t xml:space="preserve">名） </w:t>
      </w:r>
      <w:r>
        <w:rPr>
          <w:rFonts w:ascii="宋体" w:hAnsi="宋体" w:cs="宋体"/>
          <w:color w:val="auto"/>
          <w:spacing w:val="4"/>
          <w:sz w:val="24"/>
        </w:rPr>
        <w:t>为</w:t>
      </w:r>
      <w:r>
        <w:rPr>
          <w:rFonts w:ascii="宋体" w:hAnsi="宋体" w:cs="宋体"/>
          <w:color w:val="auto"/>
          <w:spacing w:val="4"/>
          <w:sz w:val="24"/>
          <w:u w:val="single"/>
        </w:rPr>
        <w:t>（养护项目名称）</w:t>
      </w:r>
      <w:r>
        <w:rPr>
          <w:rFonts w:ascii="宋体" w:hAnsi="宋体" w:cs="宋体"/>
          <w:color w:val="auto"/>
          <w:spacing w:val="4"/>
          <w:sz w:val="24"/>
        </w:rPr>
        <w:t>的项目经理。凡本合同执</w:t>
      </w:r>
      <w:r>
        <w:rPr>
          <w:rFonts w:ascii="宋体" w:hAnsi="宋体" w:cs="宋体"/>
          <w:color w:val="auto"/>
          <w:spacing w:val="3"/>
          <w:sz w:val="24"/>
        </w:rPr>
        <w:t>行中的有关技术、养护作业进</w:t>
      </w:r>
      <w:r>
        <w:rPr>
          <w:rFonts w:ascii="宋体" w:hAnsi="宋体" w:cs="宋体"/>
          <w:color w:val="auto"/>
          <w:spacing w:val="4"/>
          <w:sz w:val="24"/>
        </w:rPr>
        <w:t>度、现场管理、质量检验、结算与支付等方面</w:t>
      </w:r>
      <w:r>
        <w:rPr>
          <w:rFonts w:ascii="宋体" w:hAnsi="宋体" w:cs="宋体"/>
          <w:color w:val="auto"/>
          <w:spacing w:val="3"/>
          <w:sz w:val="24"/>
        </w:rPr>
        <w:t>工作，由</w:t>
      </w:r>
      <w:r>
        <w:rPr>
          <w:rFonts w:ascii="宋体" w:hAnsi="宋体" w:cs="宋体"/>
          <w:color w:val="auto"/>
          <w:spacing w:val="3"/>
          <w:sz w:val="24"/>
          <w:u w:val="single"/>
        </w:rPr>
        <w:t xml:space="preserve">  （姓名） </w:t>
      </w:r>
      <w:r>
        <w:rPr>
          <w:rFonts w:ascii="宋体" w:hAnsi="宋体" w:cs="宋体"/>
          <w:color w:val="auto"/>
          <w:spacing w:val="3"/>
          <w:sz w:val="24"/>
        </w:rPr>
        <w:t>代表本单位全</w:t>
      </w:r>
      <w:r>
        <w:rPr>
          <w:rFonts w:ascii="宋体" w:hAnsi="宋体" w:cs="宋体"/>
          <w:color w:val="auto"/>
          <w:spacing w:val="-3"/>
          <w:sz w:val="24"/>
        </w:rPr>
        <w:t>面负责。</w:t>
      </w:r>
    </w:p>
    <w:p w14:paraId="58BEAB7F">
      <w:pPr>
        <w:pStyle w:val="21"/>
        <w:spacing w:line="315" w:lineRule="auto"/>
        <w:rPr>
          <w:color w:val="auto"/>
        </w:rPr>
      </w:pPr>
    </w:p>
    <w:p w14:paraId="6578EF9A">
      <w:pPr>
        <w:spacing w:before="79" w:line="219" w:lineRule="auto"/>
        <w:ind w:left="480"/>
        <w:rPr>
          <w:rFonts w:ascii="宋体" w:hAnsi="宋体" w:cs="宋体"/>
          <w:color w:val="auto"/>
          <w:sz w:val="24"/>
        </w:rPr>
      </w:pPr>
      <w:r>
        <w:rPr>
          <w:rFonts w:ascii="宋体" w:hAnsi="宋体" w:cs="宋体"/>
          <w:color w:val="auto"/>
          <w:spacing w:val="3"/>
          <w:sz w:val="24"/>
        </w:rPr>
        <w:t>承包人</w:t>
      </w:r>
      <w:r>
        <w:rPr>
          <w:rFonts w:ascii="宋体" w:hAnsi="宋体" w:cs="宋体"/>
          <w:color w:val="auto"/>
          <w:spacing w:val="-18"/>
          <w:sz w:val="24"/>
        </w:rPr>
        <w:t>：（</w:t>
      </w:r>
      <w:r>
        <w:rPr>
          <w:rFonts w:ascii="宋体" w:hAnsi="宋体" w:cs="宋体"/>
          <w:color w:val="auto"/>
          <w:spacing w:val="3"/>
          <w:sz w:val="24"/>
        </w:rPr>
        <w:t>盖单位章）</w:t>
      </w:r>
    </w:p>
    <w:p w14:paraId="3885E3AE">
      <w:pPr>
        <w:spacing w:before="115" w:line="219" w:lineRule="auto"/>
        <w:ind w:left="481"/>
        <w:rPr>
          <w:rFonts w:ascii="宋体" w:hAnsi="宋体" w:cs="宋体"/>
          <w:color w:val="auto"/>
          <w:sz w:val="24"/>
        </w:rPr>
      </w:pPr>
      <w:r>
        <w:rPr>
          <w:rFonts w:ascii="宋体" w:hAnsi="宋体" w:cs="宋体"/>
          <w:color w:val="auto"/>
          <w:spacing w:val="3"/>
          <w:sz w:val="24"/>
        </w:rPr>
        <w:t>法定代表人</w:t>
      </w:r>
      <w:r>
        <w:rPr>
          <w:rFonts w:ascii="宋体" w:hAnsi="宋体" w:cs="宋体"/>
          <w:color w:val="auto"/>
          <w:spacing w:val="-18"/>
          <w:sz w:val="24"/>
        </w:rPr>
        <w:t>：</w:t>
      </w:r>
      <w:r>
        <w:rPr>
          <w:rFonts w:ascii="宋体" w:hAnsi="宋体" w:cs="宋体"/>
          <w:color w:val="auto"/>
          <w:spacing w:val="-18"/>
          <w:sz w:val="24"/>
          <w:u w:val="single"/>
        </w:rPr>
        <w:t>（</w:t>
      </w:r>
      <w:r>
        <w:rPr>
          <w:rFonts w:ascii="宋体" w:hAnsi="宋体" w:cs="宋体"/>
          <w:color w:val="auto"/>
          <w:spacing w:val="3"/>
          <w:sz w:val="24"/>
          <w:u w:val="single"/>
        </w:rPr>
        <w:t>职务）</w:t>
      </w:r>
    </w:p>
    <w:p w14:paraId="51F11AB8">
      <w:pPr>
        <w:tabs>
          <w:tab w:val="left" w:pos="3471"/>
          <w:tab w:val="left" w:pos="3607"/>
        </w:tabs>
        <w:spacing w:before="116" w:line="307" w:lineRule="auto"/>
        <w:ind w:left="471" w:right="4233" w:firstLine="1440"/>
        <w:rPr>
          <w:rFonts w:ascii="宋体" w:hAnsi="宋体" w:cs="宋体"/>
          <w:color w:val="auto"/>
          <w:sz w:val="24"/>
        </w:rPr>
      </w:pPr>
      <w:r>
        <w:rPr>
          <w:rFonts w:ascii="宋体" w:hAnsi="宋体" w:cs="宋体"/>
          <w:color w:val="auto"/>
          <w:sz w:val="24"/>
          <w:u w:val="single"/>
        </w:rPr>
        <w:tab/>
      </w:r>
      <w:r>
        <w:rPr>
          <w:rFonts w:ascii="宋体" w:hAnsi="宋体" w:cs="宋体"/>
          <w:color w:val="auto"/>
          <w:sz w:val="24"/>
          <w:u w:val="single"/>
        </w:rPr>
        <w:tab/>
      </w:r>
      <w:r>
        <w:rPr>
          <w:rFonts w:ascii="宋体" w:hAnsi="宋体" w:cs="宋体"/>
          <w:color w:val="auto"/>
          <w:spacing w:val="-34"/>
          <w:sz w:val="24"/>
          <w:u w:val="single"/>
        </w:rPr>
        <w:t>（姓名）</w:t>
      </w:r>
      <w:r>
        <w:rPr>
          <w:rFonts w:ascii="宋体" w:hAnsi="宋体" w:cs="宋体"/>
          <w:color w:val="auto"/>
          <w:sz w:val="24"/>
          <w:u w:val="single"/>
        </w:rPr>
        <w:tab/>
      </w:r>
      <w:r>
        <w:rPr>
          <w:rFonts w:ascii="宋体" w:hAnsi="宋体" w:cs="宋体"/>
          <w:color w:val="auto"/>
          <w:sz w:val="24"/>
        </w:rPr>
        <w:t>（签名）</w:t>
      </w:r>
    </w:p>
    <w:p w14:paraId="193EBF98">
      <w:pPr>
        <w:tabs>
          <w:tab w:val="left" w:pos="2751"/>
        </w:tabs>
        <w:spacing w:before="1" w:line="219" w:lineRule="auto"/>
        <w:ind w:left="1911"/>
        <w:rPr>
          <w:rFonts w:ascii="宋体" w:hAnsi="宋体" w:cs="宋体"/>
          <w:color w:val="auto"/>
          <w:sz w:val="24"/>
        </w:rPr>
      </w:pPr>
      <w:r>
        <w:rPr>
          <w:rFonts w:ascii="宋体" w:hAnsi="宋体" w:cs="宋体"/>
          <w:color w:val="auto"/>
          <w:sz w:val="24"/>
          <w:u w:val="single"/>
        </w:rPr>
        <w:tab/>
      </w:r>
      <w:r>
        <w:rPr>
          <w:rFonts w:ascii="宋体" w:hAnsi="宋体" w:cs="宋体"/>
          <w:color w:val="auto"/>
          <w:spacing w:val="-9"/>
          <w:sz w:val="24"/>
        </w:rPr>
        <w:t>年月日</w:t>
      </w:r>
    </w:p>
    <w:p w14:paraId="152F4C9F">
      <w:pPr>
        <w:pStyle w:val="21"/>
        <w:spacing w:line="245" w:lineRule="auto"/>
        <w:rPr>
          <w:color w:val="auto"/>
        </w:rPr>
      </w:pPr>
    </w:p>
    <w:p w14:paraId="3A7247B2">
      <w:pPr>
        <w:pStyle w:val="21"/>
        <w:spacing w:line="246" w:lineRule="auto"/>
        <w:rPr>
          <w:color w:val="auto"/>
        </w:rPr>
      </w:pPr>
    </w:p>
    <w:p w14:paraId="6EB88C0E">
      <w:pPr>
        <w:pStyle w:val="21"/>
        <w:spacing w:line="246" w:lineRule="auto"/>
        <w:rPr>
          <w:color w:val="auto"/>
        </w:rPr>
      </w:pPr>
    </w:p>
    <w:p w14:paraId="1BD4F975">
      <w:pPr>
        <w:pStyle w:val="21"/>
        <w:spacing w:line="246" w:lineRule="auto"/>
        <w:rPr>
          <w:color w:val="auto"/>
        </w:rPr>
      </w:pPr>
    </w:p>
    <w:p w14:paraId="11FE663C">
      <w:pPr>
        <w:pStyle w:val="21"/>
        <w:spacing w:line="246" w:lineRule="auto"/>
        <w:rPr>
          <w:color w:val="auto"/>
        </w:rPr>
      </w:pPr>
    </w:p>
    <w:p w14:paraId="7FE2202A">
      <w:pPr>
        <w:spacing w:before="78" w:line="221" w:lineRule="auto"/>
        <w:ind w:left="481"/>
        <w:rPr>
          <w:rFonts w:ascii="宋体" w:hAnsi="宋体" w:cs="宋体"/>
          <w:color w:val="auto"/>
          <w:sz w:val="24"/>
        </w:rPr>
      </w:pPr>
      <w:r>
        <w:rPr>
          <w:rFonts w:ascii="宋体" w:hAnsi="宋体" w:cs="宋体"/>
          <w:color w:val="auto"/>
          <w:spacing w:val="2"/>
          <w:sz w:val="24"/>
        </w:rPr>
        <w:t>抄送</w:t>
      </w:r>
      <w:r>
        <w:rPr>
          <w:rFonts w:ascii="宋体" w:hAnsi="宋体" w:cs="宋体"/>
          <w:color w:val="auto"/>
          <w:spacing w:val="-42"/>
          <w:sz w:val="24"/>
        </w:rPr>
        <w:t>：</w:t>
      </w:r>
      <w:r>
        <w:rPr>
          <w:rFonts w:ascii="宋体" w:hAnsi="宋体" w:cs="宋体"/>
          <w:color w:val="auto"/>
          <w:spacing w:val="-42"/>
          <w:sz w:val="24"/>
          <w:u w:val="single"/>
        </w:rPr>
        <w:t>（</w:t>
      </w:r>
      <w:r>
        <w:rPr>
          <w:rFonts w:ascii="宋体" w:hAnsi="宋体" w:cs="宋体"/>
          <w:color w:val="auto"/>
          <w:spacing w:val="2"/>
          <w:sz w:val="24"/>
          <w:u w:val="single"/>
        </w:rPr>
        <w:t>咨询人（监理人</w:t>
      </w:r>
      <w:r>
        <w:rPr>
          <w:rFonts w:ascii="宋体" w:hAnsi="宋体" w:cs="宋体"/>
          <w:color w:val="auto"/>
          <w:spacing w:val="-42"/>
          <w:sz w:val="24"/>
          <w:u w:val="single"/>
        </w:rPr>
        <w:t>））</w:t>
      </w:r>
    </w:p>
    <w:p w14:paraId="5F08D2BB">
      <w:pPr>
        <w:spacing w:line="221" w:lineRule="auto"/>
        <w:rPr>
          <w:rFonts w:ascii="宋体" w:hAnsi="宋体" w:cs="宋体"/>
          <w:color w:val="auto"/>
          <w:sz w:val="24"/>
        </w:rPr>
        <w:sectPr>
          <w:footerReference r:id="rId18" w:type="default"/>
          <w:pgSz w:w="11907" w:h="16840"/>
          <w:pgMar w:top="1431" w:right="1589" w:bottom="1192" w:left="1652" w:header="0" w:footer="1017" w:gutter="0"/>
          <w:cols w:space="720" w:num="1"/>
        </w:sectPr>
      </w:pPr>
    </w:p>
    <w:p w14:paraId="22E5352A">
      <w:pPr>
        <w:spacing w:before="191" w:line="219" w:lineRule="auto"/>
        <w:ind w:left="28"/>
        <w:outlineLvl w:val="2"/>
        <w:rPr>
          <w:rFonts w:ascii="宋体" w:hAnsi="宋体" w:cs="宋体"/>
          <w:color w:val="auto"/>
          <w:sz w:val="24"/>
        </w:rPr>
      </w:pPr>
      <w:bookmarkStart w:id="199" w:name="bookmark69"/>
      <w:bookmarkEnd w:id="199"/>
      <w:bookmarkStart w:id="200" w:name="bookmark70"/>
      <w:bookmarkEnd w:id="200"/>
      <w:r>
        <w:rPr>
          <w:rFonts w:ascii="宋体" w:hAnsi="宋体" w:cs="宋体"/>
          <w:b/>
          <w:bCs/>
          <w:color w:val="auto"/>
          <w:spacing w:val="-4"/>
          <w:sz w:val="24"/>
        </w:rPr>
        <w:t>附件七履约保证金格式</w:t>
      </w:r>
    </w:p>
    <w:p w14:paraId="48CFD9A5">
      <w:pPr>
        <w:spacing w:before="270" w:line="212" w:lineRule="auto"/>
        <w:ind w:left="493"/>
        <w:rPr>
          <w:rFonts w:ascii="宋体" w:hAnsi="宋体" w:cs="宋体"/>
          <w:color w:val="auto"/>
          <w:sz w:val="24"/>
        </w:rPr>
      </w:pPr>
      <w:r>
        <w:rPr>
          <w:rFonts w:ascii="宋体" w:hAnsi="宋体" w:cs="宋体"/>
          <w:color w:val="auto"/>
          <w:spacing w:val="-1"/>
          <w:sz w:val="24"/>
        </w:rPr>
        <w:t>如采用非现金担保，格式如下。</w:t>
      </w:r>
    </w:p>
    <w:p w14:paraId="1743170C">
      <w:pPr>
        <w:spacing w:before="57" w:line="341" w:lineRule="exact"/>
        <w:ind w:left="3920"/>
        <w:rPr>
          <w:rFonts w:ascii="宋体" w:hAnsi="宋体" w:cs="宋体"/>
          <w:color w:val="auto"/>
          <w:sz w:val="13"/>
          <w:szCs w:val="13"/>
        </w:rPr>
      </w:pPr>
      <w:r>
        <w:rPr>
          <w:rFonts w:ascii="宋体" w:hAnsi="宋体" w:cs="宋体"/>
          <w:color w:val="auto"/>
          <w:spacing w:val="-1"/>
          <w:sz w:val="24"/>
        </w:rPr>
        <w:t>履约保证金</w:t>
      </w:r>
      <w:r>
        <w:rPr>
          <w:color w:val="auto"/>
        </w:rPr>
        <w:fldChar w:fldCharType="begin"/>
      </w:r>
      <w:r>
        <w:rPr>
          <w:color w:val="auto"/>
        </w:rPr>
        <w:instrText xml:space="preserve"> HYPERLINK \l "bookmark237" </w:instrText>
      </w:r>
      <w:r>
        <w:rPr>
          <w:color w:val="auto"/>
        </w:rPr>
        <w:fldChar w:fldCharType="separate"/>
      </w:r>
      <w:r>
        <w:rPr>
          <w:rFonts w:ascii="宋体" w:hAnsi="宋体" w:cs="宋体"/>
          <w:color w:val="auto"/>
          <w:spacing w:val="-1"/>
          <w:position w:val="13"/>
          <w:sz w:val="13"/>
          <w:szCs w:val="13"/>
        </w:rPr>
        <w:t>①</w:t>
      </w:r>
      <w:r>
        <w:rPr>
          <w:rFonts w:ascii="宋体" w:hAnsi="宋体" w:cs="宋体"/>
          <w:color w:val="auto"/>
          <w:spacing w:val="-1"/>
          <w:position w:val="13"/>
          <w:sz w:val="13"/>
          <w:szCs w:val="13"/>
        </w:rPr>
        <w:fldChar w:fldCharType="end"/>
      </w:r>
    </w:p>
    <w:p w14:paraId="48E30F65">
      <w:pPr>
        <w:tabs>
          <w:tab w:val="left" w:pos="2280"/>
        </w:tabs>
        <w:spacing w:before="127" w:line="220" w:lineRule="auto"/>
        <w:ind w:left="480"/>
        <w:rPr>
          <w:rFonts w:ascii="宋体" w:hAnsi="宋体" w:cs="宋体"/>
          <w:color w:val="auto"/>
          <w:sz w:val="24"/>
        </w:rPr>
      </w:pPr>
      <w:r>
        <w:rPr>
          <w:rFonts w:ascii="宋体" w:hAnsi="宋体" w:cs="宋体"/>
          <w:color w:val="auto"/>
          <w:sz w:val="24"/>
          <w:u w:val="single"/>
        </w:rPr>
        <w:tab/>
      </w:r>
      <w:r>
        <w:rPr>
          <w:rFonts w:ascii="宋体" w:hAnsi="宋体" w:cs="宋体"/>
          <w:color w:val="auto"/>
          <w:spacing w:val="-1"/>
          <w:sz w:val="24"/>
        </w:rPr>
        <w:t>（发包人名称</w:t>
      </w:r>
      <w:r>
        <w:rPr>
          <w:rFonts w:ascii="宋体" w:hAnsi="宋体" w:cs="宋体"/>
          <w:color w:val="auto"/>
          <w:spacing w:val="-63"/>
          <w:w w:val="98"/>
          <w:sz w:val="24"/>
        </w:rPr>
        <w:t>）：</w:t>
      </w:r>
    </w:p>
    <w:p w14:paraId="2B299FF6">
      <w:pPr>
        <w:pStyle w:val="21"/>
        <w:spacing w:line="431" w:lineRule="auto"/>
        <w:rPr>
          <w:color w:val="auto"/>
        </w:rPr>
      </w:pPr>
    </w:p>
    <w:p w14:paraId="48412415">
      <w:pPr>
        <w:spacing w:before="78" w:line="308" w:lineRule="auto"/>
        <w:ind w:left="8" w:firstLine="483"/>
        <w:rPr>
          <w:rFonts w:ascii="宋体" w:hAnsi="宋体" w:cs="宋体"/>
          <w:color w:val="auto"/>
          <w:sz w:val="24"/>
        </w:rPr>
      </w:pPr>
      <w:r>
        <w:rPr>
          <w:rFonts w:ascii="宋体" w:hAnsi="宋体" w:cs="宋体"/>
          <w:color w:val="auto"/>
          <w:spacing w:val="-3"/>
          <w:sz w:val="24"/>
        </w:rPr>
        <w:t>鉴于（发包人名称，以下简称“发包人”）接受</w:t>
      </w:r>
      <w:r>
        <w:rPr>
          <w:rFonts w:ascii="宋体" w:hAnsi="宋体" w:cs="宋体"/>
          <w:color w:val="auto"/>
          <w:spacing w:val="-4"/>
          <w:sz w:val="24"/>
        </w:rPr>
        <w:t>（承包人名</w:t>
      </w:r>
      <w:r>
        <w:rPr>
          <w:rFonts w:ascii="宋体" w:hAnsi="宋体" w:cs="宋体"/>
          <w:color w:val="auto"/>
          <w:spacing w:val="-8"/>
          <w:sz w:val="24"/>
        </w:rPr>
        <w:t>称，以下简称“承包人”）于年月日参加（项目名称）</w:t>
      </w:r>
      <w:r>
        <w:rPr>
          <w:rFonts w:ascii="宋体" w:hAnsi="宋体" w:cs="宋体"/>
          <w:color w:val="auto"/>
          <w:spacing w:val="-2"/>
          <w:sz w:val="24"/>
        </w:rPr>
        <w:t>养护项目的实施。我方愿意无条件地、不可撤销地就承包人履行与你方订立的合同，向你方提供担保。</w:t>
      </w:r>
    </w:p>
    <w:p w14:paraId="6037DA17">
      <w:pPr>
        <w:spacing w:before="1" w:line="218" w:lineRule="auto"/>
        <w:ind w:left="508"/>
        <w:rPr>
          <w:rFonts w:ascii="宋体" w:hAnsi="宋体" w:cs="宋体"/>
          <w:color w:val="auto"/>
          <w:sz w:val="24"/>
        </w:rPr>
      </w:pPr>
      <w:r>
        <w:rPr>
          <w:rFonts w:eastAsia="Times New Roman"/>
          <w:color w:val="auto"/>
          <w:spacing w:val="-4"/>
          <w:sz w:val="24"/>
        </w:rPr>
        <w:t xml:space="preserve">1.  </w:t>
      </w:r>
      <w:r>
        <w:rPr>
          <w:rFonts w:ascii="宋体" w:hAnsi="宋体" w:cs="宋体"/>
          <w:color w:val="auto"/>
          <w:spacing w:val="-4"/>
          <w:sz w:val="24"/>
        </w:rPr>
        <w:t>担保金额人民币（大写）</w:t>
      </w:r>
      <w:r>
        <w:rPr>
          <w:rFonts w:ascii="宋体" w:hAnsi="宋体" w:cs="宋体"/>
          <w:color w:val="auto"/>
          <w:spacing w:val="-4"/>
          <w:sz w:val="24"/>
          <w:u w:val="single"/>
        </w:rPr>
        <w:t>元 (</w:t>
      </w:r>
      <w:r>
        <w:rPr>
          <w:rFonts w:eastAsia="Times New Roman"/>
          <w:color w:val="auto"/>
          <w:spacing w:val="-4"/>
          <w:sz w:val="24"/>
          <w:u w:val="single"/>
        </w:rPr>
        <w:t>¥</w:t>
      </w:r>
      <w:r>
        <w:rPr>
          <w:rFonts w:ascii="宋体" w:hAnsi="宋体" w:cs="宋体"/>
          <w:color w:val="auto"/>
          <w:spacing w:val="-4"/>
          <w:sz w:val="24"/>
          <w:u w:val="single"/>
        </w:rPr>
        <w:t>)</w:t>
      </w:r>
      <w:r>
        <w:rPr>
          <w:rFonts w:ascii="宋体" w:hAnsi="宋体" w:cs="宋体"/>
          <w:color w:val="auto"/>
          <w:spacing w:val="-4"/>
          <w:sz w:val="24"/>
        </w:rPr>
        <w:t>。</w:t>
      </w:r>
    </w:p>
    <w:p w14:paraId="5543EF7F">
      <w:pPr>
        <w:spacing w:before="114" w:line="277" w:lineRule="auto"/>
        <w:ind w:left="17" w:right="148" w:firstLine="467"/>
        <w:rPr>
          <w:rFonts w:ascii="宋体" w:hAnsi="宋体" w:cs="宋体"/>
          <w:color w:val="auto"/>
          <w:sz w:val="12"/>
          <w:szCs w:val="12"/>
        </w:rPr>
      </w:pPr>
      <w:r>
        <w:rPr>
          <w:rFonts w:eastAsia="Times New Roman"/>
          <w:color w:val="auto"/>
          <w:spacing w:val="6"/>
          <w:sz w:val="24"/>
        </w:rPr>
        <w:t xml:space="preserve">2.  </w:t>
      </w:r>
      <w:r>
        <w:rPr>
          <w:rFonts w:ascii="宋体" w:hAnsi="宋体" w:cs="宋体"/>
          <w:color w:val="auto"/>
          <w:spacing w:val="6"/>
          <w:sz w:val="24"/>
        </w:rPr>
        <w:t>担保有效期自发包人与承包人签订的合同生效之日起</w:t>
      </w:r>
      <w:r>
        <w:rPr>
          <w:rFonts w:ascii="宋体" w:hAnsi="宋体" w:cs="宋体"/>
          <w:color w:val="auto"/>
          <w:spacing w:val="5"/>
          <w:sz w:val="24"/>
        </w:rPr>
        <w:t>至发包人签发交工验</w:t>
      </w:r>
      <w:r>
        <w:rPr>
          <w:rFonts w:ascii="宋体" w:hAnsi="宋体" w:cs="宋体"/>
          <w:color w:val="auto"/>
          <w:spacing w:val="-1"/>
          <w:sz w:val="24"/>
        </w:rPr>
        <w:t>收证书且承包人按照合同约定缴纳质量保证金之日止。</w:t>
      </w:r>
      <w:r>
        <w:rPr>
          <w:color w:val="auto"/>
        </w:rPr>
        <w:fldChar w:fldCharType="begin"/>
      </w:r>
      <w:r>
        <w:rPr>
          <w:color w:val="auto"/>
        </w:rPr>
        <w:instrText xml:space="preserve"> HYPERLINK \l "bookmark238" </w:instrText>
      </w:r>
      <w:r>
        <w:rPr>
          <w:color w:val="auto"/>
        </w:rPr>
        <w:fldChar w:fldCharType="separate"/>
      </w:r>
      <w:r>
        <w:rPr>
          <w:rFonts w:ascii="宋体" w:hAnsi="宋体" w:cs="宋体"/>
          <w:color w:val="auto"/>
          <w:spacing w:val="-1"/>
          <w:position w:val="12"/>
          <w:sz w:val="12"/>
          <w:szCs w:val="12"/>
        </w:rPr>
        <w:t>②</w:t>
      </w:r>
      <w:r>
        <w:rPr>
          <w:rFonts w:ascii="宋体" w:hAnsi="宋体" w:cs="宋体"/>
          <w:color w:val="auto"/>
          <w:spacing w:val="-1"/>
          <w:position w:val="12"/>
          <w:sz w:val="12"/>
          <w:szCs w:val="12"/>
        </w:rPr>
        <w:fldChar w:fldCharType="end"/>
      </w:r>
    </w:p>
    <w:p w14:paraId="6F391E32">
      <w:pPr>
        <w:spacing w:before="81" w:line="278" w:lineRule="auto"/>
        <w:ind w:left="32" w:right="147" w:firstLine="456"/>
        <w:rPr>
          <w:rFonts w:ascii="宋体" w:hAnsi="宋体" w:cs="宋体"/>
          <w:color w:val="auto"/>
          <w:sz w:val="24"/>
        </w:rPr>
      </w:pPr>
      <w:r>
        <w:rPr>
          <w:rFonts w:eastAsia="Times New Roman"/>
          <w:color w:val="auto"/>
          <w:spacing w:val="6"/>
          <w:sz w:val="24"/>
        </w:rPr>
        <w:t xml:space="preserve">3.  </w:t>
      </w:r>
      <w:r>
        <w:rPr>
          <w:rFonts w:ascii="宋体" w:hAnsi="宋体" w:cs="宋体"/>
          <w:color w:val="auto"/>
          <w:spacing w:val="6"/>
          <w:sz w:val="24"/>
        </w:rPr>
        <w:t>在本担保有效期内，如果承包人不履行合</w:t>
      </w:r>
      <w:r>
        <w:rPr>
          <w:rFonts w:ascii="宋体" w:hAnsi="宋体" w:cs="宋体"/>
          <w:color w:val="auto"/>
          <w:spacing w:val="5"/>
          <w:sz w:val="24"/>
        </w:rPr>
        <w:t>同约定的义务或其履行不符合合</w:t>
      </w:r>
      <w:r>
        <w:rPr>
          <w:rFonts w:ascii="宋体" w:hAnsi="宋体" w:cs="宋体"/>
          <w:color w:val="auto"/>
          <w:spacing w:val="1"/>
          <w:sz w:val="24"/>
        </w:rPr>
        <w:t>同的约定时，我方在收到你方以书面形式提出的在担保金额内的赔偿要求后，在</w:t>
      </w:r>
      <w:r>
        <w:rPr>
          <w:rFonts w:eastAsia="Times New Roman"/>
          <w:color w:val="auto"/>
          <w:spacing w:val="1"/>
          <w:sz w:val="24"/>
        </w:rPr>
        <w:t>7</w:t>
      </w:r>
      <w:r>
        <w:rPr>
          <w:rFonts w:ascii="宋体" w:hAnsi="宋体" w:cs="宋体"/>
          <w:color w:val="auto"/>
          <w:spacing w:val="-2"/>
          <w:sz w:val="24"/>
        </w:rPr>
        <w:t>日内无条件支付，无须你方出具证明或陈述理由。</w:t>
      </w:r>
    </w:p>
    <w:p w14:paraId="5D66016F">
      <w:pPr>
        <w:spacing w:before="115" w:line="263" w:lineRule="auto"/>
        <w:ind w:left="11" w:right="59" w:firstLine="472"/>
        <w:rPr>
          <w:rFonts w:ascii="宋体" w:hAnsi="宋体" w:cs="宋体"/>
          <w:color w:val="auto"/>
          <w:sz w:val="24"/>
        </w:rPr>
      </w:pPr>
      <w:r>
        <w:rPr>
          <w:rFonts w:eastAsia="Times New Roman"/>
          <w:color w:val="auto"/>
          <w:spacing w:val="-2"/>
          <w:sz w:val="24"/>
        </w:rPr>
        <w:t xml:space="preserve">4.  </w:t>
      </w:r>
      <w:r>
        <w:rPr>
          <w:rFonts w:ascii="宋体" w:hAnsi="宋体" w:cs="宋体"/>
          <w:color w:val="auto"/>
          <w:spacing w:val="-2"/>
          <w:sz w:val="24"/>
        </w:rPr>
        <w:t>发包人和承包人按合同条款第</w:t>
      </w:r>
      <w:r>
        <w:rPr>
          <w:rFonts w:eastAsia="Times New Roman"/>
          <w:color w:val="auto"/>
          <w:spacing w:val="-2"/>
          <w:sz w:val="24"/>
        </w:rPr>
        <w:t xml:space="preserve">15 </w:t>
      </w:r>
      <w:r>
        <w:rPr>
          <w:rFonts w:ascii="宋体" w:hAnsi="宋体" w:cs="宋体"/>
          <w:color w:val="auto"/>
          <w:spacing w:val="-2"/>
          <w:sz w:val="24"/>
        </w:rPr>
        <w:t>条变更合同</w:t>
      </w:r>
      <w:r>
        <w:rPr>
          <w:rFonts w:ascii="宋体" w:hAnsi="宋体" w:cs="宋体"/>
          <w:color w:val="auto"/>
          <w:spacing w:val="-3"/>
          <w:sz w:val="24"/>
        </w:rPr>
        <w:t>时，无论我方是否收到该变更，</w:t>
      </w:r>
      <w:r>
        <w:rPr>
          <w:rFonts w:ascii="宋体" w:hAnsi="宋体" w:cs="宋体"/>
          <w:color w:val="auto"/>
          <w:spacing w:val="-1"/>
          <w:sz w:val="24"/>
        </w:rPr>
        <w:t>我方承担本担保规定的义务不变。</w:t>
      </w:r>
    </w:p>
    <w:p w14:paraId="5AB451AB">
      <w:pPr>
        <w:pStyle w:val="21"/>
        <w:spacing w:line="436" w:lineRule="auto"/>
        <w:rPr>
          <w:color w:val="auto"/>
        </w:rPr>
      </w:pPr>
    </w:p>
    <w:p w14:paraId="15729F19">
      <w:pPr>
        <w:spacing w:before="78" w:line="219" w:lineRule="auto"/>
        <w:ind w:left="490"/>
        <w:rPr>
          <w:rFonts w:ascii="宋体" w:hAnsi="宋体" w:cs="宋体"/>
          <w:color w:val="auto"/>
          <w:sz w:val="24"/>
        </w:rPr>
      </w:pPr>
      <w:r>
        <w:rPr>
          <w:rFonts w:ascii="宋体" w:hAnsi="宋体" w:cs="宋体"/>
          <w:color w:val="auto"/>
          <w:spacing w:val="2"/>
          <w:sz w:val="24"/>
        </w:rPr>
        <w:t>担保人名称</w:t>
      </w:r>
      <w:r>
        <w:rPr>
          <w:rFonts w:ascii="宋体" w:hAnsi="宋体" w:cs="宋体"/>
          <w:color w:val="auto"/>
          <w:spacing w:val="-16"/>
          <w:sz w:val="24"/>
        </w:rPr>
        <w:t>：（</w:t>
      </w:r>
      <w:r>
        <w:rPr>
          <w:rFonts w:ascii="宋体" w:hAnsi="宋体" w:cs="宋体"/>
          <w:color w:val="auto"/>
          <w:spacing w:val="2"/>
          <w:sz w:val="24"/>
        </w:rPr>
        <w:t>盖单位章）</w:t>
      </w:r>
    </w:p>
    <w:p w14:paraId="7C565C0E">
      <w:pPr>
        <w:spacing w:before="115" w:line="219" w:lineRule="auto"/>
        <w:ind w:left="490"/>
        <w:rPr>
          <w:rFonts w:ascii="宋体" w:hAnsi="宋体" w:cs="宋体"/>
          <w:color w:val="auto"/>
          <w:sz w:val="24"/>
        </w:rPr>
      </w:pPr>
      <w:r>
        <w:rPr>
          <w:rFonts w:ascii="宋体" w:hAnsi="宋体" w:cs="宋体"/>
          <w:color w:val="auto"/>
          <w:spacing w:val="1"/>
          <w:sz w:val="24"/>
        </w:rPr>
        <w:t>法定代表人或其委托代理人</w:t>
      </w:r>
      <w:r>
        <w:rPr>
          <w:rFonts w:ascii="宋体" w:hAnsi="宋体" w:cs="宋体"/>
          <w:color w:val="auto"/>
          <w:spacing w:val="-14"/>
          <w:sz w:val="24"/>
        </w:rPr>
        <w:t>：（</w:t>
      </w:r>
      <w:r>
        <w:rPr>
          <w:rFonts w:ascii="宋体" w:hAnsi="宋体" w:cs="宋体"/>
          <w:color w:val="auto"/>
          <w:spacing w:val="1"/>
          <w:sz w:val="24"/>
        </w:rPr>
        <w:t>签名）</w:t>
      </w:r>
    </w:p>
    <w:p w14:paraId="267ED75B">
      <w:pPr>
        <w:spacing w:before="115" w:line="229" w:lineRule="auto"/>
        <w:ind w:left="489"/>
        <w:rPr>
          <w:rFonts w:ascii="宋体" w:hAnsi="宋体" w:cs="宋体"/>
          <w:color w:val="auto"/>
          <w:sz w:val="24"/>
        </w:rPr>
      </w:pPr>
      <w:r>
        <w:rPr>
          <w:rFonts w:ascii="宋体" w:hAnsi="宋体" w:cs="宋体"/>
          <w:color w:val="auto"/>
          <w:spacing w:val="-17"/>
          <w:sz w:val="24"/>
        </w:rPr>
        <w:t>地址：</w:t>
      </w:r>
    </w:p>
    <w:p w14:paraId="4FA550F7">
      <w:pPr>
        <w:spacing w:before="104" w:line="219" w:lineRule="auto"/>
        <w:ind w:left="507"/>
        <w:rPr>
          <w:rFonts w:ascii="宋体" w:hAnsi="宋体" w:cs="宋体"/>
          <w:color w:val="auto"/>
          <w:sz w:val="24"/>
        </w:rPr>
      </w:pPr>
      <w:r>
        <w:rPr>
          <w:rFonts w:ascii="宋体" w:hAnsi="宋体" w:cs="宋体"/>
          <w:color w:val="auto"/>
          <w:spacing w:val="-4"/>
          <w:sz w:val="24"/>
        </w:rPr>
        <w:t>邮政编码：</w:t>
      </w:r>
    </w:p>
    <w:p w14:paraId="6B098D84">
      <w:pPr>
        <w:spacing w:before="114" w:line="221" w:lineRule="auto"/>
        <w:ind w:left="517"/>
        <w:rPr>
          <w:rFonts w:ascii="宋体" w:hAnsi="宋体" w:cs="宋体"/>
          <w:color w:val="auto"/>
          <w:sz w:val="24"/>
        </w:rPr>
      </w:pPr>
      <w:r>
        <w:rPr>
          <w:rFonts w:ascii="宋体" w:hAnsi="宋体" w:cs="宋体"/>
          <w:color w:val="auto"/>
          <w:spacing w:val="-26"/>
          <w:sz w:val="24"/>
        </w:rPr>
        <w:t>电话：</w:t>
      </w:r>
    </w:p>
    <w:p w14:paraId="257D06AE">
      <w:pPr>
        <w:spacing w:before="112" w:line="219" w:lineRule="auto"/>
        <w:ind w:left="487"/>
        <w:rPr>
          <w:rFonts w:ascii="宋体" w:hAnsi="宋体" w:cs="宋体"/>
          <w:color w:val="auto"/>
          <w:sz w:val="24"/>
        </w:rPr>
      </w:pPr>
      <w:r>
        <w:rPr>
          <w:rFonts w:ascii="宋体" w:hAnsi="宋体" w:cs="宋体"/>
          <w:color w:val="auto"/>
          <w:spacing w:val="-17"/>
          <w:sz w:val="24"/>
        </w:rPr>
        <w:t>传真：</w:t>
      </w:r>
    </w:p>
    <w:p w14:paraId="0FC3C594">
      <w:pPr>
        <w:tabs>
          <w:tab w:val="left" w:pos="3840"/>
        </w:tabs>
        <w:spacing w:before="118" w:line="219" w:lineRule="auto"/>
        <w:ind w:left="3000"/>
        <w:rPr>
          <w:color w:val="auto"/>
        </w:rPr>
      </w:pPr>
      <w:r>
        <w:rPr>
          <w:rFonts w:ascii="宋体" w:hAnsi="宋体" w:cs="宋体"/>
          <w:color w:val="auto"/>
          <w:sz w:val="24"/>
          <w:u w:val="single"/>
        </w:rPr>
        <w:tab/>
      </w:r>
      <w:r>
        <w:rPr>
          <w:rFonts w:ascii="宋体" w:hAnsi="宋体" w:cs="宋体"/>
          <w:color w:val="auto"/>
          <w:spacing w:val="-9"/>
          <w:sz w:val="24"/>
        </w:rPr>
        <w:t>年月日</w:t>
      </w:r>
    </w:p>
    <w:p w14:paraId="634AA73C">
      <w:pPr>
        <w:pStyle w:val="21"/>
        <w:spacing w:line="276" w:lineRule="auto"/>
        <w:rPr>
          <w:color w:val="auto"/>
        </w:rPr>
      </w:pPr>
    </w:p>
    <w:p w14:paraId="4B572016">
      <w:pPr>
        <w:pStyle w:val="21"/>
        <w:spacing w:line="276" w:lineRule="auto"/>
        <w:rPr>
          <w:color w:val="auto"/>
        </w:rPr>
      </w:pPr>
      <w:r>
        <w:rPr>
          <w:color w:val="auto"/>
        </w:rPr>
        <w:pict>
          <v:shape id="_x0000_s2055" o:spid="_x0000_s2055" o:spt="100" style="position:absolute;left:0pt;margin-left:0pt;margin-top:3.5pt;height:0pt;width:144pt;z-index:251676672;mso-width-relative:page;mso-height-relative:page;" filled="f" coordsize="2880,1" o:gfxdata="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EhnIvRAAAABAEAAA8AAAAAAAAAAQAgAAAAIgAAAGRycy9kb3ducmV2LnhtbFBLAQIUABQAAAAI&#10;AIdO4kA92ZlRLQIAAJcEAAAOAAAAAAAAAAEAIAAAACABAABkcnMvZTJvRG9jLnhtbFBLBQYAAAAA&#10;BgAGAFkBAAC/BQAAAAA=&#10;" path="m0,0l2880,0e">
            <v:path o:connecttype="segments"/>
            <v:fill on="f" focussize="0,0"/>
            <v:stroke weight="0pt" joinstyle="bevel" endcap="square"/>
            <v:imagedata o:title=""/>
            <o:lock v:ext="edit"/>
          </v:shape>
        </w:pict>
      </w:r>
    </w:p>
    <w:p w14:paraId="11E972B9">
      <w:pPr>
        <w:spacing w:before="62" w:line="308" w:lineRule="auto"/>
        <w:ind w:left="8" w:right="145" w:firstLine="399"/>
        <w:rPr>
          <w:rFonts w:ascii="宋体" w:hAnsi="宋体" w:cs="宋体"/>
          <w:color w:val="auto"/>
          <w:sz w:val="19"/>
          <w:szCs w:val="19"/>
        </w:rPr>
      </w:pPr>
      <w:bookmarkStart w:id="201" w:name="bookmark237"/>
      <w:bookmarkEnd w:id="201"/>
      <w:r>
        <w:rPr>
          <w:rFonts w:ascii="宋体" w:hAnsi="宋体" w:cs="宋体"/>
          <w:color w:val="auto"/>
          <w:spacing w:val="11"/>
          <w:sz w:val="19"/>
          <w:szCs w:val="19"/>
        </w:rPr>
        <w:t>① 允许使用银行</w:t>
      </w:r>
      <w:r>
        <w:rPr>
          <w:rFonts w:eastAsia="Times New Roman"/>
          <w:color w:val="auto"/>
          <w:spacing w:val="11"/>
          <w:sz w:val="19"/>
          <w:szCs w:val="19"/>
        </w:rPr>
        <w:t>/</w:t>
      </w:r>
      <w:r>
        <w:rPr>
          <w:rFonts w:ascii="宋体" w:hAnsi="宋体" w:cs="宋体"/>
          <w:color w:val="auto"/>
          <w:spacing w:val="11"/>
          <w:sz w:val="19"/>
          <w:szCs w:val="19"/>
        </w:rPr>
        <w:t>担保机构</w:t>
      </w:r>
      <w:r>
        <w:rPr>
          <w:rFonts w:eastAsia="Times New Roman"/>
          <w:color w:val="auto"/>
          <w:spacing w:val="11"/>
          <w:sz w:val="19"/>
          <w:szCs w:val="19"/>
        </w:rPr>
        <w:t>/</w:t>
      </w:r>
      <w:r>
        <w:rPr>
          <w:rFonts w:ascii="宋体" w:hAnsi="宋体" w:cs="宋体"/>
          <w:color w:val="auto"/>
          <w:spacing w:val="11"/>
          <w:sz w:val="19"/>
          <w:szCs w:val="19"/>
        </w:rPr>
        <w:t>保险公司出具的担保格式，但必须为无条件、不可</w:t>
      </w:r>
      <w:r>
        <w:rPr>
          <w:rFonts w:ascii="宋体" w:hAnsi="宋体" w:cs="宋体"/>
          <w:color w:val="auto"/>
          <w:spacing w:val="10"/>
          <w:sz w:val="19"/>
          <w:szCs w:val="19"/>
        </w:rPr>
        <w:t>撤销的见索即付</w:t>
      </w:r>
      <w:bookmarkStart w:id="202" w:name="bookmark238"/>
      <w:bookmarkEnd w:id="202"/>
      <w:r>
        <w:rPr>
          <w:rFonts w:ascii="宋体" w:hAnsi="宋体" w:cs="宋体"/>
          <w:color w:val="auto"/>
          <w:spacing w:val="9"/>
          <w:sz w:val="19"/>
          <w:szCs w:val="19"/>
        </w:rPr>
        <w:t>担保，且不得更改本格式中的实质性内容。</w:t>
      </w:r>
    </w:p>
    <w:p w14:paraId="0C0E6DF5">
      <w:pPr>
        <w:spacing w:before="166" w:line="349" w:lineRule="auto"/>
        <w:ind w:left="8" w:right="148" w:firstLine="398"/>
        <w:rPr>
          <w:rFonts w:ascii="宋体" w:hAnsi="宋体" w:cs="宋体"/>
          <w:color w:val="auto"/>
          <w:sz w:val="19"/>
          <w:szCs w:val="19"/>
        </w:rPr>
      </w:pPr>
      <w:r>
        <w:rPr>
          <w:rFonts w:ascii="宋体" w:hAnsi="宋体" w:cs="宋体"/>
          <w:color w:val="auto"/>
          <w:spacing w:val="9"/>
          <w:sz w:val="19"/>
          <w:szCs w:val="19"/>
        </w:rPr>
        <w:t>② 本条内容可修改为：“本担保自（生效日期）之日起生效。”如发包人接受履约保</w:t>
      </w:r>
      <w:r>
        <w:rPr>
          <w:rFonts w:ascii="宋体" w:hAnsi="宋体" w:cs="宋体"/>
          <w:color w:val="auto"/>
          <w:spacing w:val="12"/>
          <w:sz w:val="19"/>
          <w:szCs w:val="19"/>
        </w:rPr>
        <w:t>函采用固定有效期，在专用合同条款中应增加</w:t>
      </w:r>
      <w:r>
        <w:rPr>
          <w:rFonts w:ascii="宋体" w:hAnsi="宋体" w:cs="宋体"/>
          <w:color w:val="auto"/>
          <w:spacing w:val="11"/>
          <w:sz w:val="19"/>
          <w:szCs w:val="19"/>
        </w:rPr>
        <w:t>保证承包人在履约保函失效日前向发包人出具后续阶</w:t>
      </w:r>
      <w:r>
        <w:rPr>
          <w:rFonts w:ascii="宋体" w:hAnsi="宋体" w:cs="宋体"/>
          <w:color w:val="auto"/>
          <w:spacing w:val="12"/>
          <w:sz w:val="19"/>
          <w:szCs w:val="19"/>
        </w:rPr>
        <w:t>段履约保函的约束性条款，直至发包人签发交</w:t>
      </w:r>
      <w:r>
        <w:rPr>
          <w:rFonts w:ascii="宋体" w:hAnsi="宋体" w:cs="宋体"/>
          <w:color w:val="auto"/>
          <w:spacing w:val="11"/>
          <w:sz w:val="19"/>
          <w:szCs w:val="19"/>
        </w:rPr>
        <w:t>工验收证书且承包人按照合同约定缴纳质量保证金之</w:t>
      </w:r>
      <w:r>
        <w:rPr>
          <w:rFonts w:ascii="宋体" w:hAnsi="宋体" w:cs="宋体"/>
          <w:color w:val="auto"/>
          <w:spacing w:val="5"/>
          <w:sz w:val="19"/>
          <w:szCs w:val="19"/>
        </w:rPr>
        <w:t>日为止。</w:t>
      </w:r>
    </w:p>
    <w:p w14:paraId="6897CE61">
      <w:pPr>
        <w:rPr>
          <w:color w:val="auto"/>
        </w:rPr>
      </w:pPr>
    </w:p>
    <w:p w14:paraId="7CA193C8">
      <w:pPr>
        <w:spacing w:before="114" w:line="227" w:lineRule="auto"/>
        <w:outlineLvl w:val="1"/>
        <w:rPr>
          <w:rFonts w:ascii="黑体" w:hAnsi="黑体" w:eastAsia="黑体" w:cs="黑体"/>
          <w:color w:val="auto"/>
          <w:spacing w:val="8"/>
          <w:sz w:val="35"/>
          <w:szCs w:val="35"/>
        </w:rPr>
      </w:pPr>
    </w:p>
    <w:p w14:paraId="50884EF8">
      <w:pPr>
        <w:spacing w:before="114" w:line="227" w:lineRule="auto"/>
        <w:jc w:val="center"/>
        <w:outlineLvl w:val="1"/>
        <w:rPr>
          <w:rFonts w:ascii="黑体" w:hAnsi="黑体" w:eastAsia="黑体" w:cs="黑体"/>
          <w:color w:val="auto"/>
          <w:spacing w:val="8"/>
          <w:sz w:val="35"/>
          <w:szCs w:val="35"/>
        </w:rPr>
      </w:pPr>
      <w:r>
        <w:rPr>
          <w:rFonts w:hint="eastAsia" w:ascii="黑体" w:hAnsi="黑体" w:eastAsia="黑体" w:cs="黑体"/>
          <w:color w:val="auto"/>
          <w:spacing w:val="8"/>
          <w:sz w:val="35"/>
          <w:szCs w:val="35"/>
        </w:rPr>
        <w:t>第四节 专用合同条款</w:t>
      </w:r>
      <w:bookmarkEnd w:id="183"/>
    </w:p>
    <w:p w14:paraId="31C9FB81">
      <w:pPr>
        <w:spacing w:before="114" w:line="227" w:lineRule="auto"/>
        <w:jc w:val="center"/>
        <w:outlineLvl w:val="1"/>
        <w:rPr>
          <w:rFonts w:ascii="黑体" w:hAnsi="黑体" w:eastAsia="黑体" w:cs="黑体"/>
          <w:color w:val="auto"/>
          <w:spacing w:val="8"/>
          <w:sz w:val="32"/>
          <w:szCs w:val="32"/>
        </w:rPr>
      </w:pPr>
      <w:r>
        <w:rPr>
          <w:rFonts w:hint="eastAsia" w:ascii="黑体" w:hAnsi="黑体" w:eastAsia="黑体" w:cs="黑体"/>
          <w:color w:val="auto"/>
          <w:spacing w:val="8"/>
          <w:sz w:val="32"/>
          <w:szCs w:val="32"/>
        </w:rPr>
        <w:t>1.专用合同条款数据表</w:t>
      </w:r>
    </w:p>
    <w:p w14:paraId="70614851">
      <w:pPr>
        <w:spacing w:before="269" w:line="219" w:lineRule="auto"/>
        <w:ind w:left="605"/>
        <w:rPr>
          <w:rFonts w:ascii="宋体" w:hAnsi="宋体" w:cs="宋体"/>
          <w:color w:val="auto"/>
          <w:sz w:val="24"/>
        </w:rPr>
      </w:pPr>
      <w:r>
        <w:rPr>
          <w:rFonts w:ascii="宋体" w:hAnsi="宋体" w:cs="宋体"/>
          <w:color w:val="auto"/>
          <w:spacing w:val="1"/>
          <w:sz w:val="24"/>
        </w:rPr>
        <w:t>说明：本数据表是专用合同条款中适用于本项</w:t>
      </w:r>
      <w:r>
        <w:rPr>
          <w:rFonts w:ascii="宋体" w:hAnsi="宋体" w:cs="宋体"/>
          <w:color w:val="auto"/>
          <w:sz w:val="24"/>
        </w:rPr>
        <w:t>目的信息和数据的归纳与提示，</w:t>
      </w:r>
    </w:p>
    <w:p w14:paraId="4C2E8F76">
      <w:pPr>
        <w:spacing w:before="116" w:line="212" w:lineRule="auto"/>
        <w:ind w:left="126"/>
        <w:rPr>
          <w:rFonts w:ascii="宋体" w:hAnsi="宋体" w:cs="宋体"/>
          <w:color w:val="auto"/>
          <w:sz w:val="24"/>
        </w:rPr>
      </w:pPr>
      <w:r>
        <w:rPr>
          <w:rFonts w:ascii="宋体" w:hAnsi="宋体" w:cs="宋体"/>
          <w:color w:val="auto"/>
          <w:sz w:val="24"/>
        </w:rPr>
        <w:t>是专用合同条款的组成部分。编写者应仔细校</w:t>
      </w:r>
      <w:r>
        <w:rPr>
          <w:rFonts w:ascii="宋体" w:hAnsi="宋体" w:cs="宋体"/>
          <w:color w:val="auto"/>
          <w:spacing w:val="-1"/>
          <w:sz w:val="24"/>
        </w:rPr>
        <w:t>核，避免数据出现差错或不一致。</w:t>
      </w:r>
    </w:p>
    <w:tbl>
      <w:tblPr>
        <w:tblStyle w:val="282"/>
        <w:tblW w:w="90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1386"/>
        <w:gridCol w:w="6888"/>
      </w:tblGrid>
      <w:tr w14:paraId="51143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74" w:type="dxa"/>
            <w:noWrap/>
          </w:tcPr>
          <w:p w14:paraId="578B31A5">
            <w:pPr>
              <w:spacing w:before="129" w:line="207" w:lineRule="auto"/>
              <w:ind w:left="152"/>
              <w:rPr>
                <w:rFonts w:ascii="宋体" w:hAnsi="宋体" w:cs="宋体"/>
                <w:color w:val="auto"/>
                <w:sz w:val="24"/>
              </w:rPr>
            </w:pPr>
            <w:r>
              <w:rPr>
                <w:rFonts w:ascii="宋体" w:hAnsi="宋体" w:cs="宋体"/>
                <w:color w:val="auto"/>
                <w:spacing w:val="-5"/>
                <w:sz w:val="24"/>
              </w:rPr>
              <w:t>序号</w:t>
            </w:r>
          </w:p>
        </w:tc>
        <w:tc>
          <w:tcPr>
            <w:tcW w:w="1386" w:type="dxa"/>
            <w:noWrap/>
          </w:tcPr>
          <w:p w14:paraId="5000193F">
            <w:pPr>
              <w:spacing w:before="129" w:line="207" w:lineRule="auto"/>
              <w:ind w:left="341"/>
              <w:rPr>
                <w:rFonts w:ascii="宋体" w:hAnsi="宋体" w:cs="宋体"/>
                <w:color w:val="auto"/>
                <w:sz w:val="24"/>
              </w:rPr>
            </w:pPr>
            <w:r>
              <w:rPr>
                <w:rFonts w:ascii="宋体" w:hAnsi="宋体" w:cs="宋体"/>
                <w:color w:val="auto"/>
                <w:spacing w:val="-4"/>
                <w:sz w:val="24"/>
              </w:rPr>
              <w:t>条目号</w:t>
            </w:r>
          </w:p>
        </w:tc>
        <w:tc>
          <w:tcPr>
            <w:tcW w:w="6888" w:type="dxa"/>
            <w:noWrap/>
          </w:tcPr>
          <w:p w14:paraId="1264A3DD">
            <w:pPr>
              <w:spacing w:before="129" w:line="207" w:lineRule="auto"/>
              <w:ind w:left="2848"/>
              <w:rPr>
                <w:rFonts w:ascii="宋体" w:hAnsi="宋体" w:cs="宋体"/>
                <w:color w:val="auto"/>
                <w:sz w:val="24"/>
              </w:rPr>
            </w:pPr>
            <w:r>
              <w:rPr>
                <w:rFonts w:ascii="宋体" w:hAnsi="宋体" w:cs="宋体"/>
                <w:color w:val="auto"/>
                <w:spacing w:val="-2"/>
                <w:sz w:val="24"/>
              </w:rPr>
              <w:t>信息或数据</w:t>
            </w:r>
          </w:p>
        </w:tc>
      </w:tr>
      <w:tr w14:paraId="4E444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74" w:type="dxa"/>
            <w:noWrap/>
          </w:tcPr>
          <w:p w14:paraId="4872F5E2">
            <w:pPr>
              <w:pStyle w:val="280"/>
              <w:spacing w:line="313" w:lineRule="auto"/>
              <w:rPr>
                <w:color w:val="auto"/>
              </w:rPr>
            </w:pPr>
          </w:p>
          <w:p w14:paraId="732AC2FF">
            <w:pPr>
              <w:spacing w:before="69" w:line="188" w:lineRule="auto"/>
              <w:ind w:left="351"/>
              <w:rPr>
                <w:rFonts w:eastAsia="Times New Roman"/>
                <w:color w:val="auto"/>
                <w:sz w:val="24"/>
              </w:rPr>
            </w:pPr>
            <w:r>
              <w:rPr>
                <w:rFonts w:eastAsia="Times New Roman"/>
                <w:color w:val="auto"/>
                <w:sz w:val="24"/>
              </w:rPr>
              <w:t>1</w:t>
            </w:r>
          </w:p>
        </w:tc>
        <w:tc>
          <w:tcPr>
            <w:tcW w:w="1386" w:type="dxa"/>
            <w:noWrap/>
          </w:tcPr>
          <w:p w14:paraId="62275510">
            <w:pPr>
              <w:pStyle w:val="280"/>
              <w:spacing w:line="313" w:lineRule="auto"/>
              <w:rPr>
                <w:color w:val="auto"/>
              </w:rPr>
            </w:pPr>
          </w:p>
          <w:p w14:paraId="41137DFB">
            <w:pPr>
              <w:spacing w:before="69" w:line="188" w:lineRule="auto"/>
              <w:ind w:left="386"/>
              <w:rPr>
                <w:rFonts w:eastAsia="Times New Roman"/>
                <w:color w:val="auto"/>
                <w:sz w:val="24"/>
              </w:rPr>
            </w:pPr>
            <w:r>
              <w:rPr>
                <w:rFonts w:eastAsia="Times New Roman"/>
                <w:color w:val="auto"/>
                <w:spacing w:val="-5"/>
                <w:sz w:val="24"/>
              </w:rPr>
              <w:t>1.1.2.2</w:t>
            </w:r>
          </w:p>
        </w:tc>
        <w:tc>
          <w:tcPr>
            <w:tcW w:w="6888" w:type="dxa"/>
            <w:noWrap/>
          </w:tcPr>
          <w:p w14:paraId="61C45F47">
            <w:pPr>
              <w:spacing w:before="126" w:line="220" w:lineRule="auto"/>
              <w:ind w:left="118"/>
              <w:rPr>
                <w:rFonts w:ascii="宋体" w:hAnsi="宋体" w:cs="宋体"/>
                <w:color w:val="auto"/>
                <w:sz w:val="24"/>
              </w:rPr>
            </w:pPr>
            <w:r>
              <w:rPr>
                <w:rFonts w:ascii="宋体" w:hAnsi="宋体" w:cs="宋体"/>
                <w:color w:val="auto"/>
                <w:spacing w:val="-17"/>
                <w:sz w:val="24"/>
              </w:rPr>
              <w:t>发包人：</w:t>
            </w:r>
            <w:r>
              <w:rPr>
                <w:rFonts w:hint="eastAsia"/>
                <w:color w:val="auto"/>
                <w:kern w:val="0"/>
                <w:sz w:val="24"/>
                <w:u w:val="single"/>
              </w:rPr>
              <w:t>广西壮族自治区钦州钦北公路养护中心</w:t>
            </w:r>
          </w:p>
          <w:p w14:paraId="6C7E8C4F">
            <w:pPr>
              <w:spacing w:before="112" w:line="207" w:lineRule="auto"/>
              <w:ind w:left="113"/>
              <w:rPr>
                <w:rFonts w:ascii="宋体" w:hAnsi="宋体" w:cs="宋体"/>
                <w:color w:val="auto"/>
                <w:sz w:val="24"/>
              </w:rPr>
            </w:pPr>
            <w:r>
              <w:rPr>
                <w:rFonts w:hint="eastAsia" w:ascii="宋体" w:hAnsi="宋体" w:cs="宋体"/>
                <w:color w:val="auto"/>
                <w:sz w:val="24"/>
              </w:rPr>
              <w:t>住所：钦州市钦南区南珠西大街65号</w:t>
            </w:r>
          </w:p>
          <w:p w14:paraId="319D6017">
            <w:pPr>
              <w:spacing w:before="112" w:line="207" w:lineRule="auto"/>
              <w:ind w:left="113"/>
              <w:rPr>
                <w:rFonts w:ascii="宋体" w:hAnsi="宋体" w:cs="宋体"/>
                <w:color w:val="auto"/>
                <w:sz w:val="24"/>
              </w:rPr>
            </w:pPr>
            <w:r>
              <w:rPr>
                <w:rFonts w:hint="eastAsia" w:ascii="宋体" w:hAnsi="宋体" w:cs="宋体"/>
                <w:color w:val="auto"/>
                <w:sz w:val="24"/>
              </w:rPr>
              <w:t>邮政编码：535000</w:t>
            </w:r>
          </w:p>
        </w:tc>
      </w:tr>
      <w:tr w14:paraId="1CB19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74" w:type="dxa"/>
            <w:noWrap/>
          </w:tcPr>
          <w:p w14:paraId="6A393495">
            <w:pPr>
              <w:pStyle w:val="280"/>
              <w:spacing w:line="315" w:lineRule="auto"/>
              <w:rPr>
                <w:color w:val="auto"/>
              </w:rPr>
            </w:pPr>
          </w:p>
          <w:p w14:paraId="384AFB42">
            <w:pPr>
              <w:spacing w:before="69" w:line="188" w:lineRule="auto"/>
              <w:ind w:left="328"/>
              <w:rPr>
                <w:rFonts w:eastAsia="Times New Roman"/>
                <w:color w:val="auto"/>
                <w:sz w:val="24"/>
              </w:rPr>
            </w:pPr>
            <w:r>
              <w:rPr>
                <w:rFonts w:eastAsia="Times New Roman"/>
                <w:color w:val="auto"/>
                <w:sz w:val="24"/>
              </w:rPr>
              <w:t>2</w:t>
            </w:r>
          </w:p>
        </w:tc>
        <w:tc>
          <w:tcPr>
            <w:tcW w:w="1386" w:type="dxa"/>
            <w:noWrap/>
          </w:tcPr>
          <w:p w14:paraId="348D8F96">
            <w:pPr>
              <w:pStyle w:val="280"/>
              <w:spacing w:line="315" w:lineRule="auto"/>
              <w:rPr>
                <w:color w:val="auto"/>
              </w:rPr>
            </w:pPr>
          </w:p>
          <w:p w14:paraId="0576F93C">
            <w:pPr>
              <w:spacing w:before="69" w:line="188" w:lineRule="auto"/>
              <w:ind w:left="386"/>
              <w:rPr>
                <w:rFonts w:eastAsia="Times New Roman"/>
                <w:color w:val="auto"/>
                <w:sz w:val="24"/>
              </w:rPr>
            </w:pPr>
            <w:r>
              <w:rPr>
                <w:rFonts w:eastAsia="Times New Roman"/>
                <w:color w:val="auto"/>
                <w:spacing w:val="-5"/>
                <w:sz w:val="24"/>
              </w:rPr>
              <w:t>1.1.2.7</w:t>
            </w:r>
          </w:p>
        </w:tc>
        <w:tc>
          <w:tcPr>
            <w:tcW w:w="6888" w:type="dxa"/>
            <w:noWrap/>
          </w:tcPr>
          <w:p w14:paraId="18BBC322">
            <w:pPr>
              <w:spacing w:before="125" w:line="221" w:lineRule="auto"/>
              <w:ind w:left="124"/>
              <w:rPr>
                <w:rFonts w:ascii="宋体" w:hAnsi="宋体" w:cs="宋体"/>
                <w:color w:val="auto"/>
                <w:sz w:val="24"/>
              </w:rPr>
            </w:pPr>
            <w:r>
              <w:rPr>
                <w:rFonts w:ascii="宋体" w:hAnsi="宋体" w:cs="宋体"/>
                <w:color w:val="auto"/>
                <w:spacing w:val="-4"/>
                <w:sz w:val="24"/>
              </w:rPr>
              <w:t>咨 询人（监理人</w:t>
            </w:r>
            <w:r>
              <w:rPr>
                <w:rFonts w:ascii="宋体" w:hAnsi="宋体" w:cs="宋体"/>
                <w:color w:val="auto"/>
                <w:spacing w:val="-60"/>
                <w:sz w:val="24"/>
              </w:rPr>
              <w:t>）：</w:t>
            </w:r>
            <w:r>
              <w:rPr>
                <w:rFonts w:hint="eastAsia" w:ascii="宋体" w:hAnsi="宋体" w:cs="宋体"/>
                <w:color w:val="auto"/>
                <w:sz w:val="24"/>
                <w:u w:val="single"/>
              </w:rPr>
              <w:t>待定</w:t>
            </w:r>
          </w:p>
          <w:p w14:paraId="6926808B">
            <w:pPr>
              <w:spacing w:before="114" w:line="205" w:lineRule="auto"/>
              <w:ind w:left="113"/>
              <w:rPr>
                <w:rFonts w:ascii="宋体" w:hAnsi="宋体" w:cs="宋体"/>
                <w:color w:val="auto"/>
                <w:spacing w:val="-82"/>
                <w:sz w:val="24"/>
              </w:rPr>
            </w:pPr>
            <w:r>
              <w:rPr>
                <w:rFonts w:ascii="宋体" w:hAnsi="宋体" w:cs="宋体"/>
                <w:color w:val="auto"/>
                <w:spacing w:val="-4"/>
                <w:sz w:val="24"/>
              </w:rPr>
              <w:t>住    所：</w:t>
            </w:r>
          </w:p>
          <w:p w14:paraId="012E5C2A">
            <w:pPr>
              <w:spacing w:before="114" w:line="205" w:lineRule="auto"/>
              <w:ind w:left="113"/>
              <w:rPr>
                <w:rFonts w:ascii="宋体" w:hAnsi="宋体" w:cs="宋体"/>
                <w:color w:val="auto"/>
                <w:sz w:val="24"/>
              </w:rPr>
            </w:pPr>
            <w:r>
              <w:rPr>
                <w:rFonts w:ascii="宋体" w:hAnsi="宋体" w:cs="宋体"/>
                <w:color w:val="auto"/>
                <w:spacing w:val="-4"/>
                <w:sz w:val="24"/>
              </w:rPr>
              <w:t>邮政编码：</w:t>
            </w:r>
          </w:p>
        </w:tc>
      </w:tr>
      <w:tr w14:paraId="3A630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74" w:type="dxa"/>
            <w:noWrap/>
          </w:tcPr>
          <w:p w14:paraId="0355EBE5">
            <w:pPr>
              <w:spacing w:before="187" w:line="180" w:lineRule="auto"/>
              <w:ind w:left="333"/>
              <w:rPr>
                <w:rFonts w:eastAsia="Times New Roman"/>
                <w:color w:val="auto"/>
                <w:sz w:val="24"/>
              </w:rPr>
            </w:pPr>
            <w:r>
              <w:rPr>
                <w:rFonts w:eastAsia="Times New Roman"/>
                <w:color w:val="auto"/>
                <w:sz w:val="24"/>
              </w:rPr>
              <w:t>3</w:t>
            </w:r>
          </w:p>
        </w:tc>
        <w:tc>
          <w:tcPr>
            <w:tcW w:w="1386" w:type="dxa"/>
            <w:noWrap/>
          </w:tcPr>
          <w:p w14:paraId="1901725D">
            <w:pPr>
              <w:spacing w:before="187" w:line="180" w:lineRule="auto"/>
              <w:ind w:left="386"/>
              <w:rPr>
                <w:rFonts w:eastAsia="Times New Roman"/>
                <w:color w:val="auto"/>
                <w:sz w:val="24"/>
              </w:rPr>
            </w:pPr>
            <w:r>
              <w:rPr>
                <w:rFonts w:eastAsia="Times New Roman"/>
                <w:color w:val="auto"/>
                <w:spacing w:val="-5"/>
                <w:sz w:val="24"/>
              </w:rPr>
              <w:t>1.1.4.5</w:t>
            </w:r>
          </w:p>
        </w:tc>
        <w:tc>
          <w:tcPr>
            <w:tcW w:w="6888" w:type="dxa"/>
            <w:noWrap/>
          </w:tcPr>
          <w:p w14:paraId="296F588C">
            <w:pPr>
              <w:spacing w:before="109" w:line="219" w:lineRule="auto"/>
              <w:ind w:left="114"/>
              <w:rPr>
                <w:rFonts w:ascii="宋体" w:hAnsi="宋体" w:cs="宋体"/>
                <w:color w:val="auto"/>
                <w:sz w:val="24"/>
              </w:rPr>
            </w:pPr>
            <w:r>
              <w:rPr>
                <w:rFonts w:ascii="宋体" w:hAnsi="宋体" w:cs="宋体"/>
                <w:color w:val="auto"/>
                <w:spacing w:val="-4"/>
                <w:sz w:val="24"/>
              </w:rPr>
              <w:t>缺陷责任期：自实际交工日期起计算</w:t>
            </w:r>
            <w:r>
              <w:rPr>
                <w:rFonts w:hint="eastAsia" w:ascii="宋体" w:hAnsi="宋体" w:cs="宋体"/>
                <w:color w:val="auto"/>
                <w:spacing w:val="-4"/>
                <w:sz w:val="24"/>
                <w:u w:val="single"/>
              </w:rPr>
              <w:t>1</w:t>
            </w:r>
            <w:r>
              <w:rPr>
                <w:rFonts w:ascii="宋体" w:hAnsi="宋体" w:cs="宋体"/>
                <w:color w:val="auto"/>
                <w:spacing w:val="-4"/>
                <w:sz w:val="24"/>
              </w:rPr>
              <w:t>年</w:t>
            </w:r>
            <w:r>
              <w:rPr>
                <w:color w:val="auto"/>
              </w:rPr>
              <w:fldChar w:fldCharType="begin"/>
            </w:r>
            <w:r>
              <w:rPr>
                <w:color w:val="auto"/>
              </w:rPr>
              <w:instrText xml:space="preserve"> HYPERLINK \l "bookmark240" </w:instrText>
            </w:r>
            <w:r>
              <w:rPr>
                <w:color w:val="auto"/>
              </w:rPr>
              <w:fldChar w:fldCharType="separate"/>
            </w:r>
            <w:r>
              <w:rPr>
                <w:rFonts w:ascii="宋体" w:hAnsi="宋体" w:cs="宋体"/>
                <w:color w:val="auto"/>
                <w:spacing w:val="-4"/>
                <w:position w:val="12"/>
                <w:sz w:val="24"/>
              </w:rPr>
              <w:t>①</w:t>
            </w:r>
            <w:r>
              <w:rPr>
                <w:rFonts w:ascii="宋体" w:hAnsi="宋体" w:cs="宋体"/>
                <w:color w:val="auto"/>
                <w:spacing w:val="-4"/>
                <w:position w:val="12"/>
                <w:sz w:val="24"/>
              </w:rPr>
              <w:fldChar w:fldCharType="end"/>
            </w:r>
          </w:p>
        </w:tc>
      </w:tr>
      <w:tr w14:paraId="7A122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74" w:type="dxa"/>
            <w:noWrap/>
          </w:tcPr>
          <w:p w14:paraId="0405B71C">
            <w:pPr>
              <w:spacing w:before="188" w:line="180" w:lineRule="auto"/>
              <w:ind w:left="327"/>
              <w:rPr>
                <w:rFonts w:eastAsia="Times New Roman"/>
                <w:color w:val="auto"/>
                <w:sz w:val="24"/>
              </w:rPr>
            </w:pPr>
            <w:r>
              <w:rPr>
                <w:rFonts w:eastAsia="Times New Roman"/>
                <w:color w:val="auto"/>
                <w:sz w:val="24"/>
              </w:rPr>
              <w:t>4</w:t>
            </w:r>
          </w:p>
        </w:tc>
        <w:tc>
          <w:tcPr>
            <w:tcW w:w="1386" w:type="dxa"/>
            <w:noWrap/>
          </w:tcPr>
          <w:p w14:paraId="56B5395D">
            <w:pPr>
              <w:spacing w:before="188" w:line="180" w:lineRule="auto"/>
              <w:ind w:left="477"/>
              <w:rPr>
                <w:rFonts w:eastAsia="Times New Roman"/>
                <w:color w:val="auto"/>
                <w:sz w:val="24"/>
              </w:rPr>
            </w:pPr>
            <w:r>
              <w:rPr>
                <w:rFonts w:eastAsia="Times New Roman"/>
                <w:color w:val="auto"/>
                <w:spacing w:val="-6"/>
                <w:sz w:val="24"/>
              </w:rPr>
              <w:t>1.5.1</w:t>
            </w:r>
          </w:p>
        </w:tc>
        <w:tc>
          <w:tcPr>
            <w:tcW w:w="6888" w:type="dxa"/>
            <w:noWrap/>
          </w:tcPr>
          <w:p w14:paraId="3D4D4EF3">
            <w:pPr>
              <w:spacing w:before="129" w:line="204" w:lineRule="auto"/>
              <w:ind w:left="115"/>
              <w:rPr>
                <w:rFonts w:ascii="宋体" w:hAnsi="宋体" w:cs="宋体"/>
                <w:color w:val="auto"/>
                <w:sz w:val="24"/>
              </w:rPr>
            </w:pPr>
            <w:r>
              <w:rPr>
                <w:rFonts w:ascii="宋体" w:hAnsi="宋体" w:cs="宋体"/>
                <w:color w:val="auto"/>
                <w:spacing w:val="-1"/>
                <w:sz w:val="24"/>
              </w:rPr>
              <w:t>提供图纸的期限：</w:t>
            </w:r>
            <w:r>
              <w:rPr>
                <w:rFonts w:hint="eastAsia" w:ascii="宋体" w:hAnsi="宋体" w:cs="宋体"/>
                <w:color w:val="auto"/>
                <w:spacing w:val="-1"/>
                <w:sz w:val="24"/>
                <w:u w:val="single"/>
              </w:rPr>
              <w:t xml:space="preserve">14 </w:t>
            </w:r>
            <w:r>
              <w:rPr>
                <w:rFonts w:ascii="宋体" w:hAnsi="宋体" w:cs="宋体"/>
                <w:color w:val="auto"/>
                <w:spacing w:val="-1"/>
                <w:sz w:val="24"/>
              </w:rPr>
              <w:t>天</w:t>
            </w:r>
          </w:p>
        </w:tc>
      </w:tr>
      <w:tr w14:paraId="403C5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6" w:hRule="atLeast"/>
        </w:trPr>
        <w:tc>
          <w:tcPr>
            <w:tcW w:w="774" w:type="dxa"/>
            <w:noWrap/>
          </w:tcPr>
          <w:p w14:paraId="4E3D3B57">
            <w:pPr>
              <w:pStyle w:val="280"/>
              <w:spacing w:line="259" w:lineRule="auto"/>
              <w:rPr>
                <w:color w:val="auto"/>
              </w:rPr>
            </w:pPr>
          </w:p>
          <w:p w14:paraId="6CD69838">
            <w:pPr>
              <w:pStyle w:val="280"/>
              <w:spacing w:line="259" w:lineRule="auto"/>
              <w:rPr>
                <w:color w:val="auto"/>
              </w:rPr>
            </w:pPr>
          </w:p>
          <w:p w14:paraId="4CC60C97">
            <w:pPr>
              <w:spacing w:before="69" w:line="185" w:lineRule="auto"/>
              <w:ind w:left="335"/>
              <w:rPr>
                <w:rFonts w:eastAsia="Times New Roman"/>
                <w:color w:val="auto"/>
                <w:sz w:val="24"/>
              </w:rPr>
            </w:pPr>
            <w:r>
              <w:rPr>
                <w:rFonts w:eastAsia="Times New Roman"/>
                <w:color w:val="auto"/>
                <w:sz w:val="24"/>
              </w:rPr>
              <w:t>5</w:t>
            </w:r>
          </w:p>
        </w:tc>
        <w:tc>
          <w:tcPr>
            <w:tcW w:w="1386" w:type="dxa"/>
            <w:noWrap/>
          </w:tcPr>
          <w:p w14:paraId="3F14656B">
            <w:pPr>
              <w:pStyle w:val="280"/>
              <w:spacing w:line="257" w:lineRule="auto"/>
              <w:rPr>
                <w:color w:val="auto"/>
              </w:rPr>
            </w:pPr>
          </w:p>
          <w:p w14:paraId="44832326">
            <w:pPr>
              <w:pStyle w:val="280"/>
              <w:spacing w:line="258" w:lineRule="auto"/>
              <w:rPr>
                <w:color w:val="auto"/>
              </w:rPr>
            </w:pPr>
          </w:p>
          <w:p w14:paraId="738AD132">
            <w:pPr>
              <w:spacing w:before="68" w:line="188" w:lineRule="auto"/>
              <w:ind w:left="477"/>
              <w:rPr>
                <w:rFonts w:eastAsia="Times New Roman"/>
                <w:color w:val="auto"/>
                <w:sz w:val="24"/>
              </w:rPr>
            </w:pPr>
            <w:r>
              <w:rPr>
                <w:rFonts w:eastAsia="Times New Roman"/>
                <w:color w:val="auto"/>
                <w:spacing w:val="-6"/>
                <w:sz w:val="24"/>
              </w:rPr>
              <w:t>1.5.3</w:t>
            </w:r>
          </w:p>
        </w:tc>
        <w:tc>
          <w:tcPr>
            <w:tcW w:w="6888" w:type="dxa"/>
            <w:noWrap/>
          </w:tcPr>
          <w:p w14:paraId="764BA8C6">
            <w:pPr>
              <w:spacing w:before="127" w:line="274" w:lineRule="auto"/>
              <w:ind w:left="115" w:right="105" w:firstLine="22"/>
              <w:rPr>
                <w:rFonts w:ascii="宋体" w:hAnsi="宋体" w:cs="宋体"/>
                <w:color w:val="auto"/>
                <w:sz w:val="24"/>
              </w:rPr>
            </w:pPr>
            <w:r>
              <w:rPr>
                <w:rFonts w:ascii="宋体" w:hAnsi="宋体" w:cs="宋体"/>
                <w:color w:val="auto"/>
                <w:spacing w:val="6"/>
                <w:sz w:val="24"/>
              </w:rPr>
              <w:t>图纸需要修改和补充的，应由咨询人取得发包人同</w:t>
            </w:r>
            <w:r>
              <w:rPr>
                <w:rFonts w:ascii="宋体" w:hAnsi="宋体" w:cs="宋体"/>
                <w:color w:val="auto"/>
                <w:spacing w:val="5"/>
                <w:sz w:val="24"/>
              </w:rPr>
              <w:t>意后，在该养护工程或养护工程相应部位施</w:t>
            </w:r>
            <w:r>
              <w:rPr>
                <w:rFonts w:ascii="宋体" w:hAnsi="宋体" w:cs="宋体"/>
                <w:color w:val="auto"/>
                <w:spacing w:val="6"/>
                <w:sz w:val="24"/>
              </w:rPr>
              <w:t>工前的</w:t>
            </w:r>
            <w:r>
              <w:rPr>
                <w:rFonts w:hint="eastAsia" w:ascii="宋体" w:hAnsi="宋体" w:cs="宋体"/>
                <w:color w:val="auto"/>
                <w:spacing w:val="6"/>
                <w:sz w:val="24"/>
                <w:u w:val="single"/>
              </w:rPr>
              <w:t>14</w:t>
            </w:r>
            <w:r>
              <w:rPr>
                <w:rFonts w:ascii="宋体" w:hAnsi="宋体" w:cs="宋体"/>
                <w:color w:val="auto"/>
                <w:spacing w:val="6"/>
                <w:sz w:val="24"/>
              </w:rPr>
              <w:t>天内签</w:t>
            </w:r>
            <w:r>
              <w:rPr>
                <w:rFonts w:ascii="宋体" w:hAnsi="宋体" w:cs="宋体"/>
                <w:color w:val="auto"/>
                <w:spacing w:val="5"/>
                <w:sz w:val="24"/>
              </w:rPr>
              <w:t>发图纸修改</w:t>
            </w:r>
            <w:bookmarkStart w:id="203" w:name="bookmark240"/>
            <w:bookmarkEnd w:id="203"/>
            <w:r>
              <w:rPr>
                <w:rFonts w:ascii="宋体" w:hAnsi="宋体" w:cs="宋体"/>
                <w:color w:val="auto"/>
                <w:spacing w:val="-3"/>
                <w:sz w:val="24"/>
              </w:rPr>
              <w:t>图给承包人</w:t>
            </w:r>
          </w:p>
        </w:tc>
      </w:tr>
    </w:tbl>
    <w:p w14:paraId="60752517">
      <w:pPr>
        <w:pStyle w:val="21"/>
        <w:spacing w:line="291" w:lineRule="auto"/>
        <w:rPr>
          <w:color w:val="auto"/>
        </w:rPr>
      </w:pPr>
    </w:p>
    <w:p w14:paraId="7883920E">
      <w:pPr>
        <w:pStyle w:val="21"/>
        <w:spacing w:line="291" w:lineRule="auto"/>
        <w:rPr>
          <w:color w:val="auto"/>
        </w:rPr>
      </w:pPr>
      <w:r>
        <w:rPr>
          <w:color w:val="auto"/>
        </w:rPr>
        <w:pict>
          <v:shape id="_x0000_s2054" o:spid="_x0000_s2054" o:spt="100" style="position:absolute;left:0pt;margin-left:5.6pt;margin-top:10.6pt;height:0pt;width:144pt;z-index:251668480;mso-width-relative:page;mso-height-relative:page;" filled="f" coordsize="2880,1" o:gfxdata="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GkCtIAAAAIAQAADwAAAAAAAAABACAAAAAiAAAAZHJzL2Rvd25yZXYueG1sUEsBAhQAFAAA&#10;AAgAh07iQPWFJNEuAgAAlwQAAA4AAAAAAAAAAQAgAAAAIQEAAGRycy9lMm9Eb2MueG1sUEsFBgAA&#10;AAAGAAYAWQEAAMEFAAAAAA==&#10;" path="m0,0l2880,0e">
            <v:path o:connecttype="segments"/>
            <v:fill on="f" focussize="0,0"/>
            <v:stroke weight="0pt" joinstyle="bevel" endcap="square"/>
            <v:imagedata o:title=""/>
            <o:lock v:ext="edit"/>
          </v:shape>
        </w:pict>
      </w:r>
    </w:p>
    <w:p w14:paraId="5D652D69">
      <w:pPr>
        <w:spacing w:before="63" w:line="226" w:lineRule="auto"/>
        <w:ind w:left="520"/>
        <w:rPr>
          <w:rFonts w:ascii="宋体" w:hAnsi="宋体" w:cs="宋体"/>
          <w:color w:val="auto"/>
          <w:sz w:val="19"/>
          <w:szCs w:val="19"/>
        </w:rPr>
      </w:pPr>
      <w:r>
        <w:rPr>
          <w:rFonts w:ascii="宋体" w:hAnsi="宋体" w:cs="宋体"/>
          <w:color w:val="auto"/>
          <w:spacing w:val="7"/>
          <w:sz w:val="19"/>
          <w:szCs w:val="19"/>
        </w:rPr>
        <w:t>① 养护工程缺陷责任期一般为</w:t>
      </w:r>
      <w:r>
        <w:rPr>
          <w:rFonts w:eastAsia="Times New Roman"/>
          <w:color w:val="auto"/>
          <w:spacing w:val="7"/>
          <w:sz w:val="19"/>
          <w:szCs w:val="19"/>
        </w:rPr>
        <w:t xml:space="preserve">6 </w:t>
      </w:r>
      <w:r>
        <w:rPr>
          <w:rFonts w:ascii="宋体" w:hAnsi="宋体" w:cs="宋体"/>
          <w:color w:val="auto"/>
          <w:spacing w:val="7"/>
          <w:sz w:val="19"/>
          <w:szCs w:val="19"/>
        </w:rPr>
        <w:t>个月，最长不超过</w:t>
      </w:r>
      <w:r>
        <w:rPr>
          <w:rFonts w:eastAsia="Times New Roman"/>
          <w:color w:val="auto"/>
          <w:spacing w:val="7"/>
          <w:sz w:val="19"/>
          <w:szCs w:val="19"/>
        </w:rPr>
        <w:t xml:space="preserve">12 </w:t>
      </w:r>
      <w:r>
        <w:rPr>
          <w:rFonts w:ascii="宋体" w:hAnsi="宋体" w:cs="宋体"/>
          <w:color w:val="auto"/>
          <w:spacing w:val="7"/>
          <w:sz w:val="19"/>
          <w:szCs w:val="19"/>
        </w:rPr>
        <w:t>个月。</w:t>
      </w:r>
    </w:p>
    <w:p w14:paraId="45CA06ED">
      <w:pPr>
        <w:spacing w:line="226" w:lineRule="auto"/>
        <w:rPr>
          <w:rFonts w:ascii="宋体" w:hAnsi="宋体" w:cs="宋体"/>
          <w:color w:val="auto"/>
          <w:sz w:val="19"/>
          <w:szCs w:val="19"/>
        </w:rPr>
        <w:sectPr>
          <w:footerReference r:id="rId19" w:type="default"/>
          <w:pgSz w:w="11907" w:h="16840"/>
          <w:pgMar w:top="1431" w:right="1322" w:bottom="1192" w:left="1531" w:header="0" w:footer="1017" w:gutter="0"/>
          <w:cols w:space="720" w:num="1"/>
        </w:sectPr>
      </w:pPr>
    </w:p>
    <w:p w14:paraId="6C9FC315">
      <w:pPr>
        <w:spacing w:line="156" w:lineRule="exact"/>
        <w:rPr>
          <w:color w:val="auto"/>
        </w:rPr>
      </w:pPr>
    </w:p>
    <w:tbl>
      <w:tblPr>
        <w:tblStyle w:val="282"/>
        <w:tblW w:w="90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1386"/>
        <w:gridCol w:w="6888"/>
      </w:tblGrid>
      <w:tr w14:paraId="151AF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74" w:type="dxa"/>
            <w:noWrap/>
          </w:tcPr>
          <w:p w14:paraId="0B5DB0D8">
            <w:pPr>
              <w:spacing w:before="128" w:line="208" w:lineRule="auto"/>
              <w:ind w:left="152"/>
              <w:rPr>
                <w:rFonts w:ascii="宋体" w:hAnsi="宋体" w:cs="宋体"/>
                <w:color w:val="auto"/>
                <w:sz w:val="24"/>
              </w:rPr>
            </w:pPr>
            <w:bookmarkStart w:id="204" w:name="bookmark241"/>
            <w:bookmarkEnd w:id="204"/>
            <w:r>
              <w:rPr>
                <w:rFonts w:ascii="宋体" w:hAnsi="宋体" w:cs="宋体"/>
                <w:color w:val="auto"/>
                <w:spacing w:val="-5"/>
                <w:sz w:val="24"/>
              </w:rPr>
              <w:t>序号</w:t>
            </w:r>
          </w:p>
        </w:tc>
        <w:tc>
          <w:tcPr>
            <w:tcW w:w="1386" w:type="dxa"/>
            <w:noWrap/>
          </w:tcPr>
          <w:p w14:paraId="2E6C4FF8">
            <w:pPr>
              <w:spacing w:before="128" w:line="208" w:lineRule="auto"/>
              <w:ind w:left="341"/>
              <w:rPr>
                <w:rFonts w:ascii="宋体" w:hAnsi="宋体" w:cs="宋体"/>
                <w:color w:val="auto"/>
                <w:sz w:val="24"/>
              </w:rPr>
            </w:pPr>
            <w:r>
              <w:rPr>
                <w:rFonts w:ascii="宋体" w:hAnsi="宋体" w:cs="宋体"/>
                <w:color w:val="auto"/>
                <w:spacing w:val="-4"/>
                <w:sz w:val="24"/>
              </w:rPr>
              <w:t>条目号</w:t>
            </w:r>
          </w:p>
        </w:tc>
        <w:tc>
          <w:tcPr>
            <w:tcW w:w="6888" w:type="dxa"/>
            <w:noWrap/>
          </w:tcPr>
          <w:p w14:paraId="16C7E9F9">
            <w:pPr>
              <w:spacing w:before="128" w:line="208" w:lineRule="auto"/>
              <w:ind w:left="2848"/>
              <w:rPr>
                <w:rFonts w:ascii="宋体" w:hAnsi="宋体" w:cs="宋体"/>
                <w:color w:val="auto"/>
                <w:sz w:val="24"/>
              </w:rPr>
            </w:pPr>
            <w:r>
              <w:rPr>
                <w:rFonts w:ascii="宋体" w:hAnsi="宋体" w:cs="宋体"/>
                <w:color w:val="auto"/>
                <w:spacing w:val="-2"/>
                <w:sz w:val="24"/>
              </w:rPr>
              <w:t>信息或数据</w:t>
            </w:r>
          </w:p>
        </w:tc>
      </w:tr>
      <w:tr w14:paraId="53497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74" w:type="dxa"/>
            <w:noWrap/>
          </w:tcPr>
          <w:p w14:paraId="61DD8B99">
            <w:pPr>
              <w:pStyle w:val="280"/>
              <w:spacing w:line="314" w:lineRule="auto"/>
              <w:rPr>
                <w:color w:val="auto"/>
              </w:rPr>
            </w:pPr>
          </w:p>
          <w:p w14:paraId="72D0F09C">
            <w:pPr>
              <w:spacing w:before="69" w:line="188" w:lineRule="auto"/>
              <w:ind w:left="334"/>
              <w:rPr>
                <w:rFonts w:eastAsia="Times New Roman"/>
                <w:color w:val="auto"/>
                <w:sz w:val="24"/>
              </w:rPr>
            </w:pPr>
            <w:r>
              <w:rPr>
                <w:rFonts w:eastAsia="Times New Roman"/>
                <w:color w:val="auto"/>
                <w:sz w:val="24"/>
              </w:rPr>
              <w:t>6</w:t>
            </w:r>
          </w:p>
        </w:tc>
        <w:tc>
          <w:tcPr>
            <w:tcW w:w="1386" w:type="dxa"/>
            <w:noWrap/>
          </w:tcPr>
          <w:p w14:paraId="30850066">
            <w:pPr>
              <w:pStyle w:val="280"/>
              <w:spacing w:line="314" w:lineRule="auto"/>
              <w:rPr>
                <w:color w:val="auto"/>
              </w:rPr>
            </w:pPr>
          </w:p>
          <w:p w14:paraId="335A99F2">
            <w:pPr>
              <w:spacing w:before="69" w:line="188" w:lineRule="auto"/>
              <w:ind w:left="453"/>
              <w:rPr>
                <w:rFonts w:eastAsia="Times New Roman"/>
                <w:color w:val="auto"/>
                <w:sz w:val="24"/>
              </w:rPr>
            </w:pPr>
            <w:r>
              <w:rPr>
                <w:rFonts w:eastAsia="Times New Roman"/>
                <w:color w:val="auto"/>
                <w:spacing w:val="-1"/>
                <w:sz w:val="24"/>
              </w:rPr>
              <w:t>4.6.3</w:t>
            </w:r>
          </w:p>
        </w:tc>
        <w:tc>
          <w:tcPr>
            <w:tcW w:w="6888" w:type="dxa"/>
            <w:noWrap/>
          </w:tcPr>
          <w:p w14:paraId="3F4E44B2">
            <w:pPr>
              <w:spacing w:before="124" w:line="258" w:lineRule="auto"/>
              <w:ind w:left="118" w:right="105" w:hanging="4"/>
              <w:rPr>
                <w:rFonts w:ascii="宋体" w:hAnsi="宋体" w:cs="宋体"/>
                <w:color w:val="auto"/>
                <w:sz w:val="24"/>
              </w:rPr>
            </w:pPr>
            <w:r>
              <w:rPr>
                <w:rFonts w:ascii="宋体" w:hAnsi="宋体" w:cs="宋体"/>
                <w:color w:val="auto"/>
                <w:spacing w:val="7"/>
                <w:sz w:val="24"/>
              </w:rPr>
              <w:t>承包人安排在养护作业场地的主要管理人员</w:t>
            </w:r>
            <w:r>
              <w:rPr>
                <w:rFonts w:ascii="宋体" w:hAnsi="宋体" w:cs="宋体"/>
                <w:color w:val="auto"/>
                <w:spacing w:val="6"/>
                <w:sz w:val="24"/>
              </w:rPr>
              <w:t>、技术骨干和专职</w:t>
            </w:r>
            <w:r>
              <w:rPr>
                <w:rFonts w:ascii="宋体" w:hAnsi="宋体" w:cs="宋体"/>
                <w:color w:val="auto"/>
                <w:spacing w:val="-1"/>
                <w:sz w:val="24"/>
              </w:rPr>
              <w:t>安全生产管理人员每月在养护作业场地时间不得少于</w:t>
            </w:r>
            <w:r>
              <w:rPr>
                <w:rFonts w:hint="eastAsia" w:ascii="宋体" w:hAnsi="宋体" w:cs="宋体"/>
                <w:color w:val="auto"/>
                <w:spacing w:val="-1"/>
                <w:sz w:val="24"/>
                <w:u w:val="single"/>
              </w:rPr>
              <w:t>22</w:t>
            </w:r>
            <w:r>
              <w:rPr>
                <w:rFonts w:ascii="宋体" w:hAnsi="宋体" w:cs="宋体"/>
                <w:color w:val="auto"/>
                <w:spacing w:val="-1"/>
                <w:sz w:val="24"/>
              </w:rPr>
              <w:t>天</w:t>
            </w:r>
          </w:p>
        </w:tc>
      </w:tr>
      <w:tr w14:paraId="35AF9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74" w:type="dxa"/>
            <w:noWrap/>
          </w:tcPr>
          <w:p w14:paraId="74B46132">
            <w:pPr>
              <w:pStyle w:val="280"/>
              <w:spacing w:line="316" w:lineRule="auto"/>
              <w:rPr>
                <w:color w:val="auto"/>
                <w:lang w:eastAsia="zh-CN"/>
              </w:rPr>
            </w:pPr>
          </w:p>
          <w:p w14:paraId="13EECE96">
            <w:pPr>
              <w:spacing w:before="69" w:line="185" w:lineRule="auto"/>
              <w:ind w:left="332"/>
              <w:rPr>
                <w:rFonts w:eastAsia="Times New Roman"/>
                <w:color w:val="auto"/>
                <w:sz w:val="24"/>
              </w:rPr>
            </w:pPr>
            <w:r>
              <w:rPr>
                <w:rFonts w:eastAsia="Times New Roman"/>
                <w:color w:val="auto"/>
                <w:sz w:val="24"/>
              </w:rPr>
              <w:t>7</w:t>
            </w:r>
          </w:p>
        </w:tc>
        <w:tc>
          <w:tcPr>
            <w:tcW w:w="1386" w:type="dxa"/>
            <w:noWrap/>
          </w:tcPr>
          <w:p w14:paraId="5ED767E8">
            <w:pPr>
              <w:pStyle w:val="280"/>
              <w:spacing w:line="313" w:lineRule="auto"/>
              <w:rPr>
                <w:color w:val="auto"/>
              </w:rPr>
            </w:pPr>
          </w:p>
          <w:p w14:paraId="1BB30915">
            <w:pPr>
              <w:spacing w:before="69" w:line="188" w:lineRule="auto"/>
              <w:ind w:left="550"/>
              <w:rPr>
                <w:rFonts w:eastAsia="Times New Roman"/>
                <w:color w:val="auto"/>
                <w:sz w:val="24"/>
              </w:rPr>
            </w:pPr>
            <w:r>
              <w:rPr>
                <w:rFonts w:eastAsia="Times New Roman"/>
                <w:color w:val="auto"/>
                <w:spacing w:val="-4"/>
                <w:sz w:val="24"/>
              </w:rPr>
              <w:t>5.2</w:t>
            </w:r>
          </w:p>
        </w:tc>
        <w:tc>
          <w:tcPr>
            <w:tcW w:w="6888" w:type="dxa"/>
            <w:noWrap/>
          </w:tcPr>
          <w:p w14:paraId="3C5E8B65">
            <w:pPr>
              <w:spacing w:before="126" w:line="219" w:lineRule="auto"/>
              <w:ind w:left="118"/>
              <w:rPr>
                <w:rFonts w:ascii="宋体" w:hAnsi="宋体" w:cs="宋体"/>
                <w:color w:val="auto"/>
                <w:sz w:val="24"/>
              </w:rPr>
            </w:pPr>
            <w:r>
              <w:rPr>
                <w:rFonts w:ascii="宋体" w:hAnsi="宋体" w:cs="宋体"/>
                <w:color w:val="auto"/>
                <w:spacing w:val="-1"/>
                <w:sz w:val="24"/>
              </w:rPr>
              <w:t>发包人是否提供材料或工程设备：</w:t>
            </w:r>
            <w:r>
              <w:rPr>
                <w:rFonts w:ascii="宋体" w:hAnsi="宋体" w:cs="宋体"/>
                <w:color w:val="auto"/>
                <w:spacing w:val="-1"/>
                <w:sz w:val="24"/>
                <w:u w:val="single"/>
              </w:rPr>
              <w:t>否</w:t>
            </w:r>
          </w:p>
          <w:p w14:paraId="37AF7A24">
            <w:pPr>
              <w:spacing w:before="113" w:line="208" w:lineRule="auto"/>
              <w:ind w:left="118"/>
              <w:rPr>
                <w:rFonts w:ascii="宋体" w:hAnsi="宋体" w:cs="宋体"/>
                <w:color w:val="auto"/>
                <w:sz w:val="24"/>
              </w:rPr>
            </w:pPr>
            <w:r>
              <w:rPr>
                <w:rFonts w:ascii="宋体" w:hAnsi="宋体" w:cs="宋体"/>
                <w:color w:val="auto"/>
                <w:spacing w:val="-2"/>
                <w:sz w:val="24"/>
              </w:rPr>
              <w:t>如发包人负责提供部分材料或工程设备，相关规定如下：</w:t>
            </w:r>
            <w:r>
              <w:rPr>
                <w:rFonts w:hint="eastAsia" w:ascii="宋体" w:hAnsi="宋体" w:cs="宋体"/>
                <w:color w:val="auto"/>
                <w:spacing w:val="-2"/>
                <w:sz w:val="24"/>
                <w:u w:val="single"/>
              </w:rPr>
              <w:t>/</w:t>
            </w:r>
          </w:p>
        </w:tc>
      </w:tr>
      <w:tr w14:paraId="2A062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74" w:type="dxa"/>
            <w:noWrap/>
          </w:tcPr>
          <w:p w14:paraId="133E074B">
            <w:pPr>
              <w:pStyle w:val="280"/>
              <w:spacing w:line="256" w:lineRule="auto"/>
              <w:rPr>
                <w:color w:val="auto"/>
                <w:lang w:eastAsia="zh-CN"/>
              </w:rPr>
            </w:pPr>
          </w:p>
          <w:p w14:paraId="1D426DA0">
            <w:pPr>
              <w:pStyle w:val="280"/>
              <w:spacing w:line="256" w:lineRule="auto"/>
              <w:rPr>
                <w:color w:val="auto"/>
                <w:lang w:eastAsia="zh-CN"/>
              </w:rPr>
            </w:pPr>
          </w:p>
          <w:p w14:paraId="3A63C87E">
            <w:pPr>
              <w:spacing w:before="69" w:line="188" w:lineRule="auto"/>
              <w:ind w:left="338"/>
              <w:rPr>
                <w:rFonts w:eastAsia="Times New Roman"/>
                <w:color w:val="auto"/>
                <w:sz w:val="24"/>
              </w:rPr>
            </w:pPr>
            <w:r>
              <w:rPr>
                <w:rFonts w:eastAsia="Times New Roman"/>
                <w:color w:val="auto"/>
                <w:sz w:val="24"/>
              </w:rPr>
              <w:t>8</w:t>
            </w:r>
          </w:p>
        </w:tc>
        <w:tc>
          <w:tcPr>
            <w:tcW w:w="1386" w:type="dxa"/>
            <w:noWrap/>
          </w:tcPr>
          <w:p w14:paraId="36C1C540">
            <w:pPr>
              <w:pStyle w:val="280"/>
              <w:spacing w:line="256" w:lineRule="auto"/>
              <w:rPr>
                <w:color w:val="auto"/>
              </w:rPr>
            </w:pPr>
          </w:p>
          <w:p w14:paraId="35B9E60F">
            <w:pPr>
              <w:pStyle w:val="280"/>
              <w:spacing w:line="256" w:lineRule="auto"/>
              <w:rPr>
                <w:color w:val="auto"/>
              </w:rPr>
            </w:pPr>
          </w:p>
          <w:p w14:paraId="66EDFB3C">
            <w:pPr>
              <w:spacing w:before="69" w:line="188" w:lineRule="auto"/>
              <w:ind w:left="548"/>
              <w:rPr>
                <w:rFonts w:eastAsia="Times New Roman"/>
                <w:color w:val="auto"/>
                <w:sz w:val="24"/>
              </w:rPr>
            </w:pPr>
            <w:r>
              <w:rPr>
                <w:rFonts w:eastAsia="Times New Roman"/>
                <w:color w:val="auto"/>
                <w:spacing w:val="-4"/>
                <w:sz w:val="24"/>
              </w:rPr>
              <w:t>6.2</w:t>
            </w:r>
          </w:p>
        </w:tc>
        <w:tc>
          <w:tcPr>
            <w:tcW w:w="6888" w:type="dxa"/>
            <w:noWrap/>
          </w:tcPr>
          <w:p w14:paraId="4EF0E511">
            <w:pPr>
              <w:spacing w:before="124" w:line="219" w:lineRule="auto"/>
              <w:ind w:left="118"/>
              <w:rPr>
                <w:rFonts w:ascii="宋体" w:hAnsi="宋体" w:cs="宋体"/>
                <w:color w:val="auto"/>
                <w:sz w:val="24"/>
              </w:rPr>
            </w:pPr>
            <w:r>
              <w:rPr>
                <w:rFonts w:ascii="宋体" w:hAnsi="宋体" w:cs="宋体"/>
                <w:color w:val="auto"/>
                <w:spacing w:val="-1"/>
                <w:sz w:val="24"/>
              </w:rPr>
              <w:t>发包人是否提供养护作业设备和临时设施：</w:t>
            </w:r>
            <w:r>
              <w:rPr>
                <w:rFonts w:ascii="宋体" w:hAnsi="宋体" w:cs="宋体"/>
                <w:color w:val="auto"/>
                <w:spacing w:val="-1"/>
                <w:sz w:val="24"/>
                <w:u w:val="single"/>
              </w:rPr>
              <w:t xml:space="preserve"> 否</w:t>
            </w:r>
          </w:p>
          <w:p w14:paraId="3C224C18">
            <w:pPr>
              <w:spacing w:before="116" w:line="257" w:lineRule="auto"/>
              <w:ind w:left="121" w:right="105" w:hanging="3"/>
              <w:rPr>
                <w:rFonts w:ascii="宋体" w:hAnsi="宋体" w:cs="宋体"/>
                <w:color w:val="auto"/>
                <w:sz w:val="24"/>
              </w:rPr>
            </w:pPr>
            <w:r>
              <w:rPr>
                <w:rFonts w:ascii="宋体" w:hAnsi="宋体" w:cs="宋体"/>
                <w:color w:val="auto"/>
                <w:spacing w:val="6"/>
                <w:sz w:val="24"/>
              </w:rPr>
              <w:t>如发包人负责提供部分养护作业设备和临时设施，相关规定如</w:t>
            </w:r>
            <w:r>
              <w:rPr>
                <w:rFonts w:ascii="宋体" w:hAnsi="宋体" w:cs="宋体"/>
                <w:color w:val="auto"/>
                <w:spacing w:val="-9"/>
                <w:sz w:val="24"/>
              </w:rPr>
              <w:t>下：</w:t>
            </w:r>
            <w:r>
              <w:rPr>
                <w:rFonts w:hint="eastAsia" w:ascii="宋体" w:hAnsi="宋体" w:cs="宋体"/>
                <w:color w:val="auto"/>
                <w:sz w:val="24"/>
                <w:u w:val="single"/>
              </w:rPr>
              <w:t>/</w:t>
            </w:r>
          </w:p>
        </w:tc>
      </w:tr>
      <w:tr w14:paraId="1394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74" w:type="dxa"/>
            <w:noWrap/>
          </w:tcPr>
          <w:p w14:paraId="320C1E59">
            <w:pPr>
              <w:pStyle w:val="280"/>
              <w:spacing w:line="256" w:lineRule="auto"/>
              <w:rPr>
                <w:color w:val="auto"/>
                <w:lang w:eastAsia="zh-CN"/>
              </w:rPr>
            </w:pPr>
          </w:p>
          <w:p w14:paraId="2CF33F94">
            <w:pPr>
              <w:pStyle w:val="280"/>
              <w:spacing w:line="257" w:lineRule="auto"/>
              <w:rPr>
                <w:color w:val="auto"/>
                <w:lang w:eastAsia="zh-CN"/>
              </w:rPr>
            </w:pPr>
          </w:p>
          <w:p w14:paraId="52C313E9">
            <w:pPr>
              <w:spacing w:before="69" w:line="188" w:lineRule="auto"/>
              <w:ind w:left="333"/>
              <w:rPr>
                <w:rFonts w:eastAsia="Times New Roman"/>
                <w:color w:val="auto"/>
                <w:sz w:val="24"/>
              </w:rPr>
            </w:pPr>
            <w:r>
              <w:rPr>
                <w:rFonts w:eastAsia="Times New Roman"/>
                <w:color w:val="auto"/>
                <w:sz w:val="24"/>
              </w:rPr>
              <w:t>9</w:t>
            </w:r>
          </w:p>
        </w:tc>
        <w:tc>
          <w:tcPr>
            <w:tcW w:w="1386" w:type="dxa"/>
            <w:noWrap/>
          </w:tcPr>
          <w:p w14:paraId="52F01604">
            <w:pPr>
              <w:pStyle w:val="280"/>
              <w:spacing w:line="256" w:lineRule="auto"/>
              <w:rPr>
                <w:color w:val="auto"/>
              </w:rPr>
            </w:pPr>
          </w:p>
          <w:p w14:paraId="2EC013C2">
            <w:pPr>
              <w:pStyle w:val="280"/>
              <w:spacing w:line="257" w:lineRule="auto"/>
              <w:rPr>
                <w:color w:val="auto"/>
              </w:rPr>
            </w:pPr>
          </w:p>
          <w:p w14:paraId="25C11B2F">
            <w:pPr>
              <w:spacing w:before="69" w:line="188" w:lineRule="auto"/>
              <w:ind w:left="464"/>
              <w:rPr>
                <w:rFonts w:eastAsia="Times New Roman"/>
                <w:color w:val="auto"/>
                <w:sz w:val="24"/>
              </w:rPr>
            </w:pPr>
            <w:r>
              <w:rPr>
                <w:rFonts w:eastAsia="Times New Roman"/>
                <w:color w:val="auto"/>
                <w:spacing w:val="-3"/>
                <w:sz w:val="24"/>
              </w:rPr>
              <w:t>8.1.1</w:t>
            </w:r>
          </w:p>
        </w:tc>
        <w:tc>
          <w:tcPr>
            <w:tcW w:w="6888" w:type="dxa"/>
            <w:noWrap/>
          </w:tcPr>
          <w:p w14:paraId="278F5D5B">
            <w:pPr>
              <w:spacing w:before="126" w:line="308" w:lineRule="auto"/>
              <w:ind w:left="130" w:right="105" w:hanging="12"/>
              <w:rPr>
                <w:rFonts w:ascii="宋体" w:hAnsi="宋体" w:cs="宋体"/>
                <w:color w:val="auto"/>
                <w:sz w:val="24"/>
              </w:rPr>
            </w:pPr>
            <w:r>
              <w:rPr>
                <w:rFonts w:ascii="宋体" w:hAnsi="宋体" w:cs="宋体"/>
                <w:color w:val="auto"/>
                <w:spacing w:val="16"/>
                <w:sz w:val="24"/>
              </w:rPr>
              <w:t>发包人提供测量基准点、基准线和水准点及其书面资料的期</w:t>
            </w:r>
            <w:r>
              <w:rPr>
                <w:rFonts w:ascii="宋体" w:hAnsi="宋体" w:cs="宋体"/>
                <w:color w:val="auto"/>
                <w:spacing w:val="-14"/>
                <w:sz w:val="24"/>
              </w:rPr>
              <w:t>限：</w:t>
            </w:r>
            <w:r>
              <w:rPr>
                <w:rFonts w:hint="eastAsia" w:ascii="宋体" w:hAnsi="宋体" w:cs="宋体"/>
                <w:color w:val="auto"/>
                <w:spacing w:val="-14"/>
                <w:sz w:val="24"/>
                <w:u w:val="single"/>
              </w:rPr>
              <w:t>承包人接到开工通知书后14天内</w:t>
            </w:r>
          </w:p>
          <w:p w14:paraId="6DD49AF8">
            <w:pPr>
              <w:spacing w:before="1" w:line="204" w:lineRule="auto"/>
              <w:ind w:left="114"/>
              <w:rPr>
                <w:rFonts w:ascii="宋体" w:hAnsi="宋体" w:cs="宋体"/>
                <w:color w:val="auto"/>
                <w:sz w:val="24"/>
              </w:rPr>
            </w:pPr>
            <w:r>
              <w:rPr>
                <w:rFonts w:ascii="宋体" w:hAnsi="宋体" w:cs="宋体"/>
                <w:color w:val="auto"/>
                <w:spacing w:val="-2"/>
                <w:sz w:val="24"/>
              </w:rPr>
              <w:t>承包人将施工控制网资料报送咨询人审批的期限：</w:t>
            </w:r>
            <w:r>
              <w:rPr>
                <w:rFonts w:ascii="宋体" w:hAnsi="宋体" w:cs="宋体"/>
                <w:color w:val="auto"/>
                <w:spacing w:val="-2"/>
                <w:sz w:val="24"/>
                <w:u w:val="single"/>
              </w:rPr>
              <w:t>发出开工通知后7天</w:t>
            </w:r>
          </w:p>
        </w:tc>
      </w:tr>
      <w:tr w14:paraId="49FC3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74" w:type="dxa"/>
            <w:noWrap/>
          </w:tcPr>
          <w:p w14:paraId="75611EEF">
            <w:pPr>
              <w:spacing w:before="186" w:line="181" w:lineRule="auto"/>
              <w:ind w:left="291"/>
              <w:rPr>
                <w:rFonts w:eastAsia="Times New Roman"/>
                <w:color w:val="auto"/>
                <w:sz w:val="24"/>
              </w:rPr>
            </w:pPr>
            <w:r>
              <w:rPr>
                <w:rFonts w:eastAsia="Times New Roman"/>
                <w:color w:val="auto"/>
                <w:spacing w:val="-15"/>
                <w:sz w:val="24"/>
              </w:rPr>
              <w:t>10</w:t>
            </w:r>
          </w:p>
        </w:tc>
        <w:tc>
          <w:tcPr>
            <w:tcW w:w="1386" w:type="dxa"/>
            <w:noWrap/>
          </w:tcPr>
          <w:p w14:paraId="4EF5E959">
            <w:pPr>
              <w:spacing w:before="186" w:line="181" w:lineRule="auto"/>
              <w:ind w:left="459"/>
              <w:rPr>
                <w:rFonts w:eastAsia="Times New Roman"/>
                <w:color w:val="auto"/>
                <w:sz w:val="24"/>
              </w:rPr>
            </w:pPr>
            <w:r>
              <w:rPr>
                <w:rFonts w:eastAsia="Times New Roman"/>
                <w:color w:val="auto"/>
                <w:spacing w:val="-2"/>
                <w:sz w:val="24"/>
              </w:rPr>
              <w:t>9.2.5</w:t>
            </w:r>
          </w:p>
        </w:tc>
        <w:tc>
          <w:tcPr>
            <w:tcW w:w="6888" w:type="dxa"/>
            <w:noWrap/>
          </w:tcPr>
          <w:p w14:paraId="5D4B8F03">
            <w:pPr>
              <w:spacing w:before="110" w:line="219" w:lineRule="auto"/>
              <w:ind w:left="119"/>
              <w:rPr>
                <w:rFonts w:ascii="宋体" w:hAnsi="宋体" w:cs="宋体"/>
                <w:color w:val="auto"/>
                <w:sz w:val="12"/>
                <w:szCs w:val="12"/>
              </w:rPr>
            </w:pPr>
            <w:r>
              <w:rPr>
                <w:rFonts w:ascii="宋体" w:hAnsi="宋体" w:cs="宋体"/>
                <w:color w:val="auto"/>
                <w:spacing w:val="-1"/>
                <w:sz w:val="24"/>
              </w:rPr>
              <w:t>安全生产费用按最高投标限价的</w:t>
            </w:r>
            <w:r>
              <w:rPr>
                <w:rFonts w:hint="eastAsia" w:ascii="宋体" w:hAnsi="宋体" w:cs="宋体"/>
                <w:color w:val="auto"/>
                <w:spacing w:val="-1"/>
                <w:sz w:val="24"/>
                <w:u w:val="single"/>
              </w:rPr>
              <w:t>1.5</w:t>
            </w:r>
            <w:r>
              <w:rPr>
                <w:rFonts w:eastAsia="Times New Roman"/>
                <w:color w:val="auto"/>
                <w:spacing w:val="-1"/>
                <w:sz w:val="24"/>
              </w:rPr>
              <w:t>%</w:t>
            </w:r>
            <w:r>
              <w:rPr>
                <w:rFonts w:ascii="宋体" w:hAnsi="宋体" w:cs="宋体"/>
                <w:color w:val="auto"/>
                <w:spacing w:val="-2"/>
                <w:sz w:val="24"/>
              </w:rPr>
              <w:t>计取</w:t>
            </w:r>
            <w:r>
              <w:rPr>
                <w:color w:val="auto"/>
              </w:rPr>
              <w:fldChar w:fldCharType="begin"/>
            </w:r>
            <w:r>
              <w:rPr>
                <w:color w:val="auto"/>
              </w:rPr>
              <w:instrText xml:space="preserve"> HYPERLINK \l "bookmark242" </w:instrText>
            </w:r>
            <w:r>
              <w:rPr>
                <w:color w:val="auto"/>
              </w:rPr>
              <w:fldChar w:fldCharType="separate"/>
            </w:r>
            <w:r>
              <w:rPr>
                <w:rFonts w:ascii="宋体" w:hAnsi="宋体" w:cs="宋体"/>
                <w:color w:val="auto"/>
                <w:spacing w:val="-2"/>
                <w:position w:val="11"/>
                <w:sz w:val="12"/>
                <w:szCs w:val="12"/>
              </w:rPr>
              <w:t>①</w:t>
            </w:r>
            <w:r>
              <w:rPr>
                <w:rFonts w:ascii="宋体" w:hAnsi="宋体" w:cs="宋体"/>
                <w:color w:val="auto"/>
                <w:spacing w:val="-2"/>
                <w:position w:val="11"/>
                <w:sz w:val="12"/>
                <w:szCs w:val="12"/>
              </w:rPr>
              <w:fldChar w:fldCharType="end"/>
            </w:r>
          </w:p>
        </w:tc>
      </w:tr>
      <w:tr w14:paraId="50274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74" w:type="dxa"/>
            <w:noWrap/>
          </w:tcPr>
          <w:p w14:paraId="14F76A7D">
            <w:pPr>
              <w:spacing w:before="185" w:line="182" w:lineRule="auto"/>
              <w:ind w:left="296"/>
              <w:rPr>
                <w:rFonts w:eastAsia="Times New Roman"/>
                <w:color w:val="auto"/>
                <w:sz w:val="24"/>
              </w:rPr>
            </w:pPr>
            <w:r>
              <w:rPr>
                <w:rFonts w:eastAsia="Times New Roman"/>
                <w:color w:val="auto"/>
                <w:spacing w:val="-15"/>
                <w:sz w:val="24"/>
              </w:rPr>
              <w:t>11</w:t>
            </w:r>
          </w:p>
        </w:tc>
        <w:tc>
          <w:tcPr>
            <w:tcW w:w="1386" w:type="dxa"/>
            <w:noWrap/>
          </w:tcPr>
          <w:p w14:paraId="3CEC8BEA">
            <w:pPr>
              <w:spacing w:before="185" w:line="182" w:lineRule="auto"/>
              <w:ind w:left="511"/>
              <w:rPr>
                <w:rFonts w:eastAsia="Times New Roman"/>
                <w:color w:val="auto"/>
                <w:sz w:val="24"/>
              </w:rPr>
            </w:pPr>
            <w:r>
              <w:rPr>
                <w:rFonts w:eastAsia="Times New Roman"/>
                <w:color w:val="auto"/>
                <w:spacing w:val="-10"/>
                <w:sz w:val="24"/>
              </w:rPr>
              <w:t>11.5</w:t>
            </w:r>
          </w:p>
        </w:tc>
        <w:tc>
          <w:tcPr>
            <w:tcW w:w="6888" w:type="dxa"/>
            <w:noWrap/>
          </w:tcPr>
          <w:p w14:paraId="1914281C">
            <w:pPr>
              <w:spacing w:before="127" w:line="206" w:lineRule="auto"/>
              <w:ind w:left="112"/>
              <w:rPr>
                <w:rFonts w:ascii="宋体" w:hAnsi="宋体" w:cs="宋体"/>
                <w:color w:val="auto"/>
                <w:sz w:val="24"/>
              </w:rPr>
            </w:pPr>
            <w:r>
              <w:rPr>
                <w:rFonts w:ascii="宋体" w:hAnsi="宋体" w:cs="宋体"/>
                <w:color w:val="auto"/>
                <w:spacing w:val="-2"/>
                <w:sz w:val="24"/>
              </w:rPr>
              <w:t>逾期交工违约金：</w:t>
            </w:r>
            <w:r>
              <w:rPr>
                <w:rFonts w:hint="eastAsia" w:ascii="宋体" w:hAnsi="宋体" w:cs="宋体"/>
                <w:color w:val="auto"/>
                <w:spacing w:val="-2"/>
                <w:sz w:val="24"/>
                <w:u w:val="single"/>
              </w:rPr>
              <w:t>5000</w:t>
            </w:r>
            <w:r>
              <w:rPr>
                <w:rFonts w:ascii="宋体" w:hAnsi="宋体" w:cs="宋体"/>
                <w:color w:val="auto"/>
                <w:spacing w:val="-2"/>
                <w:sz w:val="24"/>
              </w:rPr>
              <w:t>元</w:t>
            </w:r>
            <w:r>
              <w:rPr>
                <w:rFonts w:eastAsia="Times New Roman"/>
                <w:color w:val="auto"/>
                <w:spacing w:val="-2"/>
                <w:sz w:val="24"/>
              </w:rPr>
              <w:t>/</w:t>
            </w:r>
            <w:r>
              <w:rPr>
                <w:rFonts w:ascii="宋体" w:hAnsi="宋体" w:cs="宋体"/>
                <w:color w:val="auto"/>
                <w:spacing w:val="-2"/>
                <w:sz w:val="24"/>
              </w:rPr>
              <w:t>天</w:t>
            </w:r>
          </w:p>
        </w:tc>
      </w:tr>
      <w:tr w14:paraId="3A181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74" w:type="dxa"/>
            <w:noWrap/>
          </w:tcPr>
          <w:p w14:paraId="440237E2">
            <w:pPr>
              <w:spacing w:before="185" w:line="182" w:lineRule="auto"/>
              <w:ind w:left="291"/>
              <w:rPr>
                <w:rFonts w:eastAsia="Times New Roman"/>
                <w:color w:val="auto"/>
                <w:sz w:val="24"/>
              </w:rPr>
            </w:pPr>
            <w:r>
              <w:rPr>
                <w:rFonts w:eastAsia="Times New Roman"/>
                <w:color w:val="auto"/>
                <w:spacing w:val="-15"/>
                <w:sz w:val="24"/>
              </w:rPr>
              <w:t>12</w:t>
            </w:r>
          </w:p>
        </w:tc>
        <w:tc>
          <w:tcPr>
            <w:tcW w:w="1386" w:type="dxa"/>
            <w:noWrap/>
          </w:tcPr>
          <w:p w14:paraId="0791CEC1">
            <w:pPr>
              <w:spacing w:before="185" w:line="182" w:lineRule="auto"/>
              <w:ind w:left="511"/>
              <w:rPr>
                <w:rFonts w:eastAsia="Times New Roman"/>
                <w:color w:val="auto"/>
                <w:sz w:val="24"/>
              </w:rPr>
            </w:pPr>
            <w:r>
              <w:rPr>
                <w:rFonts w:eastAsia="Times New Roman"/>
                <w:color w:val="auto"/>
                <w:spacing w:val="-10"/>
                <w:sz w:val="24"/>
              </w:rPr>
              <w:t>11.5</w:t>
            </w:r>
          </w:p>
        </w:tc>
        <w:tc>
          <w:tcPr>
            <w:tcW w:w="6888" w:type="dxa"/>
            <w:noWrap/>
          </w:tcPr>
          <w:p w14:paraId="2C3A149B">
            <w:pPr>
              <w:spacing w:before="107" w:line="221" w:lineRule="auto"/>
              <w:ind w:left="112"/>
              <w:rPr>
                <w:rFonts w:ascii="宋体" w:hAnsi="宋体" w:cs="宋体"/>
                <w:color w:val="auto"/>
                <w:sz w:val="12"/>
                <w:szCs w:val="12"/>
              </w:rPr>
            </w:pPr>
            <w:r>
              <w:rPr>
                <w:rFonts w:ascii="宋体" w:hAnsi="宋体" w:cs="宋体"/>
                <w:color w:val="auto"/>
                <w:spacing w:val="-1"/>
                <w:sz w:val="24"/>
              </w:rPr>
              <w:t>逾期交工违约金限额：</w:t>
            </w:r>
            <w:r>
              <w:rPr>
                <w:rFonts w:hint="eastAsia" w:ascii="宋体" w:hAnsi="宋体" w:cs="宋体"/>
                <w:color w:val="auto"/>
                <w:spacing w:val="-1"/>
                <w:sz w:val="24"/>
                <w:u w:val="single"/>
              </w:rPr>
              <w:t>10</w:t>
            </w:r>
            <w:r>
              <w:rPr>
                <w:rFonts w:eastAsia="Times New Roman"/>
                <w:color w:val="auto"/>
                <w:spacing w:val="-1"/>
                <w:sz w:val="24"/>
              </w:rPr>
              <w:t>%</w:t>
            </w:r>
            <w:r>
              <w:rPr>
                <w:rFonts w:ascii="宋体" w:hAnsi="宋体" w:cs="宋体"/>
                <w:color w:val="auto"/>
                <w:spacing w:val="-1"/>
                <w:sz w:val="24"/>
              </w:rPr>
              <w:t>签约合同价</w:t>
            </w:r>
            <w:r>
              <w:rPr>
                <w:color w:val="auto"/>
              </w:rPr>
              <w:fldChar w:fldCharType="begin"/>
            </w:r>
            <w:r>
              <w:rPr>
                <w:color w:val="auto"/>
              </w:rPr>
              <w:instrText xml:space="preserve"> HYPERLINK \l "bookmark243" </w:instrText>
            </w:r>
            <w:r>
              <w:rPr>
                <w:color w:val="auto"/>
              </w:rPr>
              <w:fldChar w:fldCharType="separate"/>
            </w:r>
            <w:r>
              <w:rPr>
                <w:rFonts w:ascii="宋体" w:hAnsi="宋体" w:cs="宋体"/>
                <w:color w:val="auto"/>
                <w:spacing w:val="-1"/>
                <w:position w:val="12"/>
                <w:sz w:val="12"/>
                <w:szCs w:val="12"/>
              </w:rPr>
              <w:t>②</w:t>
            </w:r>
            <w:r>
              <w:rPr>
                <w:rFonts w:ascii="宋体" w:hAnsi="宋体" w:cs="宋体"/>
                <w:color w:val="auto"/>
                <w:spacing w:val="-1"/>
                <w:position w:val="12"/>
                <w:sz w:val="12"/>
                <w:szCs w:val="12"/>
              </w:rPr>
              <w:fldChar w:fldCharType="end"/>
            </w:r>
          </w:p>
        </w:tc>
      </w:tr>
      <w:tr w14:paraId="47B6F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74" w:type="dxa"/>
            <w:noWrap/>
          </w:tcPr>
          <w:p w14:paraId="7C442636">
            <w:pPr>
              <w:pStyle w:val="280"/>
              <w:spacing w:line="257" w:lineRule="auto"/>
              <w:rPr>
                <w:color w:val="auto"/>
                <w:lang w:eastAsia="zh-CN"/>
              </w:rPr>
            </w:pPr>
          </w:p>
          <w:p w14:paraId="5FEA13BF">
            <w:pPr>
              <w:pStyle w:val="280"/>
              <w:spacing w:line="257" w:lineRule="auto"/>
              <w:rPr>
                <w:color w:val="auto"/>
                <w:lang w:eastAsia="zh-CN"/>
              </w:rPr>
            </w:pPr>
          </w:p>
          <w:p w14:paraId="4583AF86">
            <w:pPr>
              <w:spacing w:before="69" w:line="188" w:lineRule="auto"/>
              <w:ind w:left="291"/>
              <w:rPr>
                <w:rFonts w:eastAsia="Times New Roman"/>
                <w:color w:val="auto"/>
                <w:sz w:val="24"/>
              </w:rPr>
            </w:pPr>
            <w:r>
              <w:rPr>
                <w:rFonts w:eastAsia="Times New Roman"/>
                <w:color w:val="auto"/>
                <w:spacing w:val="-15"/>
                <w:sz w:val="24"/>
              </w:rPr>
              <w:t>13</w:t>
            </w:r>
          </w:p>
        </w:tc>
        <w:tc>
          <w:tcPr>
            <w:tcW w:w="1386" w:type="dxa"/>
            <w:noWrap/>
          </w:tcPr>
          <w:p w14:paraId="6F430C76">
            <w:pPr>
              <w:pStyle w:val="280"/>
              <w:spacing w:line="257" w:lineRule="auto"/>
              <w:rPr>
                <w:color w:val="auto"/>
              </w:rPr>
            </w:pPr>
          </w:p>
          <w:p w14:paraId="5D71C013">
            <w:pPr>
              <w:pStyle w:val="280"/>
              <w:spacing w:line="258" w:lineRule="auto"/>
              <w:rPr>
                <w:color w:val="auto"/>
              </w:rPr>
            </w:pPr>
          </w:p>
          <w:p w14:paraId="641B806A">
            <w:pPr>
              <w:spacing w:before="68" w:line="188" w:lineRule="auto"/>
              <w:ind w:left="417"/>
              <w:rPr>
                <w:rFonts w:eastAsia="Times New Roman"/>
                <w:color w:val="auto"/>
                <w:sz w:val="24"/>
              </w:rPr>
            </w:pPr>
            <w:r>
              <w:rPr>
                <w:rFonts w:eastAsia="Times New Roman"/>
                <w:color w:val="auto"/>
                <w:spacing w:val="-5"/>
                <w:sz w:val="24"/>
              </w:rPr>
              <w:t>15.5.2</w:t>
            </w:r>
          </w:p>
        </w:tc>
        <w:tc>
          <w:tcPr>
            <w:tcW w:w="6888" w:type="dxa"/>
            <w:noWrap/>
          </w:tcPr>
          <w:p w14:paraId="120FE09D">
            <w:pPr>
              <w:spacing w:before="129" w:line="273" w:lineRule="auto"/>
              <w:ind w:left="115" w:right="105" w:hanging="1"/>
              <w:rPr>
                <w:rFonts w:ascii="宋体" w:hAnsi="宋体" w:cs="宋体"/>
                <w:color w:val="auto"/>
                <w:sz w:val="24"/>
              </w:rPr>
            </w:pPr>
            <w:r>
              <w:rPr>
                <w:rFonts w:ascii="宋体" w:hAnsi="宋体" w:cs="宋体"/>
                <w:color w:val="auto"/>
                <w:spacing w:val="7"/>
                <w:sz w:val="24"/>
              </w:rPr>
              <w:t>承包人提出的合理化建议降低了合同价格或</w:t>
            </w:r>
            <w:r>
              <w:rPr>
                <w:rFonts w:ascii="宋体" w:hAnsi="宋体" w:cs="宋体"/>
                <w:color w:val="auto"/>
                <w:spacing w:val="6"/>
                <w:sz w:val="24"/>
              </w:rPr>
              <w:t>者提高了工程经济</w:t>
            </w:r>
            <w:r>
              <w:rPr>
                <w:rFonts w:ascii="宋体" w:hAnsi="宋体" w:cs="宋体"/>
                <w:color w:val="auto"/>
                <w:sz w:val="24"/>
              </w:rPr>
              <w:t>效益的，发包人按所节约成本的</w:t>
            </w:r>
            <w:r>
              <w:rPr>
                <w:rFonts w:hint="eastAsia" w:ascii="宋体" w:hAnsi="宋体" w:cs="宋体"/>
                <w:color w:val="auto"/>
                <w:sz w:val="24"/>
                <w:u w:val="single"/>
              </w:rPr>
              <w:t>/</w:t>
            </w:r>
            <w:r>
              <w:rPr>
                <w:rFonts w:eastAsia="Times New Roman"/>
                <w:color w:val="auto"/>
                <w:sz w:val="24"/>
              </w:rPr>
              <w:t>%</w:t>
            </w:r>
            <w:r>
              <w:rPr>
                <w:rFonts w:ascii="宋体" w:hAnsi="宋体" w:cs="宋体"/>
                <w:color w:val="auto"/>
                <w:sz w:val="24"/>
              </w:rPr>
              <w:t>或增加收益</w:t>
            </w:r>
            <w:r>
              <w:rPr>
                <w:rFonts w:ascii="宋体" w:hAnsi="宋体" w:cs="宋体"/>
                <w:color w:val="auto"/>
                <w:spacing w:val="-1"/>
                <w:sz w:val="24"/>
              </w:rPr>
              <w:t>的</w:t>
            </w:r>
            <w:r>
              <w:rPr>
                <w:rFonts w:hint="eastAsia" w:ascii="宋体" w:hAnsi="宋体" w:cs="宋体"/>
                <w:color w:val="auto"/>
                <w:spacing w:val="-1"/>
                <w:sz w:val="24"/>
                <w:u w:val="single"/>
              </w:rPr>
              <w:t>/</w:t>
            </w:r>
            <w:r>
              <w:rPr>
                <w:rFonts w:eastAsia="Times New Roman"/>
                <w:color w:val="auto"/>
                <w:spacing w:val="-1"/>
                <w:sz w:val="24"/>
              </w:rPr>
              <w:t>%</w:t>
            </w:r>
            <w:r>
              <w:rPr>
                <w:rFonts w:ascii="宋体" w:hAnsi="宋体" w:cs="宋体"/>
                <w:color w:val="auto"/>
                <w:spacing w:val="-1"/>
                <w:sz w:val="24"/>
              </w:rPr>
              <w:t>给予</w:t>
            </w:r>
            <w:r>
              <w:rPr>
                <w:rFonts w:ascii="宋体" w:hAnsi="宋体" w:cs="宋体"/>
                <w:color w:val="auto"/>
                <w:spacing w:val="-6"/>
                <w:sz w:val="24"/>
              </w:rPr>
              <w:t>奖励</w:t>
            </w:r>
          </w:p>
        </w:tc>
      </w:tr>
      <w:tr w14:paraId="27CAE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774" w:type="dxa"/>
            <w:noWrap/>
          </w:tcPr>
          <w:p w14:paraId="33F60DC0">
            <w:pPr>
              <w:pStyle w:val="280"/>
              <w:spacing w:line="356" w:lineRule="auto"/>
              <w:rPr>
                <w:color w:val="auto"/>
                <w:lang w:eastAsia="zh-CN"/>
              </w:rPr>
            </w:pPr>
          </w:p>
          <w:p w14:paraId="0700BE3B">
            <w:pPr>
              <w:pStyle w:val="280"/>
              <w:spacing w:line="357" w:lineRule="auto"/>
              <w:rPr>
                <w:color w:val="auto"/>
                <w:lang w:eastAsia="zh-CN"/>
              </w:rPr>
            </w:pPr>
          </w:p>
          <w:p w14:paraId="354301A5">
            <w:pPr>
              <w:spacing w:before="69" w:line="188" w:lineRule="auto"/>
              <w:ind w:left="291"/>
              <w:rPr>
                <w:rFonts w:eastAsia="Times New Roman"/>
                <w:color w:val="auto"/>
                <w:sz w:val="24"/>
              </w:rPr>
            </w:pPr>
            <w:r>
              <w:rPr>
                <w:rFonts w:eastAsia="Times New Roman"/>
                <w:color w:val="auto"/>
                <w:spacing w:val="-15"/>
                <w:sz w:val="24"/>
              </w:rPr>
              <w:t>14</w:t>
            </w:r>
          </w:p>
        </w:tc>
        <w:tc>
          <w:tcPr>
            <w:tcW w:w="1386" w:type="dxa"/>
            <w:noWrap/>
          </w:tcPr>
          <w:p w14:paraId="0AA51A11">
            <w:pPr>
              <w:pStyle w:val="280"/>
              <w:spacing w:line="356" w:lineRule="auto"/>
              <w:rPr>
                <w:color w:val="auto"/>
              </w:rPr>
            </w:pPr>
          </w:p>
          <w:p w14:paraId="7E698BF7">
            <w:pPr>
              <w:pStyle w:val="280"/>
              <w:spacing w:line="357" w:lineRule="auto"/>
              <w:rPr>
                <w:color w:val="auto"/>
              </w:rPr>
            </w:pPr>
          </w:p>
          <w:p w14:paraId="204B20BB">
            <w:pPr>
              <w:spacing w:before="69" w:line="188" w:lineRule="auto"/>
              <w:ind w:left="506"/>
              <w:rPr>
                <w:rFonts w:eastAsia="Times New Roman"/>
                <w:color w:val="auto"/>
                <w:sz w:val="24"/>
              </w:rPr>
            </w:pPr>
            <w:r>
              <w:rPr>
                <w:rFonts w:eastAsia="Times New Roman"/>
                <w:color w:val="auto"/>
                <w:spacing w:val="-8"/>
                <w:sz w:val="24"/>
              </w:rPr>
              <w:t>16.1</w:t>
            </w:r>
          </w:p>
        </w:tc>
        <w:tc>
          <w:tcPr>
            <w:tcW w:w="6888" w:type="dxa"/>
            <w:noWrap/>
          </w:tcPr>
          <w:p w14:paraId="4BB313E3">
            <w:pPr>
              <w:spacing w:before="128" w:line="218" w:lineRule="auto"/>
              <w:ind w:left="133"/>
              <w:rPr>
                <w:rFonts w:ascii="宋体" w:hAnsi="宋体" w:cs="宋体"/>
                <w:color w:val="auto"/>
                <w:sz w:val="24"/>
              </w:rPr>
            </w:pPr>
            <w:r>
              <w:rPr>
                <w:rFonts w:ascii="宋体" w:hAnsi="宋体" w:cs="宋体"/>
                <w:color w:val="auto"/>
                <w:spacing w:val="-2"/>
                <w:sz w:val="24"/>
              </w:rPr>
              <w:t>因物价波动引起的价格调整按照以下原则处理：</w:t>
            </w:r>
          </w:p>
          <w:p w14:paraId="26A09D54">
            <w:pPr>
              <w:spacing w:before="117" w:line="197" w:lineRule="auto"/>
              <w:ind w:left="125"/>
              <w:rPr>
                <w:rFonts w:ascii="宋体" w:hAnsi="宋体" w:cs="宋体"/>
                <w:color w:val="auto"/>
                <w:sz w:val="24"/>
              </w:rPr>
            </w:pPr>
            <w:r>
              <w:rPr>
                <w:rFonts w:ascii="微软雅黑" w:hAnsi="微软雅黑" w:eastAsia="微软雅黑" w:cs="微软雅黑"/>
                <w:color w:val="auto"/>
                <w:sz w:val="24"/>
              </w:rPr>
              <w:t>□</w:t>
            </w:r>
            <w:r>
              <w:rPr>
                <w:rFonts w:ascii="宋体" w:hAnsi="宋体" w:cs="宋体"/>
                <w:color w:val="auto"/>
                <w:sz w:val="24"/>
              </w:rPr>
              <w:t>按第</w:t>
            </w:r>
            <w:r>
              <w:rPr>
                <w:rFonts w:eastAsia="Times New Roman"/>
                <w:color w:val="auto"/>
                <w:sz w:val="24"/>
              </w:rPr>
              <w:t xml:space="preserve">16.1.1 </w:t>
            </w:r>
            <w:r>
              <w:rPr>
                <w:rFonts w:ascii="宋体" w:hAnsi="宋体" w:cs="宋体"/>
                <w:color w:val="auto"/>
                <w:sz w:val="24"/>
              </w:rPr>
              <w:t>项调价，相关约定为：</w:t>
            </w:r>
          </w:p>
          <w:p w14:paraId="61CD3553">
            <w:pPr>
              <w:spacing w:before="59" w:line="199" w:lineRule="auto"/>
              <w:ind w:left="125"/>
              <w:rPr>
                <w:rFonts w:ascii="宋体" w:hAnsi="宋体" w:cs="宋体"/>
                <w:color w:val="auto"/>
                <w:sz w:val="24"/>
              </w:rPr>
            </w:pPr>
            <w:r>
              <w:rPr>
                <w:rFonts w:ascii="微软雅黑" w:hAnsi="微软雅黑" w:eastAsia="微软雅黑" w:cs="微软雅黑"/>
                <w:color w:val="auto"/>
                <w:sz w:val="24"/>
              </w:rPr>
              <w:t>□</w:t>
            </w:r>
            <w:r>
              <w:rPr>
                <w:rFonts w:ascii="宋体" w:hAnsi="宋体" w:cs="宋体"/>
                <w:color w:val="auto"/>
                <w:sz w:val="24"/>
              </w:rPr>
              <w:t>按第</w:t>
            </w:r>
            <w:r>
              <w:rPr>
                <w:rFonts w:eastAsia="Times New Roman"/>
                <w:color w:val="auto"/>
                <w:sz w:val="24"/>
              </w:rPr>
              <w:t xml:space="preserve">16.1.2 </w:t>
            </w:r>
            <w:r>
              <w:rPr>
                <w:rFonts w:ascii="宋体" w:hAnsi="宋体" w:cs="宋体"/>
                <w:color w:val="auto"/>
                <w:sz w:val="24"/>
              </w:rPr>
              <w:t>项调价，相关约定为：</w:t>
            </w:r>
          </w:p>
          <w:p w14:paraId="7DE174FA">
            <w:pPr>
              <w:spacing w:before="60" w:line="265" w:lineRule="exact"/>
              <w:ind w:left="125"/>
              <w:rPr>
                <w:rFonts w:ascii="宋体" w:hAnsi="宋体" w:cs="宋体"/>
                <w:color w:val="auto"/>
                <w:sz w:val="24"/>
              </w:rPr>
            </w:pPr>
            <w:r>
              <w:rPr>
                <w:rFonts w:hint="eastAsia" w:ascii="微软雅黑" w:hAnsi="微软雅黑" w:eastAsia="微软雅黑" w:cs="微软雅黑"/>
                <w:color w:val="auto"/>
                <w:position w:val="-1"/>
                <w:sz w:val="24"/>
              </w:rPr>
              <w:t>☑</w:t>
            </w:r>
            <w:r>
              <w:rPr>
                <w:rFonts w:ascii="宋体" w:hAnsi="宋体" w:cs="宋体"/>
                <w:color w:val="auto"/>
                <w:position w:val="-1"/>
                <w:sz w:val="24"/>
              </w:rPr>
              <w:t>按第</w:t>
            </w:r>
            <w:r>
              <w:rPr>
                <w:rFonts w:eastAsia="Times New Roman"/>
                <w:color w:val="auto"/>
                <w:position w:val="-1"/>
                <w:sz w:val="24"/>
              </w:rPr>
              <w:t xml:space="preserve">16.1.3 </w:t>
            </w:r>
            <w:r>
              <w:rPr>
                <w:rFonts w:ascii="宋体" w:hAnsi="宋体" w:cs="宋体"/>
                <w:color w:val="auto"/>
                <w:position w:val="-1"/>
                <w:sz w:val="24"/>
              </w:rPr>
              <w:t>项约定不调价。</w:t>
            </w:r>
          </w:p>
        </w:tc>
      </w:tr>
      <w:tr w14:paraId="79ABB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74" w:type="dxa"/>
            <w:noWrap/>
          </w:tcPr>
          <w:p w14:paraId="013DD6C8">
            <w:pPr>
              <w:pStyle w:val="280"/>
              <w:spacing w:line="316" w:lineRule="auto"/>
              <w:rPr>
                <w:color w:val="auto"/>
              </w:rPr>
            </w:pPr>
          </w:p>
          <w:p w14:paraId="56428B33">
            <w:pPr>
              <w:spacing w:before="69" w:line="188" w:lineRule="auto"/>
              <w:ind w:left="291"/>
              <w:rPr>
                <w:rFonts w:eastAsia="Times New Roman"/>
                <w:color w:val="auto"/>
                <w:sz w:val="24"/>
              </w:rPr>
            </w:pPr>
            <w:r>
              <w:rPr>
                <w:rFonts w:eastAsia="Times New Roman"/>
                <w:color w:val="auto"/>
                <w:spacing w:val="-15"/>
                <w:sz w:val="24"/>
              </w:rPr>
              <w:t>15</w:t>
            </w:r>
          </w:p>
        </w:tc>
        <w:tc>
          <w:tcPr>
            <w:tcW w:w="1386" w:type="dxa"/>
            <w:noWrap/>
          </w:tcPr>
          <w:p w14:paraId="4520AE70">
            <w:pPr>
              <w:spacing w:before="188" w:line="188" w:lineRule="auto"/>
              <w:ind w:left="417"/>
              <w:rPr>
                <w:rFonts w:eastAsia="Times New Roman"/>
                <w:color w:val="auto"/>
                <w:sz w:val="24"/>
              </w:rPr>
            </w:pPr>
            <w:r>
              <w:rPr>
                <w:rFonts w:eastAsia="Times New Roman"/>
                <w:color w:val="auto"/>
                <w:spacing w:val="-5"/>
                <w:sz w:val="24"/>
              </w:rPr>
              <w:t>17.2.1</w:t>
            </w:r>
          </w:p>
          <w:p w14:paraId="14E57DC6">
            <w:pPr>
              <w:spacing w:before="126" w:line="203" w:lineRule="auto"/>
              <w:ind w:left="410"/>
              <w:rPr>
                <w:rFonts w:ascii="宋体" w:hAnsi="宋体" w:cs="宋体"/>
                <w:color w:val="auto"/>
                <w:sz w:val="24"/>
              </w:rPr>
            </w:pPr>
            <w:r>
              <w:rPr>
                <w:rFonts w:ascii="宋体" w:hAnsi="宋体" w:cs="宋体"/>
                <w:color w:val="auto"/>
                <w:spacing w:val="-7"/>
                <w:sz w:val="24"/>
              </w:rPr>
              <w:t>（</w:t>
            </w:r>
            <w:r>
              <w:rPr>
                <w:rFonts w:eastAsia="Times New Roman"/>
                <w:color w:val="auto"/>
                <w:spacing w:val="-7"/>
                <w:sz w:val="24"/>
              </w:rPr>
              <w:t>1</w:t>
            </w:r>
            <w:r>
              <w:rPr>
                <w:rFonts w:ascii="宋体" w:hAnsi="宋体" w:cs="宋体"/>
                <w:color w:val="auto"/>
                <w:spacing w:val="-7"/>
                <w:sz w:val="24"/>
              </w:rPr>
              <w:t>）</w:t>
            </w:r>
          </w:p>
        </w:tc>
        <w:tc>
          <w:tcPr>
            <w:tcW w:w="6888" w:type="dxa"/>
            <w:noWrap/>
          </w:tcPr>
          <w:p w14:paraId="363B497A">
            <w:pPr>
              <w:spacing w:before="309" w:line="233" w:lineRule="auto"/>
              <w:ind w:left="115"/>
              <w:rPr>
                <w:rFonts w:ascii="宋体" w:hAnsi="宋体" w:cs="宋体"/>
                <w:color w:val="auto"/>
                <w:sz w:val="12"/>
                <w:szCs w:val="12"/>
              </w:rPr>
            </w:pPr>
            <w:r>
              <w:rPr>
                <w:rFonts w:ascii="宋体" w:hAnsi="宋体" w:cs="宋体"/>
                <w:color w:val="auto"/>
                <w:spacing w:val="-2"/>
                <w:sz w:val="24"/>
              </w:rPr>
              <w:t>开工预付款金额：</w:t>
            </w:r>
            <w:r>
              <w:rPr>
                <w:rFonts w:hint="eastAsia" w:ascii="宋体" w:hAnsi="宋体" w:cs="宋体"/>
                <w:color w:val="auto"/>
                <w:spacing w:val="-2"/>
                <w:sz w:val="24"/>
                <w:u w:val="single"/>
              </w:rPr>
              <w:t>30</w:t>
            </w:r>
            <w:r>
              <w:rPr>
                <w:rFonts w:eastAsia="Times New Roman"/>
                <w:color w:val="auto"/>
                <w:spacing w:val="-2"/>
                <w:sz w:val="24"/>
              </w:rPr>
              <w:t>%</w:t>
            </w:r>
            <w:r>
              <w:rPr>
                <w:rFonts w:ascii="宋体" w:hAnsi="宋体" w:cs="宋体"/>
                <w:color w:val="auto"/>
                <w:spacing w:val="-2"/>
                <w:sz w:val="24"/>
              </w:rPr>
              <w:t>签约合同价</w:t>
            </w:r>
            <w:r>
              <w:rPr>
                <w:color w:val="auto"/>
              </w:rPr>
              <w:fldChar w:fldCharType="begin"/>
            </w:r>
            <w:r>
              <w:rPr>
                <w:color w:val="auto"/>
              </w:rPr>
              <w:instrText xml:space="preserve"> HYPERLINK \l "bookmark244" </w:instrText>
            </w:r>
            <w:r>
              <w:rPr>
                <w:color w:val="auto"/>
              </w:rPr>
              <w:fldChar w:fldCharType="separate"/>
            </w:r>
            <w:r>
              <w:rPr>
                <w:rFonts w:ascii="宋体" w:hAnsi="宋体" w:cs="宋体"/>
                <w:color w:val="auto"/>
                <w:spacing w:val="-2"/>
                <w:position w:val="12"/>
                <w:sz w:val="12"/>
                <w:szCs w:val="12"/>
              </w:rPr>
              <w:t>③</w:t>
            </w:r>
            <w:r>
              <w:rPr>
                <w:rFonts w:ascii="宋体" w:hAnsi="宋体" w:cs="宋体"/>
                <w:color w:val="auto"/>
                <w:spacing w:val="-2"/>
                <w:position w:val="12"/>
                <w:sz w:val="12"/>
                <w:szCs w:val="12"/>
              </w:rPr>
              <w:fldChar w:fldCharType="end"/>
            </w:r>
          </w:p>
        </w:tc>
      </w:tr>
      <w:tr w14:paraId="005F9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74" w:type="dxa"/>
            <w:noWrap/>
          </w:tcPr>
          <w:p w14:paraId="7BF1137F">
            <w:pPr>
              <w:pStyle w:val="280"/>
              <w:spacing w:line="317" w:lineRule="auto"/>
              <w:rPr>
                <w:color w:val="auto"/>
                <w:lang w:eastAsia="zh-CN"/>
              </w:rPr>
            </w:pPr>
          </w:p>
          <w:p w14:paraId="6876BD2C">
            <w:pPr>
              <w:spacing w:before="69" w:line="188" w:lineRule="auto"/>
              <w:ind w:left="291"/>
              <w:rPr>
                <w:rFonts w:eastAsia="Times New Roman"/>
                <w:color w:val="auto"/>
                <w:sz w:val="24"/>
              </w:rPr>
            </w:pPr>
            <w:r>
              <w:rPr>
                <w:rFonts w:eastAsia="Times New Roman"/>
                <w:color w:val="auto"/>
                <w:spacing w:val="-15"/>
                <w:sz w:val="24"/>
              </w:rPr>
              <w:t>16</w:t>
            </w:r>
          </w:p>
        </w:tc>
        <w:tc>
          <w:tcPr>
            <w:tcW w:w="1386" w:type="dxa"/>
            <w:noWrap/>
          </w:tcPr>
          <w:p w14:paraId="2BBAFB67">
            <w:pPr>
              <w:spacing w:before="189" w:line="188" w:lineRule="auto"/>
              <w:ind w:left="417"/>
              <w:rPr>
                <w:rFonts w:eastAsia="Times New Roman"/>
                <w:color w:val="auto"/>
                <w:sz w:val="24"/>
              </w:rPr>
            </w:pPr>
            <w:r>
              <w:rPr>
                <w:rFonts w:eastAsia="Times New Roman"/>
                <w:color w:val="auto"/>
                <w:spacing w:val="-5"/>
                <w:sz w:val="24"/>
              </w:rPr>
              <w:t>17.2.1</w:t>
            </w:r>
          </w:p>
          <w:p w14:paraId="5A8C124A">
            <w:pPr>
              <w:spacing w:before="124" w:line="204" w:lineRule="auto"/>
              <w:ind w:left="410"/>
              <w:rPr>
                <w:rFonts w:ascii="宋体" w:hAnsi="宋体" w:cs="宋体"/>
                <w:color w:val="auto"/>
                <w:sz w:val="24"/>
              </w:rPr>
            </w:pPr>
            <w:r>
              <w:rPr>
                <w:rFonts w:ascii="宋体" w:hAnsi="宋体" w:cs="宋体"/>
                <w:color w:val="auto"/>
                <w:spacing w:val="-7"/>
                <w:sz w:val="24"/>
              </w:rPr>
              <w:t>（</w:t>
            </w:r>
            <w:r>
              <w:rPr>
                <w:rFonts w:eastAsia="Times New Roman"/>
                <w:color w:val="auto"/>
                <w:spacing w:val="-7"/>
                <w:sz w:val="24"/>
              </w:rPr>
              <w:t>2</w:t>
            </w:r>
            <w:r>
              <w:rPr>
                <w:rFonts w:ascii="宋体" w:hAnsi="宋体" w:cs="宋体"/>
                <w:color w:val="auto"/>
                <w:spacing w:val="-7"/>
                <w:sz w:val="24"/>
              </w:rPr>
              <w:t>）</w:t>
            </w:r>
          </w:p>
        </w:tc>
        <w:tc>
          <w:tcPr>
            <w:tcW w:w="6888" w:type="dxa"/>
            <w:noWrap/>
          </w:tcPr>
          <w:p w14:paraId="2AF97AD9">
            <w:pPr>
              <w:spacing w:before="129" w:line="256" w:lineRule="auto"/>
              <w:ind w:left="133" w:right="108" w:hanging="19"/>
              <w:rPr>
                <w:rFonts w:ascii="宋体" w:hAnsi="宋体" w:cs="宋体"/>
                <w:color w:val="auto"/>
                <w:sz w:val="12"/>
                <w:szCs w:val="12"/>
              </w:rPr>
            </w:pPr>
            <w:r>
              <w:rPr>
                <w:rFonts w:ascii="宋体" w:hAnsi="宋体" w:cs="宋体"/>
                <w:color w:val="auto"/>
                <w:spacing w:val="9"/>
                <w:sz w:val="24"/>
              </w:rPr>
              <w:t>材料、设备预付款比例：</w:t>
            </w:r>
            <w:r>
              <w:rPr>
                <w:rFonts w:hint="eastAsia" w:ascii="宋体" w:hAnsi="宋体" w:cs="宋体"/>
                <w:color w:val="auto"/>
                <w:spacing w:val="9"/>
                <w:sz w:val="24"/>
                <w:u w:val="single"/>
              </w:rPr>
              <w:t>波形钢护栏、标志标牌、钢材</w:t>
            </w:r>
            <w:r>
              <w:rPr>
                <w:rFonts w:ascii="宋体" w:hAnsi="宋体" w:cs="宋体"/>
                <w:color w:val="auto"/>
                <w:spacing w:val="9"/>
                <w:sz w:val="24"/>
              </w:rPr>
              <w:t>等主要材料、设备单据所列费用</w:t>
            </w:r>
            <w:r>
              <w:rPr>
                <w:rFonts w:ascii="宋体" w:hAnsi="宋体" w:cs="宋体"/>
                <w:color w:val="auto"/>
                <w:spacing w:val="-19"/>
                <w:position w:val="-1"/>
                <w:sz w:val="24"/>
              </w:rPr>
              <w:t>的</w:t>
            </w:r>
            <w:r>
              <w:rPr>
                <w:rFonts w:hint="eastAsia" w:ascii="宋体" w:hAnsi="宋体" w:cs="宋体"/>
                <w:color w:val="auto"/>
                <w:spacing w:val="39"/>
                <w:position w:val="-1"/>
                <w:sz w:val="24"/>
                <w:u w:val="single"/>
              </w:rPr>
              <w:t>70</w:t>
            </w:r>
            <w:r>
              <w:rPr>
                <w:rFonts w:eastAsia="Times New Roman"/>
                <w:color w:val="auto"/>
                <w:spacing w:val="-19"/>
                <w:position w:val="-1"/>
                <w:sz w:val="24"/>
              </w:rPr>
              <w:t>%</w:t>
            </w:r>
            <w:r>
              <w:rPr>
                <w:color w:val="auto"/>
              </w:rPr>
              <w:fldChar w:fldCharType="begin"/>
            </w:r>
            <w:r>
              <w:rPr>
                <w:color w:val="auto"/>
              </w:rPr>
              <w:instrText xml:space="preserve"> HYPERLINK \l "bookmark245" </w:instrText>
            </w:r>
            <w:r>
              <w:rPr>
                <w:color w:val="auto"/>
              </w:rPr>
              <w:fldChar w:fldCharType="separate"/>
            </w:r>
            <w:r>
              <w:rPr>
                <w:rFonts w:ascii="宋体" w:hAnsi="宋体" w:cs="宋体"/>
                <w:color w:val="auto"/>
                <w:position w:val="10"/>
                <w:sz w:val="12"/>
                <w:szCs w:val="12"/>
              </w:rPr>
              <w:t>④</w:t>
            </w:r>
            <w:r>
              <w:rPr>
                <w:rFonts w:ascii="宋体" w:hAnsi="宋体" w:cs="宋体"/>
                <w:color w:val="auto"/>
                <w:position w:val="10"/>
                <w:sz w:val="12"/>
                <w:szCs w:val="12"/>
              </w:rPr>
              <w:fldChar w:fldCharType="end"/>
            </w:r>
          </w:p>
        </w:tc>
      </w:tr>
      <w:tr w14:paraId="1BA54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774" w:type="dxa"/>
            <w:noWrap/>
          </w:tcPr>
          <w:p w14:paraId="10C5B98C">
            <w:pPr>
              <w:pStyle w:val="280"/>
              <w:spacing w:line="316" w:lineRule="auto"/>
              <w:rPr>
                <w:color w:val="auto"/>
                <w:lang w:eastAsia="zh-CN"/>
              </w:rPr>
            </w:pPr>
          </w:p>
          <w:p w14:paraId="25FA9766">
            <w:pPr>
              <w:spacing w:before="69" w:line="188" w:lineRule="auto"/>
              <w:ind w:left="291"/>
              <w:rPr>
                <w:rFonts w:eastAsia="Times New Roman"/>
                <w:color w:val="auto"/>
                <w:sz w:val="24"/>
              </w:rPr>
            </w:pPr>
            <w:r>
              <w:rPr>
                <w:rFonts w:eastAsia="Times New Roman"/>
                <w:color w:val="auto"/>
                <w:spacing w:val="-15"/>
                <w:sz w:val="24"/>
              </w:rPr>
              <w:t>17</w:t>
            </w:r>
          </w:p>
        </w:tc>
        <w:tc>
          <w:tcPr>
            <w:tcW w:w="1386" w:type="dxa"/>
            <w:noWrap/>
          </w:tcPr>
          <w:p w14:paraId="2431EEBC">
            <w:pPr>
              <w:pStyle w:val="280"/>
              <w:spacing w:line="316" w:lineRule="auto"/>
              <w:rPr>
                <w:color w:val="auto"/>
              </w:rPr>
            </w:pPr>
          </w:p>
          <w:p w14:paraId="7AF132D7">
            <w:pPr>
              <w:spacing w:before="69" w:line="188" w:lineRule="auto"/>
              <w:ind w:left="417"/>
              <w:rPr>
                <w:rFonts w:eastAsia="Times New Roman"/>
                <w:color w:val="auto"/>
                <w:sz w:val="24"/>
              </w:rPr>
            </w:pPr>
            <w:r>
              <w:rPr>
                <w:rFonts w:eastAsia="Times New Roman"/>
                <w:color w:val="auto"/>
                <w:spacing w:val="-5"/>
                <w:sz w:val="24"/>
              </w:rPr>
              <w:t>17.3.2</w:t>
            </w:r>
          </w:p>
        </w:tc>
        <w:tc>
          <w:tcPr>
            <w:tcW w:w="6888" w:type="dxa"/>
            <w:noWrap/>
          </w:tcPr>
          <w:p w14:paraId="331D4EA7">
            <w:pPr>
              <w:spacing w:before="128" w:line="257" w:lineRule="auto"/>
              <w:ind w:left="115" w:right="105" w:hanging="1"/>
              <w:rPr>
                <w:rFonts w:ascii="宋体" w:hAnsi="宋体" w:cs="宋体"/>
                <w:color w:val="auto"/>
                <w:sz w:val="24"/>
              </w:rPr>
            </w:pPr>
            <w:r>
              <w:rPr>
                <w:rFonts w:ascii="宋体" w:hAnsi="宋体" w:cs="宋体"/>
                <w:color w:val="auto"/>
                <w:spacing w:val="16"/>
                <w:sz w:val="24"/>
              </w:rPr>
              <w:t>承包人在每个付款周期末向咨询人提交进度付款申请单的份</w:t>
            </w:r>
            <w:r>
              <w:rPr>
                <w:rFonts w:ascii="宋体" w:hAnsi="宋体" w:cs="宋体"/>
                <w:color w:val="auto"/>
                <w:spacing w:val="-2"/>
                <w:sz w:val="24"/>
              </w:rPr>
              <w:t>数：</w:t>
            </w:r>
            <w:r>
              <w:rPr>
                <w:rFonts w:hint="eastAsia" w:ascii="宋体" w:hAnsi="宋体" w:cs="宋体"/>
                <w:color w:val="auto"/>
                <w:spacing w:val="-2"/>
                <w:sz w:val="24"/>
                <w:u w:val="single"/>
              </w:rPr>
              <w:t>4</w:t>
            </w:r>
            <w:r>
              <w:rPr>
                <w:rFonts w:ascii="宋体" w:hAnsi="宋体" w:cs="宋体"/>
                <w:color w:val="auto"/>
                <w:spacing w:val="-2"/>
                <w:sz w:val="24"/>
              </w:rPr>
              <w:t>份</w:t>
            </w:r>
          </w:p>
        </w:tc>
      </w:tr>
    </w:tbl>
    <w:p w14:paraId="68079B4D">
      <w:pPr>
        <w:pStyle w:val="21"/>
        <w:spacing w:line="261" w:lineRule="auto"/>
        <w:rPr>
          <w:color w:val="auto"/>
        </w:rPr>
      </w:pPr>
    </w:p>
    <w:p w14:paraId="0552A015">
      <w:pPr>
        <w:pStyle w:val="21"/>
        <w:spacing w:line="262" w:lineRule="auto"/>
        <w:rPr>
          <w:color w:val="auto"/>
        </w:rPr>
      </w:pPr>
      <w:r>
        <w:rPr>
          <w:color w:val="auto"/>
        </w:rPr>
        <w:pict>
          <v:shape id="_x0000_s2053" o:spid="_x0000_s2053" o:spt="100" style="position:absolute;left:0pt;margin-left:5.6pt;margin-top:2.8pt;height:0pt;width:144pt;z-index:251669504;mso-width-relative:page;mso-height-relative:page;" filled="f" coordsize="2880,1" o:gfxdata="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96fq3QAAAABgEAAA8AAAAAAAAAAQAgAAAAIgAAAGRycy9kb3ducmV2LnhtbFBLAQIUABQAAAAI&#10;AIdO4kBNTrCuLgIAAJcEAAAOAAAAAAAAAAEAIAAAAB8BAABkcnMvZTJvRG9jLnhtbFBLBQYAAAAA&#10;BgAGAFkBAAC/BQAAAAA=&#10;" path="m0,0l2880,0e">
            <v:path o:connecttype="segments"/>
            <v:fill on="f" focussize="0,0"/>
            <v:stroke weight="0pt" joinstyle="bevel" endcap="square"/>
            <v:imagedata o:title=""/>
            <o:lock v:ext="edit"/>
          </v:shape>
        </w:pict>
      </w:r>
    </w:p>
    <w:p w14:paraId="0CC23D6A">
      <w:pPr>
        <w:spacing w:before="62" w:line="228" w:lineRule="auto"/>
        <w:ind w:left="520"/>
        <w:rPr>
          <w:rFonts w:ascii="宋体" w:hAnsi="宋体" w:cs="宋体"/>
          <w:color w:val="auto"/>
          <w:sz w:val="19"/>
          <w:szCs w:val="19"/>
        </w:rPr>
      </w:pPr>
      <w:bookmarkStart w:id="205" w:name="bookmark243"/>
      <w:bookmarkEnd w:id="205"/>
      <w:bookmarkStart w:id="206" w:name="bookmark242"/>
      <w:bookmarkEnd w:id="206"/>
      <w:r>
        <w:rPr>
          <w:rFonts w:ascii="宋体" w:hAnsi="宋体" w:cs="宋体"/>
          <w:color w:val="auto"/>
          <w:spacing w:val="6"/>
          <w:sz w:val="19"/>
          <w:szCs w:val="19"/>
        </w:rPr>
        <w:t>① 安全生产费的计取比例不应低于</w:t>
      </w:r>
      <w:r>
        <w:rPr>
          <w:rFonts w:eastAsia="Times New Roman"/>
          <w:color w:val="auto"/>
          <w:spacing w:val="6"/>
          <w:sz w:val="19"/>
          <w:szCs w:val="19"/>
        </w:rPr>
        <w:t>1.5%</w:t>
      </w:r>
      <w:r>
        <w:rPr>
          <w:rFonts w:ascii="宋体" w:hAnsi="宋体" w:cs="宋体"/>
          <w:color w:val="auto"/>
          <w:spacing w:val="6"/>
          <w:sz w:val="19"/>
          <w:szCs w:val="19"/>
        </w:rPr>
        <w:t>，且不高于</w:t>
      </w:r>
      <w:r>
        <w:rPr>
          <w:rFonts w:eastAsia="Times New Roman"/>
          <w:color w:val="auto"/>
          <w:spacing w:val="6"/>
          <w:sz w:val="19"/>
          <w:szCs w:val="19"/>
        </w:rPr>
        <w:t>3%</w:t>
      </w:r>
      <w:r>
        <w:rPr>
          <w:rFonts w:ascii="宋体" w:hAnsi="宋体" w:cs="宋体"/>
          <w:color w:val="auto"/>
          <w:spacing w:val="6"/>
          <w:sz w:val="19"/>
          <w:szCs w:val="19"/>
        </w:rPr>
        <w:t>。</w:t>
      </w:r>
    </w:p>
    <w:p w14:paraId="18861421">
      <w:pPr>
        <w:spacing w:before="165" w:line="226" w:lineRule="auto"/>
        <w:ind w:left="519"/>
        <w:rPr>
          <w:rFonts w:ascii="宋体" w:hAnsi="宋体" w:cs="宋体"/>
          <w:color w:val="auto"/>
          <w:sz w:val="19"/>
          <w:szCs w:val="19"/>
        </w:rPr>
      </w:pPr>
      <w:bookmarkStart w:id="207" w:name="bookmark244"/>
      <w:bookmarkEnd w:id="207"/>
      <w:r>
        <w:rPr>
          <w:rFonts w:ascii="宋体" w:hAnsi="宋体" w:cs="宋体"/>
          <w:color w:val="auto"/>
          <w:spacing w:val="7"/>
          <w:sz w:val="19"/>
          <w:szCs w:val="19"/>
        </w:rPr>
        <w:t>② 逾期交工违约金限额一般应为</w:t>
      </w:r>
      <w:r>
        <w:rPr>
          <w:rFonts w:eastAsia="Times New Roman"/>
          <w:color w:val="auto"/>
          <w:spacing w:val="7"/>
          <w:sz w:val="19"/>
          <w:szCs w:val="19"/>
        </w:rPr>
        <w:t>10%</w:t>
      </w:r>
      <w:r>
        <w:rPr>
          <w:rFonts w:ascii="宋体" w:hAnsi="宋体" w:cs="宋体"/>
          <w:color w:val="auto"/>
          <w:spacing w:val="7"/>
          <w:sz w:val="19"/>
          <w:szCs w:val="19"/>
        </w:rPr>
        <w:t>签约合同价。</w:t>
      </w:r>
    </w:p>
    <w:p w14:paraId="7FB38EAF">
      <w:pPr>
        <w:spacing w:before="169" w:line="302" w:lineRule="auto"/>
        <w:ind w:left="122" w:right="267" w:firstLine="397"/>
        <w:rPr>
          <w:rFonts w:ascii="宋体" w:hAnsi="宋体" w:cs="宋体"/>
          <w:color w:val="auto"/>
          <w:sz w:val="19"/>
          <w:szCs w:val="19"/>
        </w:rPr>
      </w:pPr>
      <w:r>
        <w:rPr>
          <w:rFonts w:ascii="宋体" w:hAnsi="宋体" w:cs="宋体"/>
          <w:color w:val="auto"/>
          <w:spacing w:val="9"/>
          <w:sz w:val="19"/>
          <w:szCs w:val="19"/>
        </w:rPr>
        <w:t>③ 开工预付款金额原则上不低于签约合同价的</w:t>
      </w:r>
      <w:r>
        <w:rPr>
          <w:rFonts w:eastAsia="Times New Roman"/>
          <w:color w:val="auto"/>
          <w:spacing w:val="9"/>
          <w:sz w:val="19"/>
          <w:szCs w:val="19"/>
        </w:rPr>
        <w:t>10</w:t>
      </w:r>
      <w:r>
        <w:rPr>
          <w:rFonts w:ascii="宋体" w:hAnsi="宋体" w:cs="宋体"/>
          <w:color w:val="auto"/>
          <w:spacing w:val="17"/>
          <w:sz w:val="19"/>
          <w:szCs w:val="19"/>
        </w:rPr>
        <w:t>％，</w:t>
      </w:r>
      <w:r>
        <w:rPr>
          <w:rFonts w:ascii="宋体" w:hAnsi="宋体" w:cs="宋体"/>
          <w:color w:val="auto"/>
          <w:spacing w:val="9"/>
          <w:sz w:val="19"/>
          <w:szCs w:val="19"/>
        </w:rPr>
        <w:t>不</w:t>
      </w:r>
      <w:r>
        <w:rPr>
          <w:rFonts w:ascii="微软雅黑" w:hAnsi="微软雅黑" w:eastAsia="微软雅黑" w:cs="微软雅黑"/>
          <w:color w:val="auto"/>
          <w:spacing w:val="9"/>
          <w:sz w:val="19"/>
          <w:szCs w:val="19"/>
        </w:rPr>
        <w:t>高</w:t>
      </w:r>
      <w:r>
        <w:rPr>
          <w:rFonts w:ascii="宋体" w:hAnsi="宋体" w:cs="宋体"/>
          <w:color w:val="auto"/>
          <w:spacing w:val="9"/>
          <w:sz w:val="19"/>
          <w:szCs w:val="19"/>
        </w:rPr>
        <w:t>于签约合</w:t>
      </w:r>
      <w:r>
        <w:rPr>
          <w:rFonts w:ascii="宋体" w:hAnsi="宋体" w:cs="宋体"/>
          <w:color w:val="auto"/>
          <w:spacing w:val="8"/>
          <w:sz w:val="19"/>
          <w:szCs w:val="19"/>
        </w:rPr>
        <w:t>同价的</w:t>
      </w:r>
      <w:r>
        <w:rPr>
          <w:rFonts w:eastAsia="Times New Roman"/>
          <w:color w:val="auto"/>
          <w:spacing w:val="8"/>
          <w:sz w:val="19"/>
          <w:szCs w:val="19"/>
        </w:rPr>
        <w:t>30</w:t>
      </w:r>
      <w:r>
        <w:rPr>
          <w:rFonts w:ascii="宋体" w:hAnsi="宋体" w:cs="宋体"/>
          <w:color w:val="auto"/>
          <w:spacing w:val="8"/>
          <w:sz w:val="19"/>
          <w:szCs w:val="19"/>
        </w:rPr>
        <w:t>％。若发包人要</w:t>
      </w:r>
      <w:r>
        <w:rPr>
          <w:rFonts w:ascii="宋体" w:hAnsi="宋体" w:cs="宋体"/>
          <w:color w:val="auto"/>
          <w:spacing w:val="12"/>
          <w:sz w:val="19"/>
          <w:szCs w:val="19"/>
        </w:rPr>
        <w:t>求承包人提交的履约保证金额度不足以对开</w:t>
      </w:r>
      <w:r>
        <w:rPr>
          <w:rFonts w:ascii="宋体" w:hAnsi="宋体" w:cs="宋体"/>
          <w:color w:val="auto"/>
          <w:spacing w:val="11"/>
          <w:sz w:val="19"/>
          <w:szCs w:val="19"/>
        </w:rPr>
        <w:t>工预付款的正常使用承担保证责任，对于差额部分发包</w:t>
      </w:r>
      <w:bookmarkStart w:id="208" w:name="bookmark245"/>
      <w:bookmarkEnd w:id="208"/>
      <w:r>
        <w:rPr>
          <w:rFonts w:ascii="宋体" w:hAnsi="宋体" w:cs="宋体"/>
          <w:color w:val="auto"/>
          <w:spacing w:val="8"/>
          <w:sz w:val="19"/>
          <w:szCs w:val="19"/>
        </w:rPr>
        <w:t>人可要求承包人提供开工预付款担保。</w:t>
      </w:r>
    </w:p>
    <w:p w14:paraId="6BBEB389">
      <w:pPr>
        <w:spacing w:before="167" w:line="226" w:lineRule="auto"/>
        <w:ind w:left="519"/>
        <w:rPr>
          <w:color w:val="auto"/>
        </w:rPr>
      </w:pPr>
      <w:r>
        <w:rPr>
          <w:rFonts w:ascii="宋体" w:hAnsi="宋体" w:cs="宋体"/>
          <w:color w:val="auto"/>
          <w:spacing w:val="8"/>
          <w:sz w:val="19"/>
          <w:szCs w:val="19"/>
        </w:rPr>
        <w:t>④ 指主要材料，一般应为</w:t>
      </w:r>
      <w:r>
        <w:rPr>
          <w:rFonts w:eastAsia="Times New Roman"/>
          <w:color w:val="auto"/>
          <w:spacing w:val="8"/>
          <w:sz w:val="19"/>
          <w:szCs w:val="19"/>
        </w:rPr>
        <w:t>70%</w:t>
      </w:r>
      <w:r>
        <w:rPr>
          <w:rFonts w:ascii="宋体" w:hAnsi="宋体" w:cs="宋体"/>
          <w:color w:val="auto"/>
          <w:spacing w:val="8"/>
          <w:sz w:val="19"/>
          <w:szCs w:val="19"/>
        </w:rPr>
        <w:t>～</w:t>
      </w:r>
      <w:r>
        <w:rPr>
          <w:rFonts w:eastAsia="Times New Roman"/>
          <w:color w:val="auto"/>
          <w:spacing w:val="8"/>
          <w:sz w:val="19"/>
          <w:szCs w:val="19"/>
        </w:rPr>
        <w:t>75%</w:t>
      </w:r>
      <w:r>
        <w:rPr>
          <w:rFonts w:ascii="宋体" w:hAnsi="宋体" w:cs="宋体"/>
          <w:color w:val="auto"/>
          <w:spacing w:val="8"/>
          <w:sz w:val="19"/>
          <w:szCs w:val="19"/>
        </w:rPr>
        <w:t>，最低不少于</w:t>
      </w:r>
      <w:r>
        <w:rPr>
          <w:rFonts w:eastAsia="Times New Roman"/>
          <w:color w:val="auto"/>
          <w:spacing w:val="8"/>
          <w:sz w:val="19"/>
          <w:szCs w:val="19"/>
        </w:rPr>
        <w:t>60%</w:t>
      </w:r>
      <w:r>
        <w:rPr>
          <w:rFonts w:ascii="宋体" w:hAnsi="宋体" w:cs="宋体"/>
          <w:color w:val="auto"/>
          <w:spacing w:val="8"/>
          <w:sz w:val="19"/>
          <w:szCs w:val="19"/>
        </w:rPr>
        <w:t>。</w:t>
      </w:r>
    </w:p>
    <w:tbl>
      <w:tblPr>
        <w:tblStyle w:val="282"/>
        <w:tblW w:w="90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1386"/>
        <w:gridCol w:w="6888"/>
      </w:tblGrid>
      <w:tr w14:paraId="2D480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74" w:type="dxa"/>
            <w:noWrap/>
          </w:tcPr>
          <w:p w14:paraId="08A88191">
            <w:pPr>
              <w:spacing w:before="128" w:line="208" w:lineRule="auto"/>
              <w:ind w:left="152"/>
              <w:rPr>
                <w:rFonts w:ascii="宋体" w:hAnsi="宋体" w:cs="宋体"/>
                <w:color w:val="auto"/>
                <w:sz w:val="24"/>
              </w:rPr>
            </w:pPr>
            <w:bookmarkStart w:id="209" w:name="bookmark246"/>
            <w:bookmarkEnd w:id="209"/>
            <w:r>
              <w:rPr>
                <w:rFonts w:ascii="宋体" w:hAnsi="宋体" w:cs="宋体"/>
                <w:color w:val="auto"/>
                <w:spacing w:val="-5"/>
                <w:sz w:val="24"/>
              </w:rPr>
              <w:t>序号</w:t>
            </w:r>
          </w:p>
        </w:tc>
        <w:tc>
          <w:tcPr>
            <w:tcW w:w="1386" w:type="dxa"/>
            <w:noWrap/>
          </w:tcPr>
          <w:p w14:paraId="294BB984">
            <w:pPr>
              <w:spacing w:before="128" w:line="208" w:lineRule="auto"/>
              <w:ind w:left="341"/>
              <w:rPr>
                <w:rFonts w:ascii="宋体" w:hAnsi="宋体" w:cs="宋体"/>
                <w:color w:val="auto"/>
                <w:sz w:val="24"/>
              </w:rPr>
            </w:pPr>
            <w:r>
              <w:rPr>
                <w:rFonts w:ascii="宋体" w:hAnsi="宋体" w:cs="宋体"/>
                <w:color w:val="auto"/>
                <w:spacing w:val="-4"/>
                <w:sz w:val="24"/>
              </w:rPr>
              <w:t>条目号</w:t>
            </w:r>
          </w:p>
        </w:tc>
        <w:tc>
          <w:tcPr>
            <w:tcW w:w="6888" w:type="dxa"/>
            <w:noWrap/>
          </w:tcPr>
          <w:p w14:paraId="7C167B79">
            <w:pPr>
              <w:spacing w:before="128" w:line="208" w:lineRule="auto"/>
              <w:ind w:left="2848"/>
              <w:rPr>
                <w:rFonts w:ascii="宋体" w:hAnsi="宋体" w:cs="宋体"/>
                <w:color w:val="auto"/>
                <w:sz w:val="24"/>
              </w:rPr>
            </w:pPr>
            <w:r>
              <w:rPr>
                <w:rFonts w:ascii="宋体" w:hAnsi="宋体" w:cs="宋体"/>
                <w:color w:val="auto"/>
                <w:spacing w:val="-2"/>
                <w:sz w:val="24"/>
              </w:rPr>
              <w:t>信息或数据</w:t>
            </w:r>
          </w:p>
        </w:tc>
      </w:tr>
      <w:tr w14:paraId="1DC0C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74" w:type="dxa"/>
            <w:noWrap/>
          </w:tcPr>
          <w:p w14:paraId="101C01B7">
            <w:pPr>
              <w:pStyle w:val="280"/>
              <w:spacing w:line="314" w:lineRule="auto"/>
              <w:rPr>
                <w:color w:val="auto"/>
              </w:rPr>
            </w:pPr>
          </w:p>
          <w:p w14:paraId="18BBC3BE">
            <w:pPr>
              <w:spacing w:before="69" w:line="188" w:lineRule="auto"/>
              <w:ind w:left="291"/>
              <w:rPr>
                <w:rFonts w:eastAsia="Times New Roman"/>
                <w:color w:val="auto"/>
                <w:sz w:val="24"/>
              </w:rPr>
            </w:pPr>
            <w:r>
              <w:rPr>
                <w:rFonts w:eastAsia="Times New Roman"/>
                <w:color w:val="auto"/>
                <w:spacing w:val="-15"/>
                <w:sz w:val="24"/>
              </w:rPr>
              <w:t>18</w:t>
            </w:r>
          </w:p>
        </w:tc>
        <w:tc>
          <w:tcPr>
            <w:tcW w:w="1386" w:type="dxa"/>
            <w:noWrap/>
          </w:tcPr>
          <w:p w14:paraId="0EA11326">
            <w:pPr>
              <w:spacing w:before="183" w:line="188" w:lineRule="auto"/>
              <w:ind w:left="417"/>
              <w:rPr>
                <w:rFonts w:eastAsia="Times New Roman"/>
                <w:color w:val="auto"/>
                <w:sz w:val="24"/>
              </w:rPr>
            </w:pPr>
            <w:r>
              <w:rPr>
                <w:rFonts w:eastAsia="Times New Roman"/>
                <w:color w:val="auto"/>
                <w:spacing w:val="-5"/>
                <w:sz w:val="24"/>
              </w:rPr>
              <w:t>17.3.3</w:t>
            </w:r>
          </w:p>
          <w:p w14:paraId="32B90BAC">
            <w:pPr>
              <w:spacing w:before="126" w:line="206" w:lineRule="auto"/>
              <w:ind w:left="410"/>
              <w:rPr>
                <w:rFonts w:ascii="宋体" w:hAnsi="宋体" w:cs="宋体"/>
                <w:color w:val="auto"/>
                <w:sz w:val="24"/>
              </w:rPr>
            </w:pPr>
            <w:r>
              <w:rPr>
                <w:rFonts w:ascii="宋体" w:hAnsi="宋体" w:cs="宋体"/>
                <w:color w:val="auto"/>
                <w:spacing w:val="-7"/>
                <w:sz w:val="24"/>
              </w:rPr>
              <w:t>（</w:t>
            </w:r>
            <w:r>
              <w:rPr>
                <w:rFonts w:eastAsia="Times New Roman"/>
                <w:color w:val="auto"/>
                <w:spacing w:val="-7"/>
                <w:sz w:val="24"/>
              </w:rPr>
              <w:t>2</w:t>
            </w:r>
            <w:r>
              <w:rPr>
                <w:rFonts w:ascii="宋体" w:hAnsi="宋体" w:cs="宋体"/>
                <w:color w:val="auto"/>
                <w:spacing w:val="-7"/>
                <w:sz w:val="24"/>
              </w:rPr>
              <w:t>）</w:t>
            </w:r>
          </w:p>
        </w:tc>
        <w:tc>
          <w:tcPr>
            <w:tcW w:w="6888" w:type="dxa"/>
            <w:noWrap/>
          </w:tcPr>
          <w:p w14:paraId="20659D3F">
            <w:pPr>
              <w:spacing w:before="308" w:line="232" w:lineRule="auto"/>
              <w:ind w:left="112"/>
              <w:rPr>
                <w:rFonts w:ascii="宋体" w:hAnsi="宋体" w:cs="宋体"/>
                <w:color w:val="auto"/>
                <w:sz w:val="12"/>
                <w:szCs w:val="12"/>
              </w:rPr>
            </w:pPr>
            <w:r>
              <w:rPr>
                <w:rFonts w:ascii="宋体" w:hAnsi="宋体" w:cs="宋体"/>
                <w:color w:val="auto"/>
                <w:spacing w:val="-2"/>
                <w:sz w:val="24"/>
              </w:rPr>
              <w:t>逾期付款违约金的利率：</w:t>
            </w:r>
            <w:r>
              <w:rPr>
                <w:rFonts w:hint="eastAsia" w:ascii="宋体" w:hAnsi="宋体" w:cs="宋体"/>
                <w:color w:val="auto"/>
                <w:spacing w:val="-2"/>
                <w:sz w:val="24"/>
                <w:u w:val="single"/>
              </w:rPr>
              <w:t>0.15</w:t>
            </w:r>
            <w:r>
              <w:rPr>
                <w:rFonts w:ascii="宋体" w:hAnsi="宋体" w:cs="宋体"/>
                <w:color w:val="auto"/>
                <w:spacing w:val="-2"/>
                <w:sz w:val="24"/>
              </w:rPr>
              <w:t>‰</w:t>
            </w:r>
            <w:r>
              <w:rPr>
                <w:rFonts w:eastAsia="Times New Roman"/>
                <w:color w:val="auto"/>
                <w:spacing w:val="-2"/>
                <w:sz w:val="24"/>
              </w:rPr>
              <w:t>/</w:t>
            </w:r>
            <w:r>
              <w:rPr>
                <w:rFonts w:ascii="宋体" w:hAnsi="宋体" w:cs="宋体"/>
                <w:color w:val="auto"/>
                <w:spacing w:val="-2"/>
                <w:sz w:val="24"/>
              </w:rPr>
              <w:t>天</w:t>
            </w:r>
            <w:r>
              <w:rPr>
                <w:color w:val="auto"/>
              </w:rPr>
              <w:fldChar w:fldCharType="begin"/>
            </w:r>
            <w:r>
              <w:rPr>
                <w:color w:val="auto"/>
              </w:rPr>
              <w:instrText xml:space="preserve"> HYPERLINK \l "bookmark247" </w:instrText>
            </w:r>
            <w:r>
              <w:rPr>
                <w:color w:val="auto"/>
              </w:rPr>
              <w:fldChar w:fldCharType="separate"/>
            </w:r>
            <w:r>
              <w:rPr>
                <w:rFonts w:ascii="宋体" w:hAnsi="宋体" w:cs="宋体"/>
                <w:color w:val="auto"/>
                <w:spacing w:val="-2"/>
                <w:position w:val="11"/>
                <w:sz w:val="12"/>
                <w:szCs w:val="12"/>
              </w:rPr>
              <w:t>①</w:t>
            </w:r>
            <w:r>
              <w:rPr>
                <w:rFonts w:ascii="宋体" w:hAnsi="宋体" w:cs="宋体"/>
                <w:color w:val="auto"/>
                <w:spacing w:val="-2"/>
                <w:position w:val="11"/>
                <w:sz w:val="12"/>
                <w:szCs w:val="12"/>
              </w:rPr>
              <w:fldChar w:fldCharType="end"/>
            </w:r>
          </w:p>
        </w:tc>
      </w:tr>
      <w:tr w14:paraId="7D50E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774" w:type="dxa"/>
            <w:noWrap/>
          </w:tcPr>
          <w:p w14:paraId="7FCFD244">
            <w:pPr>
              <w:pStyle w:val="280"/>
              <w:spacing w:line="303" w:lineRule="auto"/>
              <w:rPr>
                <w:color w:val="auto"/>
                <w:lang w:eastAsia="zh-CN"/>
              </w:rPr>
            </w:pPr>
          </w:p>
          <w:p w14:paraId="04A0C2C8">
            <w:pPr>
              <w:pStyle w:val="280"/>
              <w:spacing w:line="303" w:lineRule="auto"/>
              <w:rPr>
                <w:color w:val="auto"/>
                <w:lang w:eastAsia="zh-CN"/>
              </w:rPr>
            </w:pPr>
          </w:p>
          <w:p w14:paraId="1B2C2605">
            <w:pPr>
              <w:pStyle w:val="280"/>
              <w:spacing w:line="304" w:lineRule="auto"/>
              <w:rPr>
                <w:color w:val="auto"/>
                <w:lang w:eastAsia="zh-CN"/>
              </w:rPr>
            </w:pPr>
          </w:p>
          <w:p w14:paraId="48784E48">
            <w:pPr>
              <w:spacing w:before="69" w:line="188" w:lineRule="auto"/>
              <w:ind w:left="291"/>
              <w:rPr>
                <w:rFonts w:eastAsia="Times New Roman"/>
                <w:color w:val="auto"/>
                <w:sz w:val="24"/>
              </w:rPr>
            </w:pPr>
            <w:r>
              <w:rPr>
                <w:rFonts w:eastAsia="Times New Roman"/>
                <w:color w:val="auto"/>
                <w:spacing w:val="-15"/>
                <w:sz w:val="24"/>
              </w:rPr>
              <w:t>19</w:t>
            </w:r>
          </w:p>
        </w:tc>
        <w:tc>
          <w:tcPr>
            <w:tcW w:w="1386" w:type="dxa"/>
            <w:noWrap/>
          </w:tcPr>
          <w:p w14:paraId="61EFF8DA">
            <w:pPr>
              <w:pStyle w:val="280"/>
              <w:spacing w:line="303" w:lineRule="auto"/>
              <w:rPr>
                <w:color w:val="auto"/>
              </w:rPr>
            </w:pPr>
          </w:p>
          <w:p w14:paraId="495164C8">
            <w:pPr>
              <w:pStyle w:val="280"/>
              <w:spacing w:line="303" w:lineRule="auto"/>
              <w:rPr>
                <w:color w:val="auto"/>
              </w:rPr>
            </w:pPr>
          </w:p>
          <w:p w14:paraId="41DF2A70">
            <w:pPr>
              <w:pStyle w:val="280"/>
              <w:spacing w:line="304" w:lineRule="auto"/>
              <w:rPr>
                <w:color w:val="auto"/>
              </w:rPr>
            </w:pPr>
          </w:p>
          <w:p w14:paraId="759B18AE">
            <w:pPr>
              <w:spacing w:before="69" w:line="188" w:lineRule="auto"/>
              <w:ind w:left="417"/>
              <w:rPr>
                <w:rFonts w:eastAsia="Times New Roman"/>
                <w:color w:val="auto"/>
                <w:sz w:val="24"/>
              </w:rPr>
            </w:pPr>
            <w:r>
              <w:rPr>
                <w:rFonts w:eastAsia="Times New Roman"/>
                <w:color w:val="auto"/>
                <w:spacing w:val="-5"/>
                <w:sz w:val="24"/>
              </w:rPr>
              <w:t>17.4.1</w:t>
            </w:r>
          </w:p>
        </w:tc>
        <w:tc>
          <w:tcPr>
            <w:tcW w:w="6888" w:type="dxa"/>
            <w:noWrap/>
          </w:tcPr>
          <w:p w14:paraId="58742542">
            <w:pPr>
              <w:spacing w:before="2" w:line="323" w:lineRule="auto"/>
              <w:ind w:left="116" w:right="105" w:hanging="1"/>
              <w:rPr>
                <w:rFonts w:ascii="宋体" w:hAnsi="宋体" w:cs="宋体"/>
                <w:color w:val="auto"/>
                <w:spacing w:val="-1"/>
                <w:position w:val="12"/>
                <w:sz w:val="12"/>
                <w:szCs w:val="12"/>
              </w:rPr>
            </w:pPr>
            <w:r>
              <w:rPr>
                <w:rFonts w:ascii="宋体" w:hAnsi="宋体" w:cs="宋体"/>
                <w:color w:val="auto"/>
                <w:spacing w:val="3"/>
                <w:sz w:val="24"/>
              </w:rPr>
              <w:t>质量保证金金额：</w:t>
            </w:r>
            <w:r>
              <w:rPr>
                <w:rFonts w:hint="eastAsia" w:ascii="宋体" w:hAnsi="宋体" w:cs="宋体"/>
                <w:color w:val="auto"/>
                <w:spacing w:val="3"/>
                <w:sz w:val="24"/>
                <w:u w:val="single"/>
              </w:rPr>
              <w:t>3</w:t>
            </w:r>
            <w:r>
              <w:rPr>
                <w:rFonts w:eastAsia="Times New Roman"/>
                <w:color w:val="auto"/>
                <w:spacing w:val="3"/>
                <w:sz w:val="24"/>
              </w:rPr>
              <w:t>%</w:t>
            </w:r>
            <w:r>
              <w:rPr>
                <w:rFonts w:ascii="宋体" w:hAnsi="宋体" w:cs="宋体"/>
                <w:color w:val="auto"/>
                <w:spacing w:val="3"/>
                <w:sz w:val="24"/>
              </w:rPr>
              <w:t>合同价格</w:t>
            </w:r>
            <w:r>
              <w:rPr>
                <w:color w:val="auto"/>
              </w:rPr>
              <w:fldChar w:fldCharType="begin"/>
            </w:r>
            <w:r>
              <w:rPr>
                <w:color w:val="auto"/>
              </w:rPr>
              <w:instrText xml:space="preserve"> HYPERLINK \l "bookmark248" </w:instrText>
            </w:r>
            <w:r>
              <w:rPr>
                <w:color w:val="auto"/>
              </w:rPr>
              <w:fldChar w:fldCharType="separate"/>
            </w:r>
            <w:r>
              <w:rPr>
                <w:rFonts w:ascii="宋体" w:hAnsi="宋体" w:cs="宋体"/>
                <w:color w:val="auto"/>
                <w:spacing w:val="3"/>
                <w:position w:val="12"/>
                <w:sz w:val="12"/>
                <w:szCs w:val="12"/>
              </w:rPr>
              <w:t>②</w:t>
            </w:r>
            <w:r>
              <w:rPr>
                <w:rFonts w:ascii="宋体" w:hAnsi="宋体" w:cs="宋体"/>
                <w:color w:val="auto"/>
                <w:spacing w:val="3"/>
                <w:position w:val="12"/>
                <w:sz w:val="12"/>
                <w:szCs w:val="12"/>
              </w:rPr>
              <w:fldChar w:fldCharType="end"/>
            </w:r>
            <w:r>
              <w:rPr>
                <w:rFonts w:ascii="宋体" w:hAnsi="宋体" w:cs="宋体"/>
                <w:color w:val="auto"/>
                <w:spacing w:val="3"/>
                <w:sz w:val="24"/>
              </w:rPr>
              <w:t>,若交工验收时承包人具</w:t>
            </w:r>
            <w:r>
              <w:rPr>
                <w:rFonts w:ascii="宋体" w:hAnsi="宋体" w:cs="宋体"/>
                <w:color w:val="auto"/>
                <w:spacing w:val="6"/>
                <w:sz w:val="24"/>
              </w:rPr>
              <w:t>备被</w:t>
            </w:r>
            <w:r>
              <w:rPr>
                <w:rFonts w:hint="eastAsia" w:ascii="宋体" w:hAnsi="宋体" w:cs="宋体"/>
                <w:color w:val="auto"/>
                <w:spacing w:val="6"/>
                <w:sz w:val="24"/>
              </w:rPr>
              <w:t>招标</w:t>
            </w:r>
            <w:r>
              <w:rPr>
                <w:rFonts w:ascii="宋体" w:hAnsi="宋体" w:cs="宋体"/>
                <w:color w:val="auto"/>
                <w:spacing w:val="6"/>
                <w:sz w:val="24"/>
              </w:rPr>
              <w:t>项目所在地省级交通运输主管部门评定的最高信用等</w:t>
            </w:r>
            <w:r>
              <w:rPr>
                <w:rFonts w:ascii="宋体" w:hAnsi="宋体" w:cs="宋体"/>
                <w:color w:val="auto"/>
                <w:spacing w:val="-1"/>
                <w:sz w:val="24"/>
              </w:rPr>
              <w:t>级，发包人给予</w:t>
            </w:r>
            <w:r>
              <w:rPr>
                <w:rFonts w:hint="eastAsia" w:ascii="宋体" w:hAnsi="宋体" w:cs="宋体"/>
                <w:color w:val="auto"/>
                <w:spacing w:val="-1"/>
                <w:sz w:val="24"/>
                <w:u w:val="single"/>
              </w:rPr>
              <w:t>2</w:t>
            </w:r>
            <w:r>
              <w:rPr>
                <w:rFonts w:eastAsia="Times New Roman"/>
                <w:color w:val="auto"/>
                <w:spacing w:val="-1"/>
                <w:sz w:val="24"/>
              </w:rPr>
              <w:t>%</w:t>
            </w:r>
            <w:r>
              <w:rPr>
                <w:rFonts w:ascii="宋体" w:hAnsi="宋体" w:cs="宋体"/>
                <w:color w:val="auto"/>
                <w:spacing w:val="-1"/>
                <w:sz w:val="24"/>
              </w:rPr>
              <w:t>合同价格质量保证金的优惠。</w:t>
            </w:r>
            <w:r>
              <w:rPr>
                <w:color w:val="auto"/>
              </w:rPr>
              <w:fldChar w:fldCharType="begin"/>
            </w:r>
            <w:r>
              <w:rPr>
                <w:color w:val="auto"/>
              </w:rPr>
              <w:instrText xml:space="preserve"> HYPERLINK \l "bookmark249" </w:instrText>
            </w:r>
            <w:r>
              <w:rPr>
                <w:color w:val="auto"/>
              </w:rPr>
              <w:fldChar w:fldCharType="separate"/>
            </w:r>
            <w:r>
              <w:rPr>
                <w:rFonts w:ascii="宋体" w:hAnsi="宋体" w:cs="宋体"/>
                <w:color w:val="auto"/>
                <w:spacing w:val="-1"/>
                <w:position w:val="12"/>
                <w:sz w:val="12"/>
                <w:szCs w:val="12"/>
              </w:rPr>
              <w:t>③</w:t>
            </w:r>
            <w:r>
              <w:rPr>
                <w:rFonts w:ascii="宋体" w:hAnsi="宋体" w:cs="宋体"/>
                <w:color w:val="auto"/>
                <w:spacing w:val="-1"/>
                <w:position w:val="12"/>
                <w:sz w:val="12"/>
                <w:szCs w:val="12"/>
              </w:rPr>
              <w:fldChar w:fldCharType="end"/>
            </w:r>
          </w:p>
          <w:p w14:paraId="2C24E443">
            <w:pPr>
              <w:spacing w:before="65" w:line="219" w:lineRule="auto"/>
              <w:ind w:left="115"/>
              <w:rPr>
                <w:rFonts w:ascii="宋体" w:hAnsi="宋体" w:cs="宋体"/>
                <w:color w:val="auto"/>
                <w:sz w:val="24"/>
              </w:rPr>
            </w:pPr>
            <w:r>
              <w:rPr>
                <w:rFonts w:ascii="宋体" w:hAnsi="宋体" w:cs="宋体"/>
                <w:color w:val="auto"/>
                <w:spacing w:val="-1"/>
                <w:sz w:val="24"/>
              </w:rPr>
              <w:t>质量保证金是否计付利息：</w:t>
            </w:r>
            <w:r>
              <w:rPr>
                <w:rFonts w:hint="eastAsia" w:ascii="宋体" w:hAnsi="宋体" w:cs="宋体"/>
                <w:color w:val="auto"/>
                <w:spacing w:val="-1"/>
                <w:sz w:val="24"/>
                <w:u w:val="single"/>
              </w:rPr>
              <w:t>银行转账、支票、银行汇票、银行本票或者金融、担保机构出具的保函等非现金</w:t>
            </w:r>
          </w:p>
          <w:p w14:paraId="72130740">
            <w:pPr>
              <w:spacing w:before="113" w:line="206" w:lineRule="auto"/>
              <w:ind w:left="115"/>
              <w:rPr>
                <w:rFonts w:ascii="宋体" w:hAnsi="宋体" w:cs="宋体"/>
                <w:color w:val="auto"/>
                <w:sz w:val="24"/>
              </w:rPr>
            </w:pPr>
            <w:r>
              <w:rPr>
                <w:rFonts w:ascii="宋体" w:hAnsi="宋体" w:cs="宋体"/>
                <w:color w:val="auto"/>
                <w:spacing w:val="-1"/>
                <w:sz w:val="24"/>
              </w:rPr>
              <w:t>质量保证金利息的计算方式：</w:t>
            </w:r>
            <w:r>
              <w:rPr>
                <w:rFonts w:hint="eastAsia" w:ascii="宋体" w:hAnsi="宋体" w:cs="宋体"/>
                <w:color w:val="auto"/>
                <w:spacing w:val="-1"/>
                <w:sz w:val="24"/>
                <w:u w:val="single"/>
              </w:rPr>
              <w:t>不计利息</w:t>
            </w:r>
          </w:p>
        </w:tc>
      </w:tr>
      <w:tr w14:paraId="3ECED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74" w:type="dxa"/>
            <w:noWrap/>
          </w:tcPr>
          <w:p w14:paraId="1E038C45">
            <w:pPr>
              <w:pStyle w:val="280"/>
              <w:spacing w:line="316" w:lineRule="auto"/>
              <w:rPr>
                <w:color w:val="auto"/>
                <w:lang w:eastAsia="zh-CN"/>
              </w:rPr>
            </w:pPr>
          </w:p>
          <w:p w14:paraId="5CA5A0EB">
            <w:pPr>
              <w:spacing w:before="69" w:line="188" w:lineRule="auto"/>
              <w:ind w:left="268"/>
              <w:rPr>
                <w:rFonts w:eastAsia="Times New Roman"/>
                <w:color w:val="auto"/>
                <w:sz w:val="24"/>
              </w:rPr>
            </w:pPr>
            <w:r>
              <w:rPr>
                <w:rFonts w:eastAsia="Times New Roman"/>
                <w:color w:val="auto"/>
                <w:spacing w:val="-3"/>
                <w:sz w:val="24"/>
              </w:rPr>
              <w:t>20</w:t>
            </w:r>
          </w:p>
        </w:tc>
        <w:tc>
          <w:tcPr>
            <w:tcW w:w="1386" w:type="dxa"/>
            <w:noWrap/>
          </w:tcPr>
          <w:p w14:paraId="2B131A33">
            <w:pPr>
              <w:spacing w:before="185" w:line="188" w:lineRule="auto"/>
              <w:ind w:left="417"/>
              <w:rPr>
                <w:rFonts w:eastAsia="Times New Roman"/>
                <w:color w:val="auto"/>
                <w:sz w:val="24"/>
              </w:rPr>
            </w:pPr>
            <w:r>
              <w:rPr>
                <w:rFonts w:eastAsia="Times New Roman"/>
                <w:color w:val="auto"/>
                <w:spacing w:val="-5"/>
                <w:sz w:val="24"/>
              </w:rPr>
              <w:t>17.5.1</w:t>
            </w:r>
          </w:p>
          <w:p w14:paraId="2CC7D831">
            <w:pPr>
              <w:spacing w:before="126" w:line="205" w:lineRule="auto"/>
              <w:ind w:left="410"/>
              <w:rPr>
                <w:rFonts w:ascii="宋体" w:hAnsi="宋体" w:cs="宋体"/>
                <w:color w:val="auto"/>
                <w:sz w:val="24"/>
              </w:rPr>
            </w:pPr>
            <w:r>
              <w:rPr>
                <w:rFonts w:ascii="宋体" w:hAnsi="宋体" w:cs="宋体"/>
                <w:color w:val="auto"/>
                <w:spacing w:val="-7"/>
                <w:sz w:val="24"/>
              </w:rPr>
              <w:t>（</w:t>
            </w:r>
            <w:r>
              <w:rPr>
                <w:rFonts w:eastAsia="Times New Roman"/>
                <w:color w:val="auto"/>
                <w:spacing w:val="-7"/>
                <w:sz w:val="24"/>
              </w:rPr>
              <w:t>1</w:t>
            </w:r>
            <w:r>
              <w:rPr>
                <w:rFonts w:ascii="宋体" w:hAnsi="宋体" w:cs="宋体"/>
                <w:color w:val="auto"/>
                <w:spacing w:val="-7"/>
                <w:sz w:val="24"/>
              </w:rPr>
              <w:t>）</w:t>
            </w:r>
          </w:p>
        </w:tc>
        <w:tc>
          <w:tcPr>
            <w:tcW w:w="6888" w:type="dxa"/>
            <w:noWrap/>
          </w:tcPr>
          <w:p w14:paraId="561BCDD8">
            <w:pPr>
              <w:spacing w:before="126" w:line="257" w:lineRule="auto"/>
              <w:ind w:left="114" w:right="105"/>
              <w:rPr>
                <w:rFonts w:ascii="宋体" w:hAnsi="宋体" w:cs="宋体"/>
                <w:color w:val="auto"/>
                <w:sz w:val="24"/>
              </w:rPr>
            </w:pPr>
            <w:r>
              <w:rPr>
                <w:rFonts w:ascii="宋体" w:hAnsi="宋体" w:cs="宋体"/>
                <w:color w:val="auto"/>
                <w:spacing w:val="7"/>
                <w:sz w:val="24"/>
              </w:rPr>
              <w:t>承包人向咨询人提交交工付款申请单（包括</w:t>
            </w:r>
            <w:r>
              <w:rPr>
                <w:rFonts w:ascii="宋体" w:hAnsi="宋体" w:cs="宋体"/>
                <w:color w:val="auto"/>
                <w:spacing w:val="6"/>
                <w:sz w:val="24"/>
              </w:rPr>
              <w:t>相关证明材料）的</w:t>
            </w:r>
            <w:r>
              <w:rPr>
                <w:rFonts w:ascii="宋体" w:hAnsi="宋体" w:cs="宋体"/>
                <w:color w:val="auto"/>
                <w:spacing w:val="-1"/>
                <w:sz w:val="24"/>
              </w:rPr>
              <w:t>份数：</w:t>
            </w:r>
            <w:r>
              <w:rPr>
                <w:rFonts w:hint="eastAsia" w:ascii="宋体" w:hAnsi="宋体" w:cs="宋体"/>
                <w:color w:val="auto"/>
                <w:spacing w:val="-1"/>
                <w:sz w:val="24"/>
                <w:u w:val="single"/>
              </w:rPr>
              <w:t>5</w:t>
            </w:r>
            <w:r>
              <w:rPr>
                <w:rFonts w:ascii="宋体" w:hAnsi="宋体" w:cs="宋体"/>
                <w:color w:val="auto"/>
                <w:spacing w:val="-1"/>
                <w:sz w:val="24"/>
              </w:rPr>
              <w:t>份</w:t>
            </w:r>
          </w:p>
        </w:tc>
      </w:tr>
      <w:tr w14:paraId="125D9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74" w:type="dxa"/>
            <w:noWrap/>
          </w:tcPr>
          <w:p w14:paraId="5ABEDFB4">
            <w:pPr>
              <w:pStyle w:val="280"/>
              <w:spacing w:line="315" w:lineRule="auto"/>
              <w:rPr>
                <w:color w:val="auto"/>
                <w:lang w:eastAsia="zh-CN"/>
              </w:rPr>
            </w:pPr>
          </w:p>
          <w:p w14:paraId="2A53EEE0">
            <w:pPr>
              <w:spacing w:before="69" w:line="188" w:lineRule="auto"/>
              <w:ind w:left="268"/>
              <w:rPr>
                <w:rFonts w:eastAsia="Times New Roman"/>
                <w:color w:val="auto"/>
                <w:sz w:val="24"/>
              </w:rPr>
            </w:pPr>
            <w:r>
              <w:rPr>
                <w:rFonts w:eastAsia="Times New Roman"/>
                <w:color w:val="auto"/>
                <w:spacing w:val="-3"/>
                <w:sz w:val="24"/>
              </w:rPr>
              <w:t>21</w:t>
            </w:r>
          </w:p>
        </w:tc>
        <w:tc>
          <w:tcPr>
            <w:tcW w:w="1386" w:type="dxa"/>
            <w:noWrap/>
          </w:tcPr>
          <w:p w14:paraId="667BB0B8">
            <w:pPr>
              <w:spacing w:before="187" w:line="188" w:lineRule="auto"/>
              <w:ind w:left="417"/>
              <w:rPr>
                <w:rFonts w:eastAsia="Times New Roman"/>
                <w:color w:val="auto"/>
                <w:sz w:val="24"/>
              </w:rPr>
            </w:pPr>
            <w:r>
              <w:rPr>
                <w:rFonts w:eastAsia="Times New Roman"/>
                <w:color w:val="auto"/>
                <w:spacing w:val="-5"/>
                <w:sz w:val="24"/>
              </w:rPr>
              <w:t>17.6.1</w:t>
            </w:r>
          </w:p>
          <w:p w14:paraId="6F7B9D2C">
            <w:pPr>
              <w:spacing w:before="123" w:line="206" w:lineRule="auto"/>
              <w:ind w:left="410"/>
              <w:rPr>
                <w:rFonts w:ascii="宋体" w:hAnsi="宋体" w:cs="宋体"/>
                <w:color w:val="auto"/>
                <w:sz w:val="24"/>
              </w:rPr>
            </w:pPr>
            <w:r>
              <w:rPr>
                <w:rFonts w:ascii="宋体" w:hAnsi="宋体" w:cs="宋体"/>
                <w:color w:val="auto"/>
                <w:spacing w:val="-7"/>
                <w:sz w:val="24"/>
              </w:rPr>
              <w:t>（</w:t>
            </w:r>
            <w:r>
              <w:rPr>
                <w:rFonts w:eastAsia="Times New Roman"/>
                <w:color w:val="auto"/>
                <w:spacing w:val="-7"/>
                <w:sz w:val="24"/>
              </w:rPr>
              <w:t>1</w:t>
            </w:r>
            <w:r>
              <w:rPr>
                <w:rFonts w:ascii="宋体" w:hAnsi="宋体" w:cs="宋体"/>
                <w:color w:val="auto"/>
                <w:spacing w:val="-7"/>
                <w:sz w:val="24"/>
              </w:rPr>
              <w:t>）</w:t>
            </w:r>
          </w:p>
        </w:tc>
        <w:tc>
          <w:tcPr>
            <w:tcW w:w="6888" w:type="dxa"/>
            <w:noWrap/>
          </w:tcPr>
          <w:p w14:paraId="7BEDA003">
            <w:pPr>
              <w:spacing w:before="129" w:line="256" w:lineRule="auto"/>
              <w:ind w:left="114" w:right="105"/>
              <w:rPr>
                <w:rFonts w:ascii="宋体" w:hAnsi="宋体" w:cs="宋体"/>
                <w:color w:val="auto"/>
                <w:sz w:val="24"/>
              </w:rPr>
            </w:pPr>
            <w:r>
              <w:rPr>
                <w:rFonts w:ascii="宋体" w:hAnsi="宋体" w:cs="宋体"/>
                <w:color w:val="auto"/>
                <w:spacing w:val="7"/>
                <w:sz w:val="24"/>
              </w:rPr>
              <w:t>承包人向咨询人提交最终结清申请单（包括</w:t>
            </w:r>
            <w:r>
              <w:rPr>
                <w:rFonts w:ascii="宋体" w:hAnsi="宋体" w:cs="宋体"/>
                <w:color w:val="auto"/>
                <w:spacing w:val="6"/>
                <w:sz w:val="24"/>
              </w:rPr>
              <w:t>相关证明材料）的</w:t>
            </w:r>
            <w:r>
              <w:rPr>
                <w:rFonts w:ascii="宋体" w:hAnsi="宋体" w:cs="宋体"/>
                <w:color w:val="auto"/>
                <w:spacing w:val="-1"/>
                <w:sz w:val="24"/>
              </w:rPr>
              <w:t>份数：</w:t>
            </w:r>
            <w:r>
              <w:rPr>
                <w:rFonts w:hint="eastAsia" w:ascii="宋体" w:hAnsi="宋体" w:cs="宋体"/>
                <w:color w:val="auto"/>
                <w:spacing w:val="-1"/>
                <w:sz w:val="24"/>
                <w:u w:val="single"/>
              </w:rPr>
              <w:t>5</w:t>
            </w:r>
            <w:r>
              <w:rPr>
                <w:rFonts w:ascii="宋体" w:hAnsi="宋体" w:cs="宋体"/>
                <w:color w:val="auto"/>
                <w:spacing w:val="-1"/>
                <w:sz w:val="24"/>
              </w:rPr>
              <w:t>份</w:t>
            </w:r>
          </w:p>
        </w:tc>
      </w:tr>
      <w:tr w14:paraId="1EC4B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74" w:type="dxa"/>
            <w:noWrap/>
          </w:tcPr>
          <w:p w14:paraId="18E84160">
            <w:pPr>
              <w:pStyle w:val="280"/>
              <w:spacing w:line="316" w:lineRule="auto"/>
              <w:rPr>
                <w:color w:val="auto"/>
                <w:lang w:eastAsia="zh-CN"/>
              </w:rPr>
            </w:pPr>
          </w:p>
          <w:p w14:paraId="6763D2CC">
            <w:pPr>
              <w:spacing w:before="69" w:line="188" w:lineRule="auto"/>
              <w:ind w:left="268"/>
              <w:rPr>
                <w:rFonts w:eastAsia="Times New Roman"/>
                <w:color w:val="auto"/>
                <w:sz w:val="24"/>
              </w:rPr>
            </w:pPr>
            <w:r>
              <w:rPr>
                <w:rFonts w:eastAsia="Times New Roman"/>
                <w:color w:val="auto"/>
                <w:spacing w:val="-3"/>
                <w:sz w:val="24"/>
              </w:rPr>
              <w:t>22</w:t>
            </w:r>
          </w:p>
        </w:tc>
        <w:tc>
          <w:tcPr>
            <w:tcW w:w="1386" w:type="dxa"/>
            <w:noWrap/>
          </w:tcPr>
          <w:p w14:paraId="47E5CADE">
            <w:pPr>
              <w:pStyle w:val="280"/>
              <w:spacing w:line="316" w:lineRule="auto"/>
              <w:rPr>
                <w:color w:val="auto"/>
              </w:rPr>
            </w:pPr>
          </w:p>
          <w:p w14:paraId="2CFD5FF8">
            <w:pPr>
              <w:spacing w:before="69" w:line="188" w:lineRule="auto"/>
              <w:ind w:left="417"/>
              <w:rPr>
                <w:rFonts w:eastAsia="Times New Roman"/>
                <w:color w:val="auto"/>
                <w:sz w:val="24"/>
              </w:rPr>
            </w:pPr>
            <w:r>
              <w:rPr>
                <w:rFonts w:eastAsia="Times New Roman"/>
                <w:color w:val="auto"/>
                <w:spacing w:val="-5"/>
                <w:sz w:val="24"/>
              </w:rPr>
              <w:t>18.3.1</w:t>
            </w:r>
          </w:p>
        </w:tc>
        <w:tc>
          <w:tcPr>
            <w:tcW w:w="6888" w:type="dxa"/>
            <w:noWrap/>
          </w:tcPr>
          <w:p w14:paraId="245F3150">
            <w:pPr>
              <w:spacing w:before="127" w:line="218" w:lineRule="auto"/>
              <w:ind w:left="114"/>
              <w:rPr>
                <w:rFonts w:ascii="宋体" w:hAnsi="宋体" w:cs="宋体"/>
                <w:color w:val="auto"/>
                <w:sz w:val="24"/>
              </w:rPr>
            </w:pPr>
            <w:r>
              <w:rPr>
                <w:rFonts w:ascii="宋体" w:hAnsi="宋体" w:cs="宋体"/>
                <w:color w:val="auto"/>
                <w:spacing w:val="-1"/>
                <w:sz w:val="24"/>
              </w:rPr>
              <w:t>承包人提供工程验收资料和验收申请报告的期限：</w:t>
            </w:r>
            <w:r>
              <w:rPr>
                <w:rFonts w:hint="eastAsia" w:ascii="宋体" w:hAnsi="宋体" w:cs="宋体"/>
                <w:color w:val="auto"/>
                <w:spacing w:val="1"/>
                <w:sz w:val="24"/>
                <w:u w:val="single"/>
              </w:rPr>
              <w:t>14天</w:t>
            </w:r>
          </w:p>
          <w:p w14:paraId="6AFC1F7C">
            <w:pPr>
              <w:spacing w:before="117" w:line="205" w:lineRule="auto"/>
              <w:ind w:left="114"/>
              <w:rPr>
                <w:rFonts w:ascii="宋体" w:hAnsi="宋体" w:cs="宋体"/>
                <w:color w:val="auto"/>
                <w:sz w:val="24"/>
              </w:rPr>
            </w:pPr>
            <w:r>
              <w:rPr>
                <w:rFonts w:ascii="宋体" w:hAnsi="宋体" w:cs="宋体"/>
                <w:color w:val="auto"/>
                <w:spacing w:val="-1"/>
                <w:sz w:val="24"/>
              </w:rPr>
              <w:t>承包人提供工程验收资料和验收申请报告的份数：</w:t>
            </w:r>
            <w:r>
              <w:rPr>
                <w:rFonts w:hint="eastAsia" w:ascii="宋体" w:hAnsi="宋体" w:cs="宋体"/>
                <w:color w:val="auto"/>
                <w:spacing w:val="-1"/>
                <w:sz w:val="24"/>
                <w:u w:val="single"/>
              </w:rPr>
              <w:t>4</w:t>
            </w:r>
            <w:r>
              <w:rPr>
                <w:rFonts w:ascii="宋体" w:hAnsi="宋体" w:cs="宋体"/>
                <w:color w:val="auto"/>
                <w:spacing w:val="-1"/>
                <w:sz w:val="24"/>
              </w:rPr>
              <w:t>份</w:t>
            </w:r>
          </w:p>
        </w:tc>
      </w:tr>
      <w:tr w14:paraId="31F48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74" w:type="dxa"/>
            <w:noWrap/>
          </w:tcPr>
          <w:p w14:paraId="0AA27FF2">
            <w:pPr>
              <w:spacing w:before="186" w:line="181" w:lineRule="auto"/>
              <w:ind w:left="268"/>
              <w:rPr>
                <w:rFonts w:eastAsia="Times New Roman"/>
                <w:color w:val="auto"/>
                <w:sz w:val="24"/>
              </w:rPr>
            </w:pPr>
            <w:r>
              <w:rPr>
                <w:rFonts w:eastAsia="Times New Roman"/>
                <w:color w:val="auto"/>
                <w:spacing w:val="-3"/>
                <w:sz w:val="24"/>
              </w:rPr>
              <w:t>23</w:t>
            </w:r>
          </w:p>
        </w:tc>
        <w:tc>
          <w:tcPr>
            <w:tcW w:w="1386" w:type="dxa"/>
            <w:noWrap/>
          </w:tcPr>
          <w:p w14:paraId="49728867">
            <w:pPr>
              <w:spacing w:before="186" w:line="181" w:lineRule="auto"/>
              <w:ind w:left="417"/>
              <w:rPr>
                <w:color w:val="auto"/>
                <w:sz w:val="24"/>
              </w:rPr>
            </w:pPr>
            <w:r>
              <w:rPr>
                <w:rFonts w:hint="eastAsia"/>
                <w:color w:val="auto"/>
                <w:sz w:val="24"/>
              </w:rPr>
              <w:t>19.7（1）</w:t>
            </w:r>
          </w:p>
        </w:tc>
        <w:tc>
          <w:tcPr>
            <w:tcW w:w="6888" w:type="dxa"/>
            <w:noWrap/>
          </w:tcPr>
          <w:p w14:paraId="0E5B7AFD">
            <w:pPr>
              <w:spacing w:before="128" w:line="205" w:lineRule="auto"/>
              <w:ind w:left="114"/>
              <w:rPr>
                <w:rFonts w:ascii="宋体" w:hAnsi="宋体" w:cs="宋体"/>
                <w:color w:val="auto"/>
                <w:sz w:val="24"/>
              </w:rPr>
            </w:pPr>
            <w:r>
              <w:rPr>
                <w:rFonts w:ascii="宋体" w:hAnsi="宋体" w:cs="宋体"/>
                <w:color w:val="auto"/>
                <w:sz w:val="24"/>
              </w:rPr>
              <w:t>保修期：自实际竣工日期起计算</w:t>
            </w:r>
            <w:r>
              <w:rPr>
                <w:rFonts w:ascii="宋体" w:hAnsi="宋体" w:cs="宋体"/>
                <w:color w:val="auto"/>
                <w:sz w:val="24"/>
                <w:u w:val="single"/>
              </w:rPr>
              <w:t xml:space="preserve"> 5</w:t>
            </w:r>
            <w:r>
              <w:rPr>
                <w:rFonts w:ascii="宋体" w:hAnsi="宋体" w:cs="宋体"/>
                <w:color w:val="auto"/>
                <w:sz w:val="24"/>
              </w:rPr>
              <w:t>年</w:t>
            </w:r>
          </w:p>
        </w:tc>
      </w:tr>
      <w:tr w14:paraId="185A0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774" w:type="dxa"/>
            <w:noWrap/>
          </w:tcPr>
          <w:p w14:paraId="0ABE7677">
            <w:pPr>
              <w:pStyle w:val="280"/>
              <w:spacing w:line="468" w:lineRule="auto"/>
              <w:rPr>
                <w:color w:val="auto"/>
                <w:lang w:eastAsia="zh-CN"/>
              </w:rPr>
            </w:pPr>
          </w:p>
          <w:p w14:paraId="31687F7E">
            <w:pPr>
              <w:spacing w:before="69" w:line="188" w:lineRule="auto"/>
              <w:ind w:left="268"/>
              <w:rPr>
                <w:rFonts w:eastAsia="Times New Roman"/>
                <w:color w:val="auto"/>
                <w:sz w:val="24"/>
              </w:rPr>
            </w:pPr>
            <w:r>
              <w:rPr>
                <w:rFonts w:eastAsia="Times New Roman"/>
                <w:color w:val="auto"/>
                <w:spacing w:val="-3"/>
                <w:sz w:val="24"/>
              </w:rPr>
              <w:t>24</w:t>
            </w:r>
          </w:p>
        </w:tc>
        <w:tc>
          <w:tcPr>
            <w:tcW w:w="1386" w:type="dxa"/>
            <w:noWrap/>
          </w:tcPr>
          <w:p w14:paraId="3EB8B6A5">
            <w:pPr>
              <w:pStyle w:val="280"/>
              <w:spacing w:line="408" w:lineRule="auto"/>
              <w:rPr>
                <w:color w:val="auto"/>
              </w:rPr>
            </w:pPr>
          </w:p>
          <w:p w14:paraId="05447DF0">
            <w:pPr>
              <w:spacing w:before="69" w:line="188" w:lineRule="auto"/>
              <w:ind w:left="483"/>
              <w:rPr>
                <w:rFonts w:eastAsia="Times New Roman"/>
                <w:color w:val="auto"/>
                <w:sz w:val="24"/>
              </w:rPr>
            </w:pPr>
            <w:r>
              <w:rPr>
                <w:rFonts w:eastAsia="Times New Roman"/>
                <w:color w:val="auto"/>
                <w:spacing w:val="-2"/>
                <w:sz w:val="24"/>
              </w:rPr>
              <w:t>20.1</w:t>
            </w:r>
          </w:p>
        </w:tc>
        <w:tc>
          <w:tcPr>
            <w:tcW w:w="6888" w:type="dxa"/>
            <w:noWrap/>
          </w:tcPr>
          <w:p w14:paraId="7C57EF73">
            <w:pPr>
              <w:spacing w:before="127" w:line="219" w:lineRule="auto"/>
              <w:ind w:left="114"/>
              <w:rPr>
                <w:rFonts w:ascii="宋体" w:hAnsi="宋体" w:cs="宋体"/>
                <w:color w:val="auto"/>
                <w:sz w:val="24"/>
              </w:rPr>
            </w:pPr>
            <w:r>
              <w:rPr>
                <w:rFonts w:ascii="宋体" w:hAnsi="宋体" w:cs="宋体"/>
                <w:color w:val="auto"/>
                <w:spacing w:val="1"/>
                <w:sz w:val="24"/>
              </w:rPr>
              <w:t>承包人投保安全生产责任保险</w:t>
            </w:r>
            <w:r>
              <w:rPr>
                <w:rFonts w:ascii="宋体" w:hAnsi="宋体" w:cs="宋体"/>
                <w:color w:val="auto"/>
                <w:spacing w:val="-14"/>
                <w:sz w:val="24"/>
              </w:rPr>
              <w:t>：</w:t>
            </w:r>
            <w:r>
              <w:rPr>
                <w:rFonts w:ascii="宋体" w:hAnsi="宋体" w:cs="宋体"/>
                <w:color w:val="auto"/>
                <w:spacing w:val="1"/>
                <w:sz w:val="24"/>
                <w:u w:val="single"/>
              </w:rPr>
              <w:t>是</w:t>
            </w:r>
          </w:p>
          <w:p w14:paraId="6CFDA193">
            <w:pPr>
              <w:spacing w:before="116" w:line="360" w:lineRule="exact"/>
              <w:ind w:left="119"/>
              <w:outlineLvl w:val="2"/>
              <w:rPr>
                <w:rFonts w:ascii="宋体" w:hAnsi="宋体" w:cs="宋体"/>
                <w:color w:val="auto"/>
                <w:sz w:val="24"/>
              </w:rPr>
            </w:pPr>
            <w:r>
              <w:rPr>
                <w:rFonts w:ascii="宋体" w:hAnsi="宋体" w:cs="宋体"/>
                <w:color w:val="auto"/>
                <w:spacing w:val="-2"/>
                <w:sz w:val="24"/>
              </w:rPr>
              <w:t>安全生产责任保险保险金额</w:t>
            </w:r>
            <w:r>
              <w:rPr>
                <w:rFonts w:ascii="宋体" w:hAnsi="宋体" w:cs="宋体"/>
                <w:color w:val="auto"/>
                <w:spacing w:val="-2"/>
                <w:sz w:val="24"/>
                <w:u w:val="single"/>
              </w:rPr>
              <w:t>：</w:t>
            </w:r>
            <w:r>
              <w:rPr>
                <w:rFonts w:hint="eastAsia" w:ascii="宋体" w:hAnsi="宋体" w:cs="宋体"/>
                <w:color w:val="auto"/>
                <w:spacing w:val="-2"/>
                <w:sz w:val="24"/>
                <w:u w:val="single"/>
              </w:rPr>
              <w:t>承包人应根据《广西壮族自治区交通运输厅关于推进实施行业工程建设领域安全生产责任保险工作的通知》（桂交安监函〔2025〕507号）要求购买安全生产责任保险。</w:t>
            </w:r>
            <w:r>
              <w:rPr>
                <w:rFonts w:hint="eastAsia" w:ascii="宋体" w:hAnsi="宋体" w:cs="宋体"/>
                <w:color w:val="auto"/>
                <w:spacing w:val="-2"/>
                <w:sz w:val="24"/>
                <w:u w:val="single"/>
                <w:lang w:val="zh-CN"/>
              </w:rPr>
              <w:t>安全生产责任险的保险费在安全生产费中计取。承包人必须按磋商文件的要求足额购买并向发包人提供保单，</w:t>
            </w:r>
            <w:r>
              <w:rPr>
                <w:rFonts w:hint="eastAsia" w:ascii="宋体" w:hAnsi="宋体" w:cs="宋体"/>
                <w:color w:val="auto"/>
                <w:spacing w:val="-2"/>
                <w:sz w:val="24"/>
                <w:u w:val="single"/>
              </w:rPr>
              <w:t>发包人在接到保险单后，将按照保险单的费用在安全生产费用中向承包人支付。</w:t>
            </w:r>
          </w:p>
          <w:p w14:paraId="3F0FAEEA">
            <w:pPr>
              <w:spacing w:before="27" w:line="204" w:lineRule="auto"/>
              <w:ind w:left="115"/>
              <w:rPr>
                <w:rFonts w:ascii="宋体" w:hAnsi="宋体" w:cs="宋体"/>
                <w:color w:val="auto"/>
                <w:sz w:val="24"/>
              </w:rPr>
            </w:pPr>
            <w:r>
              <w:rPr>
                <w:rFonts w:ascii="宋体" w:hAnsi="宋体" w:cs="宋体"/>
                <w:color w:val="auto"/>
                <w:spacing w:val="-3"/>
                <w:sz w:val="24"/>
              </w:rPr>
              <w:t>保险期限：</w:t>
            </w:r>
            <w:r>
              <w:rPr>
                <w:rFonts w:hint="eastAsia" w:ascii="宋体" w:hAnsi="宋体" w:cs="宋体"/>
                <w:color w:val="auto"/>
                <w:spacing w:val="-3"/>
                <w:sz w:val="24"/>
                <w:u w:val="single"/>
                <w:lang w:val="zh-CN"/>
              </w:rPr>
              <w:t>自开工之日起至</w:t>
            </w:r>
            <w:r>
              <w:rPr>
                <w:rFonts w:hint="eastAsia" w:ascii="宋体" w:hAnsi="宋体" w:cs="宋体"/>
                <w:color w:val="auto"/>
                <w:spacing w:val="-3"/>
                <w:sz w:val="24"/>
                <w:u w:val="single"/>
              </w:rPr>
              <w:t>缺陷责任期终止证书颁发前止</w:t>
            </w:r>
          </w:p>
        </w:tc>
      </w:tr>
      <w:tr w14:paraId="27997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74" w:type="dxa"/>
            <w:noWrap/>
          </w:tcPr>
          <w:p w14:paraId="439BAA91">
            <w:pPr>
              <w:pStyle w:val="280"/>
              <w:spacing w:line="316" w:lineRule="auto"/>
              <w:rPr>
                <w:color w:val="auto"/>
                <w:lang w:eastAsia="zh-CN"/>
              </w:rPr>
            </w:pPr>
          </w:p>
          <w:p w14:paraId="6ABEA529">
            <w:pPr>
              <w:spacing w:before="69" w:line="188" w:lineRule="auto"/>
              <w:ind w:left="268"/>
              <w:rPr>
                <w:rFonts w:eastAsia="Times New Roman"/>
                <w:color w:val="auto"/>
                <w:sz w:val="24"/>
              </w:rPr>
            </w:pPr>
            <w:r>
              <w:rPr>
                <w:rFonts w:eastAsia="Times New Roman"/>
                <w:color w:val="auto"/>
                <w:spacing w:val="-3"/>
                <w:sz w:val="24"/>
              </w:rPr>
              <w:t>25</w:t>
            </w:r>
          </w:p>
        </w:tc>
        <w:tc>
          <w:tcPr>
            <w:tcW w:w="1386" w:type="dxa"/>
            <w:noWrap/>
          </w:tcPr>
          <w:p w14:paraId="40CF3E97">
            <w:pPr>
              <w:pStyle w:val="280"/>
              <w:spacing w:line="316" w:lineRule="auto"/>
              <w:rPr>
                <w:color w:val="auto"/>
              </w:rPr>
            </w:pPr>
          </w:p>
          <w:p w14:paraId="16B1D5B4">
            <w:pPr>
              <w:spacing w:before="69" w:line="188" w:lineRule="auto"/>
              <w:ind w:left="394"/>
              <w:rPr>
                <w:rFonts w:eastAsia="Times New Roman"/>
                <w:color w:val="auto"/>
                <w:sz w:val="24"/>
              </w:rPr>
            </w:pPr>
            <w:r>
              <w:rPr>
                <w:rFonts w:eastAsia="Times New Roman"/>
                <w:color w:val="auto"/>
                <w:spacing w:val="-1"/>
                <w:sz w:val="24"/>
              </w:rPr>
              <w:t>20.2.1</w:t>
            </w:r>
          </w:p>
        </w:tc>
        <w:tc>
          <w:tcPr>
            <w:tcW w:w="6888" w:type="dxa"/>
            <w:noWrap/>
          </w:tcPr>
          <w:p w14:paraId="6794FDDD">
            <w:pPr>
              <w:spacing w:before="112" w:line="205" w:lineRule="auto"/>
              <w:ind w:left="115"/>
              <w:rPr>
                <w:rFonts w:hint="eastAsia" w:ascii="宋体" w:hAnsi="宋体" w:eastAsia="宋体" w:cs="宋体"/>
                <w:color w:val="auto"/>
                <w:sz w:val="24"/>
                <w:lang w:eastAsia="zh-CN"/>
              </w:rPr>
            </w:pPr>
            <w:r>
              <w:rPr>
                <w:rFonts w:hint="eastAsia" w:ascii="宋体" w:hAnsi="宋体" w:cs="宋体"/>
                <w:color w:val="auto"/>
                <w:spacing w:val="-2"/>
                <w:sz w:val="24"/>
              </w:rPr>
              <w:t>本项目取消建筑工程一切险</w:t>
            </w:r>
            <w:r>
              <w:rPr>
                <w:rFonts w:hint="eastAsia" w:ascii="宋体" w:hAnsi="宋体" w:cs="宋体"/>
                <w:color w:val="auto"/>
                <w:spacing w:val="-2"/>
                <w:sz w:val="24"/>
                <w:lang w:eastAsia="zh-CN"/>
              </w:rPr>
              <w:t>。</w:t>
            </w:r>
          </w:p>
        </w:tc>
      </w:tr>
      <w:tr w14:paraId="7F748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74" w:type="dxa"/>
            <w:noWrap/>
          </w:tcPr>
          <w:p w14:paraId="0929B6F2">
            <w:pPr>
              <w:pStyle w:val="280"/>
              <w:spacing w:line="257" w:lineRule="auto"/>
              <w:rPr>
                <w:color w:val="auto"/>
                <w:lang w:eastAsia="zh-CN"/>
              </w:rPr>
            </w:pPr>
          </w:p>
          <w:p w14:paraId="4A33A938">
            <w:pPr>
              <w:pStyle w:val="280"/>
              <w:spacing w:line="258" w:lineRule="auto"/>
              <w:rPr>
                <w:color w:val="auto"/>
                <w:lang w:eastAsia="zh-CN"/>
              </w:rPr>
            </w:pPr>
          </w:p>
          <w:p w14:paraId="096FDAA5">
            <w:pPr>
              <w:spacing w:before="69" w:line="188" w:lineRule="auto"/>
              <w:ind w:left="268"/>
              <w:rPr>
                <w:rFonts w:eastAsia="Times New Roman"/>
                <w:color w:val="auto"/>
                <w:sz w:val="24"/>
              </w:rPr>
            </w:pPr>
            <w:r>
              <w:rPr>
                <w:rFonts w:eastAsia="Times New Roman"/>
                <w:color w:val="auto"/>
                <w:spacing w:val="-3"/>
                <w:sz w:val="24"/>
              </w:rPr>
              <w:t>26</w:t>
            </w:r>
          </w:p>
        </w:tc>
        <w:tc>
          <w:tcPr>
            <w:tcW w:w="1386" w:type="dxa"/>
            <w:noWrap/>
          </w:tcPr>
          <w:p w14:paraId="37F43B17">
            <w:pPr>
              <w:pStyle w:val="280"/>
              <w:spacing w:line="315" w:lineRule="auto"/>
              <w:rPr>
                <w:color w:val="auto"/>
              </w:rPr>
            </w:pPr>
          </w:p>
          <w:p w14:paraId="421814DF">
            <w:pPr>
              <w:spacing w:before="69" w:line="188" w:lineRule="auto"/>
              <w:ind w:left="394"/>
              <w:rPr>
                <w:rFonts w:eastAsia="Times New Roman"/>
                <w:color w:val="auto"/>
                <w:sz w:val="24"/>
              </w:rPr>
            </w:pPr>
            <w:r>
              <w:rPr>
                <w:rFonts w:eastAsia="Times New Roman"/>
                <w:color w:val="auto"/>
                <w:spacing w:val="-1"/>
                <w:sz w:val="24"/>
              </w:rPr>
              <w:t>20.2.2</w:t>
            </w:r>
          </w:p>
          <w:p w14:paraId="637F9C33">
            <w:pPr>
              <w:spacing w:before="125" w:line="232" w:lineRule="auto"/>
              <w:ind w:left="410"/>
              <w:rPr>
                <w:rFonts w:ascii="宋体" w:hAnsi="宋体" w:cs="宋体"/>
                <w:color w:val="auto"/>
                <w:sz w:val="24"/>
              </w:rPr>
            </w:pPr>
            <w:r>
              <w:rPr>
                <w:rFonts w:ascii="宋体" w:hAnsi="宋体" w:cs="宋体"/>
                <w:color w:val="auto"/>
                <w:spacing w:val="-7"/>
                <w:sz w:val="24"/>
              </w:rPr>
              <w:t>（</w:t>
            </w:r>
            <w:r>
              <w:rPr>
                <w:rFonts w:eastAsia="Times New Roman"/>
                <w:color w:val="auto"/>
                <w:spacing w:val="-7"/>
                <w:sz w:val="24"/>
              </w:rPr>
              <w:t>2</w:t>
            </w:r>
            <w:r>
              <w:rPr>
                <w:rFonts w:ascii="宋体" w:hAnsi="宋体" w:cs="宋体"/>
                <w:color w:val="auto"/>
                <w:spacing w:val="-7"/>
                <w:sz w:val="24"/>
              </w:rPr>
              <w:t>）</w:t>
            </w:r>
          </w:p>
        </w:tc>
        <w:tc>
          <w:tcPr>
            <w:tcW w:w="6888" w:type="dxa"/>
            <w:noWrap/>
          </w:tcPr>
          <w:p w14:paraId="7F510400">
            <w:pPr>
              <w:spacing w:before="112" w:line="205" w:lineRule="auto"/>
              <w:ind w:left="115"/>
              <w:rPr>
                <w:rFonts w:eastAsia="Times New Roman"/>
                <w:color w:val="auto"/>
                <w:spacing w:val="-2"/>
                <w:sz w:val="24"/>
              </w:rPr>
            </w:pPr>
            <w:r>
              <w:rPr>
                <w:rFonts w:hint="eastAsia" w:ascii="宋体" w:hAnsi="宋体" w:cs="宋体"/>
                <w:color w:val="auto"/>
                <w:spacing w:val="-2"/>
                <w:sz w:val="24"/>
              </w:rPr>
              <w:t>第三者责任险由承包人以承包人与项目法人的名义联名投保，保险费由承包人承担并支付，供应商应在所报的单价或总额价中对该保险费予以考虑，项目法人不单独进行计量与支付。</w:t>
            </w:r>
          </w:p>
        </w:tc>
      </w:tr>
      <w:tr w14:paraId="60242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74" w:type="dxa"/>
            <w:noWrap/>
          </w:tcPr>
          <w:p w14:paraId="36A821C5">
            <w:pPr>
              <w:pStyle w:val="280"/>
              <w:spacing w:line="318" w:lineRule="auto"/>
              <w:rPr>
                <w:color w:val="auto"/>
                <w:lang w:eastAsia="zh-CN"/>
              </w:rPr>
            </w:pPr>
          </w:p>
          <w:p w14:paraId="2B1EA5C1">
            <w:pPr>
              <w:spacing w:before="69" w:line="188" w:lineRule="auto"/>
              <w:ind w:left="268"/>
              <w:rPr>
                <w:rFonts w:eastAsia="Times New Roman"/>
                <w:color w:val="auto"/>
                <w:sz w:val="24"/>
              </w:rPr>
            </w:pPr>
            <w:r>
              <w:rPr>
                <w:rFonts w:eastAsia="Times New Roman"/>
                <w:color w:val="auto"/>
                <w:spacing w:val="-3"/>
                <w:sz w:val="24"/>
              </w:rPr>
              <w:t>27</w:t>
            </w:r>
          </w:p>
        </w:tc>
        <w:tc>
          <w:tcPr>
            <w:tcW w:w="1386" w:type="dxa"/>
            <w:noWrap/>
          </w:tcPr>
          <w:p w14:paraId="6FBF10A6">
            <w:pPr>
              <w:pStyle w:val="280"/>
              <w:spacing w:line="318" w:lineRule="auto"/>
              <w:rPr>
                <w:color w:val="auto"/>
              </w:rPr>
            </w:pPr>
          </w:p>
          <w:p w14:paraId="315D5B43">
            <w:pPr>
              <w:spacing w:before="69" w:line="188" w:lineRule="auto"/>
              <w:ind w:left="483"/>
              <w:rPr>
                <w:rFonts w:eastAsia="Times New Roman"/>
                <w:color w:val="auto"/>
                <w:sz w:val="24"/>
              </w:rPr>
            </w:pPr>
            <w:r>
              <w:rPr>
                <w:rFonts w:eastAsia="Times New Roman"/>
                <w:color w:val="auto"/>
                <w:spacing w:val="-2"/>
                <w:sz w:val="24"/>
              </w:rPr>
              <w:t>24.1</w:t>
            </w:r>
          </w:p>
        </w:tc>
        <w:tc>
          <w:tcPr>
            <w:tcW w:w="6888" w:type="dxa"/>
            <w:noWrap/>
          </w:tcPr>
          <w:p w14:paraId="3897C2C0">
            <w:pPr>
              <w:spacing w:before="129" w:line="219" w:lineRule="auto"/>
              <w:ind w:left="119"/>
              <w:rPr>
                <w:rFonts w:ascii="宋体" w:hAnsi="宋体" w:cs="宋体"/>
                <w:color w:val="auto"/>
                <w:sz w:val="24"/>
                <w:highlight w:val="none"/>
              </w:rPr>
            </w:pPr>
            <w:r>
              <w:rPr>
                <w:rFonts w:ascii="宋体" w:hAnsi="宋体" w:cs="宋体"/>
                <w:color w:val="auto"/>
                <w:spacing w:val="-2"/>
                <w:sz w:val="24"/>
                <w:highlight w:val="none"/>
              </w:rPr>
              <w:t>争议的最终解决方式：</w:t>
            </w:r>
            <w:r>
              <w:rPr>
                <w:rFonts w:hint="eastAsia" w:ascii="宋体" w:hAnsi="宋体" w:cs="宋体"/>
                <w:color w:val="auto"/>
                <w:spacing w:val="-2"/>
                <w:sz w:val="24"/>
                <w:highlight w:val="none"/>
                <w:u w:val="single"/>
              </w:rPr>
              <w:t>诉讼，守约方为实现债权而发生的费用（包括但不限于诉讼费、律师代理费、差旅费、鉴定费、公证费、合理的调查费等）由违约方承担。</w:t>
            </w:r>
          </w:p>
          <w:p w14:paraId="1C46CD33">
            <w:pPr>
              <w:spacing w:before="115" w:line="207" w:lineRule="auto"/>
              <w:ind w:left="118"/>
              <w:rPr>
                <w:rFonts w:ascii="宋体" w:hAnsi="宋体" w:cs="宋体"/>
                <w:color w:val="auto"/>
                <w:sz w:val="24"/>
              </w:rPr>
            </w:pPr>
            <w:r>
              <w:rPr>
                <w:rFonts w:ascii="宋体" w:hAnsi="宋体" w:cs="宋体"/>
                <w:color w:val="auto"/>
                <w:spacing w:val="-1"/>
                <w:sz w:val="24"/>
                <w:highlight w:val="none"/>
              </w:rPr>
              <w:t>如采用仲裁，仲裁委员会名称：</w:t>
            </w:r>
            <w:r>
              <w:rPr>
                <w:rFonts w:hint="eastAsia" w:ascii="宋体" w:hAnsi="宋体" w:cs="宋体"/>
                <w:color w:val="auto"/>
                <w:sz w:val="24"/>
                <w:highlight w:val="none"/>
                <w:u w:val="single"/>
              </w:rPr>
              <w:t>/</w:t>
            </w:r>
          </w:p>
        </w:tc>
      </w:tr>
    </w:tbl>
    <w:p w14:paraId="564D228E">
      <w:pPr>
        <w:pStyle w:val="21"/>
        <w:spacing w:line="241" w:lineRule="auto"/>
        <w:rPr>
          <w:color w:val="auto"/>
        </w:rPr>
      </w:pPr>
    </w:p>
    <w:p w14:paraId="1101C08F">
      <w:pPr>
        <w:pStyle w:val="21"/>
        <w:spacing w:line="242" w:lineRule="auto"/>
        <w:rPr>
          <w:color w:val="auto"/>
        </w:rPr>
      </w:pPr>
    </w:p>
    <w:p w14:paraId="7A920BDE">
      <w:pPr>
        <w:pStyle w:val="21"/>
        <w:spacing w:line="242" w:lineRule="auto"/>
        <w:rPr>
          <w:color w:val="auto"/>
        </w:rPr>
      </w:pPr>
      <w:r>
        <w:rPr>
          <w:color w:val="auto"/>
        </w:rPr>
        <w:pict>
          <v:shape id="_x0000_s2052" o:spid="_x0000_s2052" o:spt="100" style="position:absolute;left:0pt;margin-left:5.6pt;margin-top:0.55pt;height:0pt;width:144pt;z-index:251670528;mso-width-relative:page;mso-height-relative:page;" filled="f" coordsize="2880,1" o:gfxdata="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EvtJLQAAAABgEAAA8AAAAAAAAAAQAgAAAAIgAAAGRycy9kb3ducmV2LnhtbFBLAQIUABQAAAAI&#10;AIdO4kAkOi8LLgIAAJcEAAAOAAAAAAAAAAEAIAAAAB8BAABkcnMvZTJvRG9jLnhtbFBLBQYAAAAA&#10;BgAGAFkBAAC/BQAAAAA=&#10;" path="m0,0l2880,0e">
            <v:path o:connecttype="segments"/>
            <v:fill on="f" focussize="0,0"/>
            <v:stroke weight="0pt" joinstyle="bevel" endcap="square"/>
            <v:imagedata o:title=""/>
            <o:lock v:ext="edit"/>
          </v:shape>
        </w:pict>
      </w:r>
    </w:p>
    <w:p w14:paraId="6798927A">
      <w:pPr>
        <w:spacing w:before="62" w:line="308" w:lineRule="auto"/>
        <w:ind w:left="121" w:right="267" w:firstLine="399"/>
        <w:rPr>
          <w:rFonts w:ascii="宋体" w:hAnsi="宋体" w:cs="宋体"/>
          <w:color w:val="auto"/>
          <w:sz w:val="19"/>
          <w:szCs w:val="19"/>
        </w:rPr>
      </w:pPr>
      <w:bookmarkStart w:id="210" w:name="bookmark247"/>
      <w:bookmarkEnd w:id="210"/>
      <w:r>
        <w:rPr>
          <w:rFonts w:ascii="宋体" w:hAnsi="宋体" w:cs="宋体"/>
          <w:color w:val="auto"/>
          <w:spacing w:val="13"/>
          <w:sz w:val="19"/>
          <w:szCs w:val="19"/>
        </w:rPr>
        <w:t>① 利率按合同签订时全国银行间同业拆借中心公布的</w:t>
      </w:r>
      <w:r>
        <w:rPr>
          <w:rFonts w:eastAsia="Times New Roman"/>
          <w:color w:val="auto"/>
          <w:spacing w:val="13"/>
          <w:sz w:val="19"/>
          <w:szCs w:val="19"/>
        </w:rPr>
        <w:t>1</w:t>
      </w:r>
      <w:r>
        <w:rPr>
          <w:rFonts w:ascii="宋体" w:hAnsi="宋体" w:cs="宋体"/>
          <w:color w:val="auto"/>
          <w:spacing w:val="13"/>
          <w:sz w:val="19"/>
          <w:szCs w:val="19"/>
        </w:rPr>
        <w:t>年期</w:t>
      </w:r>
      <w:r>
        <w:rPr>
          <w:rFonts w:ascii="宋体" w:hAnsi="宋体" w:cs="宋体"/>
          <w:color w:val="auto"/>
          <w:spacing w:val="12"/>
          <w:sz w:val="19"/>
          <w:szCs w:val="19"/>
        </w:rPr>
        <w:t>贷款市场报价利率</w:t>
      </w:r>
      <w:r>
        <w:rPr>
          <w:rFonts w:eastAsia="Times New Roman"/>
          <w:color w:val="auto"/>
          <w:sz w:val="19"/>
          <w:szCs w:val="19"/>
        </w:rPr>
        <w:t>LPR</w:t>
      </w:r>
      <w:r>
        <w:rPr>
          <w:rFonts w:ascii="宋体" w:hAnsi="宋体" w:cs="宋体"/>
          <w:color w:val="auto"/>
          <w:spacing w:val="12"/>
          <w:sz w:val="19"/>
          <w:szCs w:val="19"/>
        </w:rPr>
        <w:t>（不计复</w:t>
      </w:r>
      <w:bookmarkStart w:id="211" w:name="bookmark248"/>
      <w:bookmarkEnd w:id="211"/>
      <w:r>
        <w:rPr>
          <w:rFonts w:ascii="宋体" w:hAnsi="宋体" w:cs="宋体"/>
          <w:color w:val="auto"/>
          <w:spacing w:val="9"/>
          <w:sz w:val="19"/>
          <w:szCs w:val="19"/>
        </w:rPr>
        <w:t>利）加手续费为基础计算。发包人不能自行取消本项内容或降低利率。</w:t>
      </w:r>
    </w:p>
    <w:p w14:paraId="083C20A5">
      <w:pPr>
        <w:spacing w:before="164" w:line="226" w:lineRule="auto"/>
        <w:ind w:left="519"/>
        <w:rPr>
          <w:rFonts w:ascii="宋体" w:hAnsi="宋体" w:cs="宋体"/>
          <w:color w:val="auto"/>
          <w:sz w:val="19"/>
          <w:szCs w:val="19"/>
        </w:rPr>
      </w:pPr>
      <w:bookmarkStart w:id="212" w:name="bookmark249"/>
      <w:bookmarkEnd w:id="212"/>
      <w:r>
        <w:rPr>
          <w:rFonts w:ascii="宋体" w:hAnsi="宋体" w:cs="宋体"/>
          <w:color w:val="auto"/>
          <w:spacing w:val="8"/>
          <w:sz w:val="19"/>
          <w:szCs w:val="19"/>
        </w:rPr>
        <w:t>② 质量保证金最高不超过合同价格的</w:t>
      </w:r>
      <w:r>
        <w:rPr>
          <w:rFonts w:eastAsia="Times New Roman"/>
          <w:color w:val="auto"/>
          <w:spacing w:val="8"/>
          <w:sz w:val="19"/>
          <w:szCs w:val="19"/>
        </w:rPr>
        <w:t>3%</w:t>
      </w:r>
      <w:r>
        <w:rPr>
          <w:rFonts w:ascii="宋体" w:hAnsi="宋体" w:cs="宋体"/>
          <w:color w:val="auto"/>
          <w:spacing w:val="8"/>
          <w:sz w:val="19"/>
          <w:szCs w:val="19"/>
        </w:rPr>
        <w:t>。</w:t>
      </w:r>
    </w:p>
    <w:p w14:paraId="341E16C9">
      <w:pPr>
        <w:spacing w:before="169" w:line="334" w:lineRule="auto"/>
        <w:ind w:left="122" w:right="267" w:firstLine="397"/>
        <w:rPr>
          <w:rFonts w:ascii="宋体" w:hAnsi="宋体" w:cs="宋体"/>
          <w:color w:val="auto"/>
          <w:sz w:val="19"/>
          <w:szCs w:val="19"/>
        </w:rPr>
      </w:pPr>
      <w:r>
        <w:rPr>
          <w:rFonts w:ascii="宋体" w:hAnsi="宋体" w:cs="宋体"/>
          <w:color w:val="auto"/>
          <w:spacing w:val="14"/>
          <w:sz w:val="19"/>
          <w:szCs w:val="19"/>
        </w:rPr>
        <w:t>③ 若交工验收时承包人具备被养护项目所在地省级交通运输主管部门评定的最高信</w:t>
      </w:r>
      <w:r>
        <w:rPr>
          <w:rFonts w:ascii="宋体" w:hAnsi="宋体" w:cs="宋体"/>
          <w:color w:val="auto"/>
          <w:spacing w:val="13"/>
          <w:sz w:val="19"/>
          <w:szCs w:val="19"/>
        </w:rPr>
        <w:t>用等级，发包人可在质量保证金方面给予一定的优惠奖励，例如发包人可给予承包人</w:t>
      </w:r>
      <w:r>
        <w:rPr>
          <w:rFonts w:eastAsia="Times New Roman"/>
          <w:color w:val="auto"/>
          <w:spacing w:val="13"/>
          <w:sz w:val="19"/>
          <w:szCs w:val="19"/>
        </w:rPr>
        <w:t>2%</w:t>
      </w:r>
      <w:r>
        <w:rPr>
          <w:rFonts w:ascii="宋体" w:hAnsi="宋体" w:cs="宋体"/>
          <w:color w:val="auto"/>
          <w:spacing w:val="13"/>
          <w:sz w:val="19"/>
          <w:szCs w:val="19"/>
        </w:rPr>
        <w:t>合同价格质量保证</w:t>
      </w:r>
      <w:r>
        <w:rPr>
          <w:rFonts w:ascii="宋体" w:hAnsi="宋体" w:cs="宋体"/>
          <w:color w:val="auto"/>
          <w:spacing w:val="8"/>
          <w:sz w:val="19"/>
          <w:szCs w:val="19"/>
        </w:rPr>
        <w:t>金的优惠，具体优惠幅度由发包人自行确定。</w:t>
      </w:r>
    </w:p>
    <w:p w14:paraId="42EC8216">
      <w:pPr>
        <w:spacing w:before="114" w:line="227" w:lineRule="auto"/>
        <w:jc w:val="center"/>
        <w:outlineLvl w:val="1"/>
        <w:rPr>
          <w:rFonts w:ascii="黑体" w:hAnsi="黑体" w:eastAsia="黑体" w:cs="黑体"/>
          <w:color w:val="auto"/>
          <w:spacing w:val="8"/>
          <w:sz w:val="32"/>
          <w:szCs w:val="32"/>
        </w:rPr>
      </w:pPr>
      <w:bookmarkStart w:id="213" w:name="bookmark77"/>
      <w:bookmarkEnd w:id="213"/>
      <w:bookmarkStart w:id="214" w:name="bookmark78"/>
      <w:bookmarkEnd w:id="214"/>
      <w:r>
        <w:rPr>
          <w:rFonts w:hint="eastAsia" w:ascii="黑体" w:hAnsi="黑体" w:eastAsia="黑体" w:cs="黑体"/>
          <w:color w:val="auto"/>
          <w:spacing w:val="8"/>
          <w:sz w:val="32"/>
          <w:szCs w:val="32"/>
        </w:rPr>
        <w:t>2.专用合同条款</w:t>
      </w:r>
    </w:p>
    <w:p w14:paraId="1F6CE793">
      <w:pPr>
        <w:spacing w:before="270" w:line="305" w:lineRule="auto"/>
        <w:ind w:left="12" w:firstLine="480"/>
        <w:rPr>
          <w:rFonts w:ascii="宋体" w:hAnsi="宋体" w:cs="宋体"/>
          <w:color w:val="auto"/>
          <w:sz w:val="24"/>
        </w:rPr>
      </w:pPr>
      <w:r>
        <w:rPr>
          <w:rFonts w:ascii="宋体" w:hAnsi="宋体" w:cs="宋体"/>
          <w:color w:val="auto"/>
          <w:sz w:val="24"/>
        </w:rPr>
        <w:t>说明：本部分所列的专用合同条款是对“通用合同条款</w:t>
      </w:r>
      <w:r>
        <w:rPr>
          <w:rFonts w:ascii="宋体" w:hAnsi="宋体" w:cs="宋体"/>
          <w:color w:val="auto"/>
          <w:spacing w:val="-1"/>
          <w:sz w:val="24"/>
        </w:rPr>
        <w:t>”中规定必须在专用合</w:t>
      </w:r>
      <w:r>
        <w:rPr>
          <w:rFonts w:ascii="宋体" w:hAnsi="宋体" w:cs="宋体"/>
          <w:color w:val="auto"/>
          <w:sz w:val="24"/>
        </w:rPr>
        <w:t>同条款中明确的内容的集中，发包人编制的“专</w:t>
      </w:r>
      <w:r>
        <w:rPr>
          <w:rFonts w:ascii="宋体" w:hAnsi="宋体" w:cs="宋体"/>
          <w:color w:val="auto"/>
          <w:spacing w:val="-1"/>
          <w:sz w:val="24"/>
        </w:rPr>
        <w:t>用合同条款”不限于本部分所列内</w:t>
      </w:r>
      <w:r>
        <w:rPr>
          <w:rFonts w:ascii="宋体" w:hAnsi="宋体" w:cs="宋体"/>
          <w:color w:val="auto"/>
          <w:spacing w:val="-7"/>
          <w:sz w:val="24"/>
        </w:rPr>
        <w:t>容。</w:t>
      </w:r>
    </w:p>
    <w:p w14:paraId="13A6FA33">
      <w:pPr>
        <w:spacing w:line="220" w:lineRule="auto"/>
        <w:ind w:left="495"/>
        <w:outlineLvl w:val="3"/>
        <w:rPr>
          <w:rFonts w:ascii="宋体" w:hAnsi="宋体" w:cs="宋体"/>
          <w:color w:val="auto"/>
          <w:sz w:val="24"/>
        </w:rPr>
      </w:pPr>
      <w:bookmarkStart w:id="215" w:name="bookmark79"/>
      <w:bookmarkEnd w:id="215"/>
      <w:bookmarkStart w:id="216" w:name="bookmark80"/>
      <w:bookmarkEnd w:id="216"/>
      <w:r>
        <w:rPr>
          <w:rFonts w:eastAsia="Times New Roman"/>
          <w:b/>
          <w:bCs/>
          <w:color w:val="auto"/>
          <w:spacing w:val="-4"/>
          <w:sz w:val="24"/>
        </w:rPr>
        <w:t>1.</w:t>
      </w:r>
      <w:r>
        <w:rPr>
          <w:rFonts w:ascii="宋体" w:hAnsi="宋体" w:cs="宋体"/>
          <w:b/>
          <w:bCs/>
          <w:color w:val="auto"/>
          <w:spacing w:val="-4"/>
          <w:sz w:val="24"/>
        </w:rPr>
        <w:t>一般约定</w:t>
      </w:r>
    </w:p>
    <w:p w14:paraId="6A0C3A05">
      <w:pPr>
        <w:spacing w:before="114" w:line="220" w:lineRule="auto"/>
        <w:ind w:left="495"/>
        <w:outlineLvl w:val="4"/>
        <w:rPr>
          <w:rFonts w:ascii="宋体" w:hAnsi="宋体" w:cs="宋体"/>
          <w:color w:val="auto"/>
          <w:sz w:val="24"/>
        </w:rPr>
      </w:pPr>
      <w:r>
        <w:rPr>
          <w:rFonts w:eastAsia="Times New Roman"/>
          <w:b/>
          <w:bCs/>
          <w:color w:val="auto"/>
          <w:spacing w:val="-5"/>
          <w:sz w:val="24"/>
        </w:rPr>
        <w:t>1.1</w:t>
      </w:r>
      <w:r>
        <w:rPr>
          <w:rFonts w:ascii="宋体" w:hAnsi="宋体" w:cs="宋体"/>
          <w:b/>
          <w:bCs/>
          <w:color w:val="auto"/>
          <w:spacing w:val="-5"/>
          <w:sz w:val="24"/>
        </w:rPr>
        <w:t>词语定义</w:t>
      </w:r>
    </w:p>
    <w:p w14:paraId="533F4E9A">
      <w:pPr>
        <w:spacing w:before="124" w:line="220" w:lineRule="auto"/>
        <w:ind w:left="508"/>
        <w:rPr>
          <w:rFonts w:ascii="宋体" w:hAnsi="宋体" w:cs="宋体"/>
          <w:color w:val="auto"/>
          <w:sz w:val="24"/>
        </w:rPr>
      </w:pPr>
      <w:r>
        <w:rPr>
          <w:rFonts w:eastAsia="Times New Roman"/>
          <w:color w:val="auto"/>
          <w:spacing w:val="-3"/>
          <w:sz w:val="24"/>
        </w:rPr>
        <w:t xml:space="preserve">1.1.2 </w:t>
      </w:r>
      <w:r>
        <w:rPr>
          <w:rFonts w:ascii="宋体" w:hAnsi="宋体" w:cs="宋体"/>
          <w:color w:val="auto"/>
          <w:spacing w:val="-3"/>
          <w:sz w:val="24"/>
        </w:rPr>
        <w:t>合同当事人和人员</w:t>
      </w:r>
    </w:p>
    <w:p w14:paraId="12D13465">
      <w:pPr>
        <w:spacing w:before="112" w:line="220" w:lineRule="auto"/>
        <w:ind w:left="508"/>
        <w:rPr>
          <w:rFonts w:ascii="宋体" w:hAnsi="宋体" w:cs="宋体"/>
          <w:color w:val="auto"/>
          <w:sz w:val="24"/>
        </w:rPr>
      </w:pPr>
      <w:r>
        <w:rPr>
          <w:rFonts w:eastAsia="Times New Roman"/>
          <w:color w:val="auto"/>
          <w:spacing w:val="-3"/>
          <w:sz w:val="24"/>
        </w:rPr>
        <w:t xml:space="preserve">1.1.2.2  </w:t>
      </w:r>
      <w:r>
        <w:rPr>
          <w:rFonts w:ascii="宋体" w:hAnsi="宋体" w:cs="宋体"/>
          <w:color w:val="auto"/>
          <w:spacing w:val="-3"/>
          <w:sz w:val="24"/>
        </w:rPr>
        <w:t>发包人：</w:t>
      </w:r>
      <w:r>
        <w:rPr>
          <w:rFonts w:hint="eastAsia" w:ascii="宋体" w:hAnsi="宋体" w:cs="宋体"/>
          <w:color w:val="auto"/>
          <w:spacing w:val="-2"/>
          <w:sz w:val="24"/>
          <w:u w:val="single"/>
        </w:rPr>
        <w:t>广西壮族自治区钦州钦北公路养护中心</w:t>
      </w:r>
      <w:r>
        <w:rPr>
          <w:rFonts w:ascii="宋体" w:hAnsi="宋体" w:cs="宋体"/>
          <w:color w:val="auto"/>
          <w:spacing w:val="-3"/>
          <w:sz w:val="24"/>
        </w:rPr>
        <w:t>。</w:t>
      </w:r>
    </w:p>
    <w:p w14:paraId="366753EE">
      <w:pPr>
        <w:spacing w:before="114" w:line="221" w:lineRule="auto"/>
        <w:ind w:left="508"/>
        <w:rPr>
          <w:rFonts w:ascii="宋体" w:hAnsi="宋体" w:cs="宋体"/>
          <w:color w:val="auto"/>
          <w:sz w:val="24"/>
        </w:rPr>
      </w:pPr>
      <w:r>
        <w:rPr>
          <w:rFonts w:eastAsia="Times New Roman"/>
          <w:color w:val="auto"/>
          <w:spacing w:val="-2"/>
          <w:sz w:val="24"/>
        </w:rPr>
        <w:t xml:space="preserve">1.1.2.7  </w:t>
      </w:r>
      <w:r>
        <w:rPr>
          <w:rFonts w:ascii="宋体" w:hAnsi="宋体" w:cs="宋体"/>
          <w:color w:val="auto"/>
          <w:spacing w:val="-2"/>
          <w:sz w:val="24"/>
        </w:rPr>
        <w:t>咨询人（监理人</w:t>
      </w:r>
      <w:r>
        <w:rPr>
          <w:rFonts w:ascii="宋体" w:hAnsi="宋体" w:cs="宋体"/>
          <w:color w:val="auto"/>
          <w:spacing w:val="-58"/>
          <w:sz w:val="24"/>
        </w:rPr>
        <w:t>）：</w:t>
      </w:r>
      <w:r>
        <w:rPr>
          <w:rFonts w:hint="eastAsia" w:ascii="宋体" w:hAnsi="宋体" w:cs="宋体"/>
          <w:color w:val="auto"/>
          <w:sz w:val="24"/>
          <w:u w:val="single"/>
        </w:rPr>
        <w:t>待定</w:t>
      </w:r>
      <w:r>
        <w:rPr>
          <w:rFonts w:ascii="宋体" w:hAnsi="宋体" w:cs="宋体"/>
          <w:color w:val="auto"/>
          <w:spacing w:val="-2"/>
          <w:sz w:val="24"/>
        </w:rPr>
        <w:t>。</w:t>
      </w:r>
    </w:p>
    <w:p w14:paraId="5702BA2B">
      <w:pPr>
        <w:spacing w:before="115" w:line="219" w:lineRule="auto"/>
        <w:ind w:left="508"/>
        <w:rPr>
          <w:rFonts w:ascii="宋体" w:hAnsi="宋体" w:cs="宋体"/>
          <w:color w:val="auto"/>
          <w:sz w:val="24"/>
        </w:rPr>
      </w:pPr>
      <w:r>
        <w:rPr>
          <w:rFonts w:eastAsia="Times New Roman"/>
          <w:color w:val="auto"/>
          <w:spacing w:val="-2"/>
          <w:sz w:val="24"/>
        </w:rPr>
        <w:t xml:space="preserve">1.1.3  </w:t>
      </w:r>
      <w:r>
        <w:rPr>
          <w:rFonts w:ascii="宋体" w:hAnsi="宋体" w:cs="宋体"/>
          <w:color w:val="auto"/>
          <w:spacing w:val="-2"/>
          <w:sz w:val="24"/>
        </w:rPr>
        <w:t>养护项目、养护工程和设备</w:t>
      </w:r>
    </w:p>
    <w:p w14:paraId="59C1E811">
      <w:pPr>
        <w:spacing w:before="113" w:line="219" w:lineRule="auto"/>
        <w:ind w:left="508"/>
        <w:rPr>
          <w:rFonts w:ascii="宋体" w:hAnsi="宋体" w:cs="宋体"/>
          <w:color w:val="auto"/>
          <w:sz w:val="24"/>
        </w:rPr>
      </w:pPr>
      <w:r>
        <w:rPr>
          <w:rFonts w:eastAsia="Times New Roman"/>
          <w:color w:val="auto"/>
          <w:spacing w:val="-2"/>
          <w:sz w:val="24"/>
        </w:rPr>
        <w:t xml:space="preserve">1.1.3.1  </w:t>
      </w:r>
      <w:r>
        <w:rPr>
          <w:rFonts w:ascii="宋体" w:hAnsi="宋体" w:cs="宋体"/>
          <w:color w:val="auto"/>
          <w:spacing w:val="-2"/>
          <w:sz w:val="24"/>
        </w:rPr>
        <w:t>养护项目：</w:t>
      </w:r>
      <w:r>
        <w:rPr>
          <w:rFonts w:hint="eastAsia" w:ascii="宋体" w:hAnsi="宋体" w:cs="宋体"/>
          <w:color w:val="auto"/>
          <w:spacing w:val="-2"/>
          <w:sz w:val="24"/>
          <w:u w:val="single"/>
        </w:rPr>
        <w:t>广西壮族自治区钦州钦北公路养护中心2026年普通国省干线公路安全设施精细化提升工程（G210满都拉至防城港K3543+900～K3552+678段）</w:t>
      </w:r>
      <w:r>
        <w:rPr>
          <w:rFonts w:ascii="宋体" w:hAnsi="宋体" w:cs="宋体"/>
          <w:color w:val="auto"/>
          <w:spacing w:val="-2"/>
          <w:sz w:val="24"/>
          <w:u w:val="single"/>
        </w:rPr>
        <w:t>。</w:t>
      </w:r>
    </w:p>
    <w:p w14:paraId="56C9961F">
      <w:pPr>
        <w:spacing w:before="116" w:line="219" w:lineRule="auto"/>
        <w:ind w:left="508"/>
        <w:rPr>
          <w:rFonts w:ascii="宋体" w:hAnsi="宋体" w:cs="宋体"/>
          <w:color w:val="auto"/>
          <w:sz w:val="24"/>
        </w:rPr>
      </w:pPr>
      <w:r>
        <w:rPr>
          <w:rFonts w:eastAsia="Times New Roman"/>
          <w:color w:val="auto"/>
          <w:spacing w:val="-2"/>
          <w:sz w:val="24"/>
        </w:rPr>
        <w:t xml:space="preserve">1.1.3.2  </w:t>
      </w:r>
      <w:r>
        <w:rPr>
          <w:rFonts w:ascii="宋体" w:hAnsi="宋体" w:cs="宋体"/>
          <w:color w:val="auto"/>
          <w:spacing w:val="-2"/>
          <w:sz w:val="24"/>
        </w:rPr>
        <w:t>养护工程：</w:t>
      </w:r>
      <w:r>
        <w:rPr>
          <w:rFonts w:hint="eastAsia" w:ascii="宋体" w:hAnsi="宋体" w:cs="宋体"/>
          <w:color w:val="auto"/>
          <w:spacing w:val="-2"/>
          <w:sz w:val="24"/>
          <w:u w:val="single"/>
        </w:rPr>
        <w:t>广西壮族自治区钦州钦北公路养护中心2026年普通国省干线公路安全设施精细化提升工程（G210满都拉至防城港K3543+900～K3552+678段）</w:t>
      </w:r>
    </w:p>
    <w:p w14:paraId="4F50A77A">
      <w:pPr>
        <w:spacing w:before="116" w:line="220" w:lineRule="auto"/>
        <w:ind w:left="508"/>
        <w:rPr>
          <w:rFonts w:ascii="宋体" w:hAnsi="宋体" w:cs="宋体"/>
          <w:color w:val="auto"/>
          <w:sz w:val="24"/>
        </w:rPr>
      </w:pPr>
      <w:r>
        <w:rPr>
          <w:rFonts w:eastAsia="Times New Roman"/>
          <w:color w:val="auto"/>
          <w:spacing w:val="-9"/>
          <w:sz w:val="24"/>
        </w:rPr>
        <w:t xml:space="preserve">1.1.4   </w:t>
      </w:r>
      <w:r>
        <w:rPr>
          <w:rFonts w:ascii="宋体" w:hAnsi="宋体" w:cs="宋体"/>
          <w:color w:val="auto"/>
          <w:spacing w:val="-9"/>
          <w:sz w:val="24"/>
        </w:rPr>
        <w:t>日期</w:t>
      </w:r>
    </w:p>
    <w:p w14:paraId="499AAC63">
      <w:pPr>
        <w:spacing w:before="113" w:line="220" w:lineRule="auto"/>
        <w:ind w:left="508"/>
        <w:rPr>
          <w:rFonts w:ascii="宋体" w:hAnsi="宋体" w:cs="宋体"/>
          <w:color w:val="auto"/>
          <w:sz w:val="24"/>
        </w:rPr>
      </w:pPr>
      <w:r>
        <w:rPr>
          <w:rFonts w:eastAsia="Times New Roman"/>
          <w:color w:val="auto"/>
          <w:spacing w:val="-3"/>
          <w:sz w:val="24"/>
        </w:rPr>
        <w:t xml:space="preserve">1.1.4.3  </w:t>
      </w:r>
      <w:r>
        <w:rPr>
          <w:rFonts w:ascii="宋体" w:hAnsi="宋体" w:cs="宋体"/>
          <w:color w:val="auto"/>
          <w:spacing w:val="-3"/>
          <w:sz w:val="24"/>
        </w:rPr>
        <w:t>工期：</w:t>
      </w:r>
      <w:r>
        <w:rPr>
          <w:rFonts w:hint="eastAsia" w:ascii="宋体" w:hAnsi="宋体" w:cs="宋体"/>
          <w:color w:val="auto"/>
          <w:sz w:val="24"/>
          <w:u w:val="single"/>
        </w:rPr>
        <w:t>90日历天</w:t>
      </w:r>
      <w:r>
        <w:rPr>
          <w:rFonts w:ascii="宋体" w:hAnsi="宋体" w:cs="宋体"/>
          <w:color w:val="auto"/>
          <w:spacing w:val="-3"/>
          <w:sz w:val="24"/>
        </w:rPr>
        <w:t>。</w:t>
      </w:r>
    </w:p>
    <w:p w14:paraId="25A0A19B">
      <w:pPr>
        <w:spacing w:before="105" w:line="219" w:lineRule="auto"/>
        <w:ind w:left="495"/>
        <w:outlineLvl w:val="4"/>
        <w:rPr>
          <w:rFonts w:ascii="宋体" w:hAnsi="宋体" w:cs="宋体"/>
          <w:color w:val="auto"/>
          <w:sz w:val="24"/>
        </w:rPr>
      </w:pPr>
      <w:r>
        <w:rPr>
          <w:rFonts w:eastAsia="Times New Roman"/>
          <w:b/>
          <w:bCs/>
          <w:color w:val="auto"/>
          <w:spacing w:val="-3"/>
          <w:sz w:val="24"/>
        </w:rPr>
        <w:t xml:space="preserve">1.12  </w:t>
      </w:r>
      <w:r>
        <w:rPr>
          <w:rFonts w:ascii="宋体" w:hAnsi="宋体" w:cs="宋体"/>
          <w:b/>
          <w:bCs/>
          <w:color w:val="auto"/>
          <w:spacing w:val="-3"/>
          <w:sz w:val="24"/>
        </w:rPr>
        <w:t>施工产生资源的归属</w:t>
      </w:r>
    </w:p>
    <w:p w14:paraId="75D940C5">
      <w:pPr>
        <w:spacing w:before="125" w:line="219" w:lineRule="auto"/>
        <w:ind w:left="490"/>
        <w:rPr>
          <w:rFonts w:ascii="宋体" w:hAnsi="宋体" w:cs="宋体"/>
          <w:color w:val="auto"/>
          <w:sz w:val="24"/>
        </w:rPr>
      </w:pPr>
      <w:r>
        <w:rPr>
          <w:rFonts w:ascii="宋体" w:hAnsi="宋体" w:cs="宋体"/>
          <w:color w:val="auto"/>
          <w:spacing w:val="-1"/>
          <w:sz w:val="24"/>
        </w:rPr>
        <w:t>本项目施工产生的可再生利用资源包括</w:t>
      </w:r>
      <w:r>
        <w:rPr>
          <w:rFonts w:ascii="宋体" w:hAnsi="宋体" w:cs="宋体"/>
          <w:color w:val="auto"/>
          <w:spacing w:val="2"/>
          <w:sz w:val="24"/>
        </w:rPr>
        <w:t>：</w:t>
      </w:r>
      <w:r>
        <w:rPr>
          <w:rFonts w:hint="eastAsia" w:ascii="宋体" w:hAnsi="宋体" w:cs="宋体"/>
          <w:color w:val="auto"/>
          <w:spacing w:val="2"/>
          <w:sz w:val="24"/>
          <w:u w:val="single"/>
        </w:rPr>
        <w:t>拆除的标志标牌，波形钢护栏等金属构件</w:t>
      </w:r>
      <w:r>
        <w:rPr>
          <w:rFonts w:ascii="宋体" w:hAnsi="宋体" w:cs="宋体"/>
          <w:color w:val="auto"/>
          <w:spacing w:val="2"/>
          <w:sz w:val="24"/>
        </w:rPr>
        <w:t>；</w:t>
      </w:r>
    </w:p>
    <w:p w14:paraId="1F624BD6">
      <w:pPr>
        <w:spacing w:before="115" w:line="219" w:lineRule="auto"/>
        <w:ind w:left="499"/>
        <w:rPr>
          <w:rFonts w:ascii="宋体" w:hAnsi="宋体" w:cs="宋体"/>
          <w:color w:val="auto"/>
          <w:sz w:val="24"/>
        </w:rPr>
      </w:pPr>
      <w:r>
        <w:rPr>
          <w:rFonts w:ascii="宋体" w:hAnsi="宋体" w:cs="宋体"/>
          <w:color w:val="auto"/>
          <w:spacing w:val="-5"/>
          <w:sz w:val="24"/>
        </w:rPr>
        <w:t>资源归属</w:t>
      </w:r>
      <w:r>
        <w:rPr>
          <w:rFonts w:ascii="宋体" w:hAnsi="宋体" w:cs="宋体"/>
          <w:color w:val="auto"/>
          <w:sz w:val="24"/>
        </w:rPr>
        <w:t>：</w:t>
      </w:r>
      <w:r>
        <w:rPr>
          <w:rFonts w:hint="eastAsia" w:ascii="宋体" w:hAnsi="宋体" w:cs="宋体"/>
          <w:color w:val="auto"/>
          <w:sz w:val="24"/>
          <w:u w:val="single"/>
        </w:rPr>
        <w:t>归</w:t>
      </w:r>
      <w:r>
        <w:rPr>
          <w:rFonts w:hint="eastAsia" w:ascii="宋体" w:hAnsi="宋体" w:cs="宋体"/>
          <w:color w:val="auto"/>
          <w:spacing w:val="-2"/>
          <w:sz w:val="24"/>
          <w:u w:val="single"/>
        </w:rPr>
        <w:t>广西壮族自治区钦州钦北公路养护中心所有</w:t>
      </w:r>
      <w:r>
        <w:rPr>
          <w:rFonts w:ascii="宋体" w:hAnsi="宋体" w:cs="宋体"/>
          <w:color w:val="auto"/>
          <w:sz w:val="24"/>
        </w:rPr>
        <w:t>；</w:t>
      </w:r>
    </w:p>
    <w:p w14:paraId="10F8F29B">
      <w:pPr>
        <w:spacing w:before="116" w:line="219" w:lineRule="auto"/>
        <w:ind w:left="502"/>
        <w:rPr>
          <w:rFonts w:ascii="宋体" w:hAnsi="宋体" w:cs="宋体"/>
          <w:color w:val="auto"/>
          <w:sz w:val="24"/>
        </w:rPr>
      </w:pPr>
      <w:r>
        <w:rPr>
          <w:rFonts w:ascii="宋体" w:hAnsi="宋体" w:cs="宋体"/>
          <w:color w:val="auto"/>
          <w:spacing w:val="-6"/>
          <w:sz w:val="24"/>
        </w:rPr>
        <w:t>费用承担</w:t>
      </w:r>
      <w:r>
        <w:rPr>
          <w:rFonts w:ascii="宋体" w:hAnsi="宋体" w:cs="宋体"/>
          <w:color w:val="auto"/>
          <w:sz w:val="24"/>
        </w:rPr>
        <w:t>：</w:t>
      </w:r>
      <w:r>
        <w:rPr>
          <w:rFonts w:hint="eastAsia" w:ascii="宋体" w:hAnsi="宋体" w:cs="宋体"/>
          <w:color w:val="auto"/>
          <w:sz w:val="24"/>
          <w:u w:val="single"/>
        </w:rPr>
        <w:t>由承包单位将拆除的标志标牌及波形钢护栏等金属构件装、运、卸至至发包人指定仓库，并按要求分类堆放，产生的所有费用由承包单位承担</w:t>
      </w:r>
      <w:r>
        <w:rPr>
          <w:rFonts w:ascii="宋体" w:hAnsi="宋体" w:cs="宋体"/>
          <w:color w:val="auto"/>
          <w:sz w:val="24"/>
        </w:rPr>
        <w:t>；</w:t>
      </w:r>
    </w:p>
    <w:p w14:paraId="7CDD763D">
      <w:pPr>
        <w:spacing w:before="115" w:line="220" w:lineRule="auto"/>
        <w:ind w:left="490"/>
        <w:rPr>
          <w:rFonts w:ascii="宋体" w:hAnsi="宋体" w:cs="宋体"/>
          <w:color w:val="auto"/>
          <w:sz w:val="24"/>
        </w:rPr>
      </w:pPr>
      <w:r>
        <w:rPr>
          <w:rFonts w:ascii="宋体" w:hAnsi="宋体" w:cs="宋体"/>
          <w:color w:val="auto"/>
          <w:spacing w:val="-1"/>
          <w:sz w:val="24"/>
        </w:rPr>
        <w:t>利益划分：</w:t>
      </w:r>
      <w:r>
        <w:rPr>
          <w:rFonts w:hint="eastAsia" w:ascii="宋体" w:hAnsi="宋体" w:cs="宋体"/>
          <w:color w:val="auto"/>
          <w:spacing w:val="-1"/>
          <w:sz w:val="24"/>
          <w:u w:val="single"/>
        </w:rPr>
        <w:t>/</w:t>
      </w:r>
      <w:r>
        <w:rPr>
          <w:rFonts w:ascii="宋体" w:hAnsi="宋体" w:cs="宋体"/>
          <w:color w:val="auto"/>
          <w:spacing w:val="-1"/>
          <w:sz w:val="24"/>
        </w:rPr>
        <w:t>。</w:t>
      </w:r>
    </w:p>
    <w:p w14:paraId="197DD8A7">
      <w:pPr>
        <w:pStyle w:val="21"/>
        <w:spacing w:line="423" w:lineRule="auto"/>
        <w:rPr>
          <w:color w:val="auto"/>
        </w:rPr>
      </w:pPr>
    </w:p>
    <w:p w14:paraId="0C6A7822">
      <w:pPr>
        <w:spacing w:before="79" w:line="219" w:lineRule="auto"/>
        <w:ind w:left="486"/>
        <w:outlineLvl w:val="3"/>
        <w:rPr>
          <w:rFonts w:ascii="宋体" w:hAnsi="宋体" w:cs="宋体"/>
          <w:color w:val="auto"/>
          <w:sz w:val="24"/>
        </w:rPr>
      </w:pPr>
      <w:bookmarkStart w:id="217" w:name="bookmark81"/>
      <w:bookmarkEnd w:id="217"/>
      <w:bookmarkStart w:id="218" w:name="bookmark82"/>
      <w:bookmarkEnd w:id="218"/>
      <w:r>
        <w:rPr>
          <w:rFonts w:eastAsia="Times New Roman"/>
          <w:b/>
          <w:bCs/>
          <w:color w:val="auto"/>
          <w:spacing w:val="-3"/>
          <w:sz w:val="24"/>
        </w:rPr>
        <w:t>4.</w:t>
      </w:r>
      <w:r>
        <w:rPr>
          <w:rFonts w:ascii="宋体" w:hAnsi="宋体" w:cs="宋体"/>
          <w:b/>
          <w:bCs/>
          <w:color w:val="auto"/>
          <w:spacing w:val="-3"/>
          <w:sz w:val="24"/>
        </w:rPr>
        <w:t>承包人</w:t>
      </w:r>
    </w:p>
    <w:p w14:paraId="2FA4C22C">
      <w:pPr>
        <w:spacing w:before="113" w:line="219" w:lineRule="auto"/>
        <w:ind w:left="486"/>
        <w:outlineLvl w:val="4"/>
        <w:rPr>
          <w:rFonts w:ascii="宋体" w:hAnsi="宋体" w:cs="宋体"/>
          <w:color w:val="auto"/>
          <w:sz w:val="24"/>
        </w:rPr>
      </w:pPr>
      <w:r>
        <w:rPr>
          <w:rFonts w:eastAsia="Times New Roman"/>
          <w:b/>
          <w:bCs/>
          <w:color w:val="auto"/>
          <w:spacing w:val="-2"/>
          <w:sz w:val="24"/>
        </w:rPr>
        <w:t xml:space="preserve">4.1  </w:t>
      </w:r>
      <w:r>
        <w:rPr>
          <w:rFonts w:ascii="宋体" w:hAnsi="宋体" w:cs="宋体"/>
          <w:b/>
          <w:bCs/>
          <w:color w:val="auto"/>
          <w:spacing w:val="-2"/>
          <w:sz w:val="24"/>
        </w:rPr>
        <w:t>承包人的一般义务</w:t>
      </w:r>
    </w:p>
    <w:p w14:paraId="7D2751B4">
      <w:pPr>
        <w:spacing w:before="126" w:line="219" w:lineRule="auto"/>
        <w:ind w:left="483"/>
        <w:rPr>
          <w:rFonts w:ascii="宋体" w:hAnsi="宋体" w:cs="宋体"/>
          <w:color w:val="auto"/>
          <w:sz w:val="24"/>
        </w:rPr>
      </w:pPr>
      <w:r>
        <w:rPr>
          <w:rFonts w:eastAsia="Times New Roman"/>
          <w:color w:val="auto"/>
          <w:spacing w:val="-2"/>
          <w:sz w:val="24"/>
        </w:rPr>
        <w:t xml:space="preserve">4.1.11 </w:t>
      </w:r>
      <w:r>
        <w:rPr>
          <w:rFonts w:ascii="宋体" w:hAnsi="宋体" w:cs="宋体"/>
          <w:color w:val="auto"/>
          <w:spacing w:val="-2"/>
          <w:sz w:val="24"/>
        </w:rPr>
        <w:t>其他义务</w:t>
      </w:r>
    </w:p>
    <w:p w14:paraId="171D2A01">
      <w:pPr>
        <w:tabs>
          <w:tab w:val="left" w:pos="1080"/>
        </w:tabs>
        <w:spacing w:line="360" w:lineRule="auto"/>
        <w:ind w:firstLine="714" w:firstLineChars="300"/>
        <w:rPr>
          <w:rFonts w:ascii="宋体" w:hAnsi="宋体" w:cs="宋体"/>
          <w:color w:val="auto"/>
          <w:sz w:val="24"/>
          <w:u w:val="single"/>
        </w:rPr>
      </w:pPr>
      <w:r>
        <w:rPr>
          <w:rFonts w:ascii="宋体" w:hAnsi="宋体" w:cs="宋体"/>
          <w:color w:val="auto"/>
          <w:spacing w:val="-1"/>
          <w:sz w:val="24"/>
        </w:rPr>
        <w:t>本项补充：</w:t>
      </w:r>
      <w:r>
        <w:rPr>
          <w:rFonts w:hint="eastAsia" w:ascii="宋体" w:hAnsi="宋体" w:cs="宋体"/>
          <w:color w:val="auto"/>
          <w:spacing w:val="-1"/>
          <w:sz w:val="24"/>
          <w:u w:val="single"/>
        </w:rPr>
        <w:t>1.</w:t>
      </w:r>
      <w:r>
        <w:rPr>
          <w:rFonts w:hint="eastAsia" w:ascii="宋体" w:hAnsi="宋体" w:cs="宋体"/>
          <w:color w:val="auto"/>
          <w:sz w:val="24"/>
          <w:u w:val="single"/>
        </w:rPr>
        <w:t>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养护工程市场信用信息管理系统。</w:t>
      </w:r>
    </w:p>
    <w:p w14:paraId="26A89F12">
      <w:pPr>
        <w:tabs>
          <w:tab w:val="left" w:pos="1080"/>
        </w:tabs>
        <w:spacing w:line="360" w:lineRule="auto"/>
        <w:ind w:firstLine="420" w:firstLineChars="175"/>
        <w:rPr>
          <w:rFonts w:ascii="宋体" w:hAnsi="宋体" w:cs="宋体"/>
          <w:color w:val="auto"/>
          <w:sz w:val="24"/>
          <w:u w:val="single"/>
        </w:rPr>
      </w:pPr>
      <w:r>
        <w:rPr>
          <w:rFonts w:hint="eastAsia" w:ascii="宋体" w:hAnsi="宋体" w:cs="宋体"/>
          <w:color w:val="auto"/>
          <w:sz w:val="24"/>
          <w:u w:val="single"/>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66232D1F">
      <w:pPr>
        <w:pStyle w:val="21"/>
        <w:spacing w:line="360" w:lineRule="auto"/>
        <w:ind w:firstLine="480" w:firstLineChars="200"/>
        <w:jc w:val="left"/>
        <w:rPr>
          <w:color w:val="auto"/>
          <w:sz w:val="24"/>
          <w:u w:val="single"/>
        </w:rPr>
      </w:pPr>
      <w:r>
        <w:rPr>
          <w:rFonts w:hint="eastAsia"/>
          <w:color w:val="auto"/>
          <w:sz w:val="24"/>
          <w:u w:val="single"/>
        </w:rPr>
        <w:t>工资支付表应如实记录支付单位、支付时间、支付对象、支付数额、支付对象的身份证号和签字等信息。民工花名册和工资支付表应报咨询人（监理人）备查。</w:t>
      </w:r>
    </w:p>
    <w:p w14:paraId="1660C29E">
      <w:pPr>
        <w:pStyle w:val="21"/>
        <w:spacing w:line="360" w:lineRule="auto"/>
        <w:ind w:firstLine="480" w:firstLineChars="200"/>
        <w:jc w:val="left"/>
        <w:rPr>
          <w:color w:val="auto"/>
          <w:sz w:val="24"/>
          <w:u w:val="single"/>
        </w:rPr>
      </w:pPr>
      <w:r>
        <w:rPr>
          <w:rFonts w:hint="eastAsia"/>
          <w:color w:val="auto"/>
          <w:sz w:val="24"/>
          <w:u w:val="single"/>
        </w:rPr>
        <w:t>供应商应严格落实《保障农民工工资支付条例》（中华人民共和国国务院令第724号）、《广西壮族自治区人力资源和社会保障厅广西壮族自治区住房和城乡建设厅广西壮族自治区交通运输厅广西壮族自治区水利厅中国银行保险监督管理委员会广西监管局关于印发广西壮族自治区工程建设领域农民工工资保证金规定实施办法的通知》（桂人社规〔2021〕16号）以及《广西壮族自治区人力资源和社会保障厅等8部门关于印发广西壮族自治区工程建设领域农民工工资专用账户管理暂行办法实施细则的通知》（桂人社规〔2022〕5号）的相关要求，规范农民工工资支付等行为。各供应商必须对农民工工资保障金的问题作出以下承诺，格式见响应文件格式“农民工工资保证金承诺书”。</w:t>
      </w:r>
    </w:p>
    <w:p w14:paraId="59BDE128">
      <w:pPr>
        <w:tabs>
          <w:tab w:val="left" w:pos="1080"/>
        </w:tabs>
        <w:spacing w:line="360" w:lineRule="auto"/>
        <w:ind w:firstLine="480"/>
        <w:rPr>
          <w:rFonts w:ascii="宋体" w:hAnsi="宋体" w:cs="宋体"/>
          <w:color w:val="auto"/>
          <w:sz w:val="24"/>
          <w:u w:val="single"/>
        </w:rPr>
      </w:pPr>
      <w:r>
        <w:rPr>
          <w:rFonts w:hint="eastAsia" w:ascii="宋体" w:hAnsi="宋体" w:cs="宋体"/>
          <w:color w:val="auto"/>
          <w:sz w:val="24"/>
          <w:u w:val="single"/>
        </w:rPr>
        <w:t>2.与本工程项目相关的审计和稽查、检查、视察等活动，承包人应高度重视并有义务委派专人积极予以配合。</w:t>
      </w:r>
    </w:p>
    <w:p w14:paraId="140DAA5A">
      <w:pPr>
        <w:tabs>
          <w:tab w:val="left" w:pos="1080"/>
        </w:tabs>
        <w:spacing w:line="360" w:lineRule="auto"/>
        <w:ind w:firstLine="480"/>
        <w:rPr>
          <w:rFonts w:ascii="宋体" w:hAnsi="宋体" w:cs="宋体"/>
          <w:color w:val="auto"/>
          <w:sz w:val="24"/>
          <w:u w:val="single"/>
        </w:rPr>
      </w:pPr>
      <w:r>
        <w:rPr>
          <w:rFonts w:hint="eastAsia" w:ascii="宋体" w:hAnsi="宋体" w:cs="宋体"/>
          <w:color w:val="auto"/>
          <w:sz w:val="24"/>
          <w:u w:val="single"/>
        </w:rPr>
        <w:t>3.承包人的供货合同给发包人和咨询人（监理人）监督检查。</w:t>
      </w:r>
    </w:p>
    <w:p w14:paraId="3E0FF215">
      <w:pPr>
        <w:tabs>
          <w:tab w:val="left" w:pos="1080"/>
        </w:tabs>
        <w:spacing w:line="360" w:lineRule="auto"/>
        <w:ind w:firstLine="480"/>
        <w:rPr>
          <w:rFonts w:ascii="宋体" w:hAnsi="宋体" w:cs="宋体"/>
          <w:color w:val="auto"/>
          <w:sz w:val="24"/>
          <w:u w:val="single"/>
        </w:rPr>
      </w:pPr>
      <w:r>
        <w:rPr>
          <w:rFonts w:hint="eastAsia" w:ascii="宋体" w:hAnsi="宋体" w:cs="宋体"/>
          <w:color w:val="auto"/>
          <w:sz w:val="24"/>
          <w:u w:val="single"/>
        </w:rPr>
        <w:t>4.对项目使用的原有道路的维护和管理，以确保正常通行。</w:t>
      </w:r>
    </w:p>
    <w:p w14:paraId="6948B5C1">
      <w:pPr>
        <w:tabs>
          <w:tab w:val="left" w:pos="1080"/>
        </w:tabs>
        <w:spacing w:line="360" w:lineRule="auto"/>
        <w:ind w:firstLine="480"/>
        <w:rPr>
          <w:rFonts w:ascii="宋体" w:hAnsi="宋体" w:cs="宋体"/>
          <w:color w:val="auto"/>
          <w:sz w:val="24"/>
          <w:u w:val="single"/>
        </w:rPr>
      </w:pPr>
      <w:r>
        <w:rPr>
          <w:rFonts w:hint="eastAsia" w:ascii="宋体" w:hAnsi="宋体" w:cs="宋体"/>
          <w:color w:val="auto"/>
          <w:sz w:val="24"/>
          <w:u w:val="single"/>
        </w:rPr>
        <w:t>5.维护社会稳定，避免发生因承包人原因引起施工队伍或施工引起周边群众等群体性上访事件</w:t>
      </w:r>
    </w:p>
    <w:p w14:paraId="4DCE00C7">
      <w:pPr>
        <w:tabs>
          <w:tab w:val="left" w:pos="1080"/>
        </w:tabs>
        <w:spacing w:line="360" w:lineRule="auto"/>
        <w:ind w:firstLine="480"/>
        <w:rPr>
          <w:rFonts w:ascii="宋体" w:hAnsi="宋体" w:cs="宋体"/>
          <w:color w:val="auto"/>
          <w:sz w:val="24"/>
          <w:u w:val="single"/>
        </w:rPr>
      </w:pPr>
      <w:r>
        <w:rPr>
          <w:rFonts w:hint="eastAsia" w:ascii="宋体" w:hAnsi="宋体" w:cs="宋体"/>
          <w:color w:val="auto"/>
          <w:sz w:val="24"/>
          <w:u w:val="single"/>
        </w:rPr>
        <w:t>6.承包人应自觉接受交通主管部门、质量监督单位、公路管理机构的监督，对指出的问题进行认真的整改，及时报告处理结果。</w:t>
      </w:r>
    </w:p>
    <w:p w14:paraId="538F7F73">
      <w:pPr>
        <w:spacing w:line="360" w:lineRule="auto"/>
        <w:ind w:firstLine="480"/>
        <w:jc w:val="left"/>
        <w:rPr>
          <w:rFonts w:ascii="宋体" w:hAnsi="宋体" w:cs="宋体"/>
          <w:color w:val="auto"/>
          <w:sz w:val="24"/>
          <w:u w:val="single"/>
        </w:rPr>
      </w:pPr>
      <w:r>
        <w:rPr>
          <w:rFonts w:hint="eastAsia" w:ascii="宋体" w:hAnsi="宋体" w:cs="宋体"/>
          <w:color w:val="auto"/>
          <w:sz w:val="24"/>
          <w:u w:val="single"/>
        </w:rPr>
        <w:t>7.合同实施时承包人应投入足够的技术和管理人员以满足工程施工需要，发包人要求承包人应投入本合同的最低人员要求见合同附件（若有），在不少于合同附件（若有）要求前提下，为确保工程进度，咨询总负责人有权要求承包人增加相应技术和管理人员以满足施工需要。</w:t>
      </w:r>
    </w:p>
    <w:p w14:paraId="2F319EEA">
      <w:pPr>
        <w:spacing w:before="105" w:line="220" w:lineRule="auto"/>
        <w:ind w:left="486"/>
        <w:outlineLvl w:val="4"/>
        <w:rPr>
          <w:rFonts w:eastAsia="Times New Roman"/>
          <w:color w:val="auto"/>
          <w:spacing w:val="-2"/>
          <w:sz w:val="24"/>
          <w:u w:val="single"/>
        </w:rPr>
      </w:pPr>
      <w:r>
        <w:rPr>
          <w:rFonts w:hint="eastAsia" w:eastAsia="Times New Roman"/>
          <w:color w:val="auto"/>
          <w:spacing w:val="-2"/>
          <w:sz w:val="24"/>
          <w:u w:val="single"/>
        </w:rPr>
        <w:t xml:space="preserve">8.承包人响应“美丽广西·清洁乡村”行动 </w:t>
      </w:r>
    </w:p>
    <w:p w14:paraId="2734B0B3">
      <w:pPr>
        <w:tabs>
          <w:tab w:val="left" w:pos="1080"/>
        </w:tabs>
        <w:spacing w:line="360" w:lineRule="auto"/>
        <w:ind w:firstLine="480"/>
        <w:rPr>
          <w:rFonts w:ascii="宋体" w:hAnsi="宋体" w:cs="宋体"/>
          <w:color w:val="auto"/>
          <w:sz w:val="24"/>
          <w:u w:val="single"/>
        </w:rPr>
      </w:pPr>
      <w:r>
        <w:rPr>
          <w:rFonts w:hint="eastAsia" w:ascii="宋体" w:hAnsi="宋体" w:cs="宋体"/>
          <w:color w:val="auto"/>
          <w:sz w:val="24"/>
          <w:u w:val="single"/>
        </w:rPr>
        <w:t xml:space="preserve">（1）承包人应根据《中共广西壮族自治区交通厅党组关于印发自治区交通运输系统“美丽广西·清洁乡村”交通行动实施方案的通知》（桂交党宣[2013]15号）精神，响应号召，以清洁公路、清洁水路、清洁运输为目标，大力实施交通运输尤其是农村交通运输 </w:t>
      </w:r>
    </w:p>
    <w:p w14:paraId="6CFE9CC4">
      <w:pPr>
        <w:tabs>
          <w:tab w:val="left" w:pos="1080"/>
        </w:tabs>
        <w:spacing w:line="360" w:lineRule="auto"/>
        <w:ind w:firstLine="480"/>
        <w:rPr>
          <w:rFonts w:ascii="宋体" w:hAnsi="宋体" w:cs="宋体"/>
          <w:color w:val="auto"/>
          <w:sz w:val="24"/>
          <w:u w:val="single"/>
        </w:rPr>
      </w:pPr>
      <w:r>
        <w:rPr>
          <w:rFonts w:hint="eastAsia" w:ascii="宋体" w:hAnsi="宋体" w:cs="宋体"/>
          <w:color w:val="auto"/>
          <w:sz w:val="24"/>
          <w:u w:val="single"/>
        </w:rPr>
        <w:t xml:space="preserve">环境的净化、绿化、美化，为群众创造畅通、高效、平安、绿色的交通运输环境及服务，以实现“生态环境美、文明风尚美、平安和谐美”的“三美交通”。 </w:t>
      </w:r>
    </w:p>
    <w:p w14:paraId="2E208F10">
      <w:pPr>
        <w:tabs>
          <w:tab w:val="left" w:pos="1080"/>
        </w:tabs>
        <w:spacing w:line="360" w:lineRule="auto"/>
        <w:ind w:firstLine="480"/>
        <w:rPr>
          <w:rFonts w:ascii="宋体" w:hAnsi="宋体" w:cs="宋体"/>
          <w:color w:val="auto"/>
          <w:sz w:val="24"/>
          <w:u w:val="single"/>
        </w:rPr>
      </w:pPr>
      <w:r>
        <w:rPr>
          <w:rFonts w:hint="eastAsia" w:ascii="宋体" w:hAnsi="宋体" w:cs="宋体"/>
          <w:color w:val="auto"/>
          <w:sz w:val="24"/>
          <w:u w:val="single"/>
        </w:rPr>
        <w:t xml:space="preserve">（2）具体要求：在建公路项目要文明施工，强化施工路段的环境整治，施工车辆要避免扬尘洒漏，避免对原有公路的破坏，做好水土保持、环境保护工作；旧路改建项目要保证施工期间维持良好通车秩序；承包人应高度重视，有义务积极配合并委派专人参加 </w:t>
      </w:r>
    </w:p>
    <w:p w14:paraId="7CEAB403">
      <w:pPr>
        <w:tabs>
          <w:tab w:val="left" w:pos="1080"/>
        </w:tabs>
        <w:spacing w:line="360" w:lineRule="auto"/>
        <w:ind w:firstLine="480"/>
        <w:rPr>
          <w:rFonts w:ascii="宋体" w:hAnsi="宋体" w:cs="宋体"/>
          <w:color w:val="auto"/>
          <w:sz w:val="24"/>
          <w:u w:val="single"/>
        </w:rPr>
      </w:pPr>
      <w:r>
        <w:rPr>
          <w:rFonts w:hint="eastAsia" w:ascii="宋体" w:hAnsi="宋体" w:cs="宋体"/>
          <w:color w:val="auto"/>
          <w:sz w:val="24"/>
          <w:u w:val="single"/>
        </w:rPr>
        <w:t xml:space="preserve">“美丽广西·清洁乡村”的相关活动。 </w:t>
      </w:r>
    </w:p>
    <w:p w14:paraId="06300745">
      <w:pPr>
        <w:tabs>
          <w:tab w:val="left" w:pos="1080"/>
        </w:tabs>
        <w:spacing w:line="360" w:lineRule="auto"/>
        <w:ind w:firstLine="480"/>
        <w:rPr>
          <w:rFonts w:ascii="宋体" w:hAnsi="宋体" w:cs="宋体"/>
          <w:color w:val="auto"/>
          <w:sz w:val="24"/>
          <w:u w:val="single"/>
        </w:rPr>
      </w:pPr>
      <w:r>
        <w:rPr>
          <w:rFonts w:hint="eastAsia" w:ascii="宋体" w:hAnsi="宋体" w:cs="宋体"/>
          <w:color w:val="auto"/>
          <w:sz w:val="24"/>
          <w:u w:val="single"/>
        </w:rPr>
        <w:t xml:space="preserve">9.对于精细化养护工程施工路段路容路貌要求 </w:t>
      </w:r>
    </w:p>
    <w:p w14:paraId="10A64AED">
      <w:pPr>
        <w:tabs>
          <w:tab w:val="left" w:pos="1080"/>
        </w:tabs>
        <w:spacing w:line="360" w:lineRule="auto"/>
        <w:ind w:firstLine="480"/>
        <w:rPr>
          <w:rFonts w:ascii="宋体" w:hAnsi="宋体" w:cs="宋体"/>
          <w:color w:val="auto"/>
          <w:sz w:val="24"/>
          <w:u w:val="single"/>
        </w:rPr>
      </w:pPr>
      <w:r>
        <w:rPr>
          <w:rFonts w:hint="eastAsia" w:ascii="宋体" w:hAnsi="宋体" w:cs="宋体"/>
          <w:color w:val="auto"/>
          <w:sz w:val="24"/>
          <w:u w:val="single"/>
        </w:rPr>
        <w:t xml:space="preserve">在开工至交工验收期间，承包人保持施工点段的清洁，负责做好施工点断的交通维护及环境保护工作，确保施工点段安全，整洁。具体要求： </w:t>
      </w:r>
    </w:p>
    <w:p w14:paraId="681C6ED1">
      <w:pPr>
        <w:tabs>
          <w:tab w:val="left" w:pos="1080"/>
        </w:tabs>
        <w:spacing w:line="360" w:lineRule="auto"/>
        <w:ind w:firstLine="480"/>
        <w:rPr>
          <w:rFonts w:ascii="宋体" w:hAnsi="宋体" w:cs="宋体"/>
          <w:color w:val="auto"/>
          <w:sz w:val="24"/>
          <w:u w:val="single"/>
        </w:rPr>
      </w:pPr>
      <w:r>
        <w:rPr>
          <w:rFonts w:hint="eastAsia" w:ascii="宋体" w:hAnsi="宋体" w:cs="宋体"/>
          <w:color w:val="auto"/>
          <w:sz w:val="24"/>
          <w:u w:val="single"/>
        </w:rPr>
        <w:t xml:space="preserve">（1）清除施工点段施工废弃物： </w:t>
      </w:r>
    </w:p>
    <w:p w14:paraId="4501352D">
      <w:pPr>
        <w:tabs>
          <w:tab w:val="left" w:pos="1080"/>
        </w:tabs>
        <w:spacing w:line="360" w:lineRule="auto"/>
        <w:ind w:firstLine="480"/>
        <w:rPr>
          <w:rFonts w:ascii="宋体" w:hAnsi="宋体" w:cs="宋体"/>
          <w:color w:val="auto"/>
          <w:sz w:val="24"/>
          <w:u w:val="single"/>
        </w:rPr>
      </w:pPr>
      <w:r>
        <w:rPr>
          <w:rFonts w:hint="eastAsia" w:ascii="宋体" w:hAnsi="宋体" w:cs="宋体"/>
          <w:color w:val="auto"/>
          <w:sz w:val="24"/>
          <w:u w:val="single"/>
        </w:rPr>
        <w:t xml:space="preserve">施工过程中保护好施工点段的环境，及时清理恢复因施工造成的环境问题，及时清理施工废弃物。 </w:t>
      </w:r>
    </w:p>
    <w:p w14:paraId="07808AD3">
      <w:pPr>
        <w:tabs>
          <w:tab w:val="left" w:pos="1080"/>
        </w:tabs>
        <w:spacing w:line="360" w:lineRule="auto"/>
        <w:ind w:firstLine="480"/>
        <w:rPr>
          <w:rFonts w:ascii="宋体" w:hAnsi="宋体" w:cs="宋体"/>
          <w:color w:val="auto"/>
          <w:sz w:val="24"/>
          <w:u w:val="single"/>
        </w:rPr>
      </w:pPr>
      <w:r>
        <w:rPr>
          <w:rFonts w:hint="eastAsia" w:ascii="宋体" w:hAnsi="宋体" w:cs="宋体"/>
          <w:color w:val="auto"/>
          <w:sz w:val="24"/>
          <w:u w:val="single"/>
        </w:rPr>
        <w:t xml:space="preserve">（2）做好施工点段交通维护工作： </w:t>
      </w:r>
    </w:p>
    <w:p w14:paraId="7AA09B17">
      <w:pPr>
        <w:tabs>
          <w:tab w:val="left" w:pos="1080"/>
        </w:tabs>
        <w:spacing w:line="360" w:lineRule="auto"/>
        <w:ind w:firstLine="480"/>
        <w:rPr>
          <w:rFonts w:ascii="宋体" w:hAnsi="宋体" w:cs="宋体"/>
          <w:color w:val="auto"/>
          <w:sz w:val="24"/>
          <w:u w:val="single"/>
        </w:rPr>
      </w:pPr>
      <w:r>
        <w:rPr>
          <w:rFonts w:hint="eastAsia" w:ascii="宋体" w:hAnsi="宋体" w:cs="宋体"/>
          <w:color w:val="auto"/>
          <w:sz w:val="24"/>
          <w:u w:val="single"/>
        </w:rPr>
        <w:t xml:space="preserve">施工过程中按照《公路养护安全作业规程》（JTGH30一2015）做好现场施工安全管理工作，维护好现场交通秩序。 </w:t>
      </w:r>
    </w:p>
    <w:p w14:paraId="73CC1FA9">
      <w:pPr>
        <w:tabs>
          <w:tab w:val="left" w:pos="1080"/>
        </w:tabs>
        <w:spacing w:line="360" w:lineRule="auto"/>
        <w:ind w:firstLine="480"/>
        <w:rPr>
          <w:rFonts w:ascii="宋体" w:hAnsi="宋体" w:cs="宋体"/>
          <w:color w:val="auto"/>
          <w:sz w:val="24"/>
          <w:u w:val="single"/>
        </w:rPr>
      </w:pPr>
      <w:r>
        <w:rPr>
          <w:rFonts w:hint="eastAsia" w:ascii="宋体" w:hAnsi="宋体" w:cs="宋体"/>
          <w:color w:val="auto"/>
          <w:sz w:val="24"/>
          <w:u w:val="single"/>
        </w:rPr>
        <w:t xml:space="preserve">（3）做好现场成品保护： </w:t>
      </w:r>
    </w:p>
    <w:p w14:paraId="66BD731D">
      <w:pPr>
        <w:tabs>
          <w:tab w:val="left" w:pos="1080"/>
        </w:tabs>
        <w:spacing w:line="360" w:lineRule="auto"/>
        <w:ind w:firstLine="480"/>
        <w:rPr>
          <w:rFonts w:ascii="宋体" w:hAnsi="宋体" w:cs="宋体"/>
          <w:color w:val="auto"/>
          <w:sz w:val="24"/>
          <w:u w:val="single"/>
        </w:rPr>
      </w:pPr>
      <w:r>
        <w:rPr>
          <w:rFonts w:hint="eastAsia" w:ascii="宋体" w:hAnsi="宋体" w:cs="宋体"/>
          <w:color w:val="auto"/>
          <w:sz w:val="24"/>
          <w:u w:val="single"/>
        </w:rPr>
        <w:t>持续做好所施工成品保护，确保交竣工验收整洁美观。</w:t>
      </w:r>
    </w:p>
    <w:p w14:paraId="0DE63EB8">
      <w:pPr>
        <w:tabs>
          <w:tab w:val="left" w:pos="1080"/>
        </w:tabs>
        <w:spacing w:line="360" w:lineRule="auto"/>
        <w:ind w:firstLine="480"/>
        <w:rPr>
          <w:rFonts w:ascii="宋体" w:hAnsi="宋体" w:cs="宋体"/>
          <w:color w:val="auto"/>
          <w:sz w:val="24"/>
          <w:u w:val="single"/>
        </w:rPr>
      </w:pPr>
      <w:r>
        <w:rPr>
          <w:rFonts w:hint="eastAsia" w:ascii="宋体" w:hAnsi="宋体" w:cs="宋体"/>
          <w:color w:val="auto"/>
          <w:sz w:val="24"/>
          <w:u w:val="single"/>
        </w:rPr>
        <w:t>承包人报价时须充分考虑上述工作内容所需费用，并将其分摊至本项目工程量清单子目的单价及总额价中，发包人不再另行支付。交（竣）工验收时同时对施工点段环境及成品保护情况进行验收。</w:t>
      </w:r>
    </w:p>
    <w:p w14:paraId="36A98B80">
      <w:pPr>
        <w:spacing w:before="105" w:line="220" w:lineRule="auto"/>
        <w:ind w:left="486"/>
        <w:outlineLvl w:val="4"/>
        <w:rPr>
          <w:rFonts w:ascii="宋体" w:hAnsi="宋体" w:cs="宋体"/>
          <w:color w:val="auto"/>
          <w:sz w:val="24"/>
        </w:rPr>
      </w:pPr>
      <w:r>
        <w:rPr>
          <w:rFonts w:eastAsia="Times New Roman"/>
          <w:b/>
          <w:bCs/>
          <w:color w:val="auto"/>
          <w:spacing w:val="-2"/>
          <w:sz w:val="24"/>
        </w:rPr>
        <w:t xml:space="preserve">4.2  </w:t>
      </w:r>
      <w:r>
        <w:rPr>
          <w:rFonts w:ascii="宋体" w:hAnsi="宋体" w:cs="宋体"/>
          <w:b/>
          <w:bCs/>
          <w:color w:val="auto"/>
          <w:spacing w:val="-2"/>
          <w:sz w:val="24"/>
        </w:rPr>
        <w:t>履约保证金</w:t>
      </w:r>
    </w:p>
    <w:p w14:paraId="77437C3F">
      <w:pPr>
        <w:spacing w:before="125" w:line="219" w:lineRule="auto"/>
        <w:ind w:left="483"/>
        <w:rPr>
          <w:rFonts w:ascii="宋体" w:hAnsi="宋体" w:cs="宋体"/>
          <w:color w:val="auto"/>
          <w:sz w:val="24"/>
        </w:rPr>
      </w:pPr>
      <w:r>
        <w:rPr>
          <w:rFonts w:eastAsia="Times New Roman"/>
          <w:color w:val="auto"/>
          <w:spacing w:val="-2"/>
          <w:sz w:val="24"/>
        </w:rPr>
        <w:t xml:space="preserve">4.2.1 </w:t>
      </w:r>
      <w:r>
        <w:rPr>
          <w:rFonts w:ascii="宋体" w:hAnsi="宋体" w:cs="宋体"/>
          <w:color w:val="auto"/>
          <w:spacing w:val="-2"/>
          <w:sz w:val="24"/>
        </w:rPr>
        <w:t>承包人提交履约保证金的形式为</w:t>
      </w:r>
      <w:r>
        <w:rPr>
          <w:rFonts w:hint="eastAsia" w:ascii="宋体" w:hAnsi="宋体" w:cs="宋体"/>
          <w:color w:val="auto"/>
          <w:spacing w:val="-2"/>
          <w:sz w:val="24"/>
          <w:u w:val="single"/>
        </w:rPr>
        <w:t>银行转账、支票、汇票、本票或者金融、担保机构出具的保函等非现金方式</w:t>
      </w:r>
      <w:r>
        <w:rPr>
          <w:rFonts w:ascii="宋体" w:hAnsi="宋体" w:cs="宋体"/>
          <w:color w:val="auto"/>
          <w:spacing w:val="-2"/>
          <w:sz w:val="24"/>
        </w:rPr>
        <w:t>，金额为</w:t>
      </w:r>
      <w:r>
        <w:rPr>
          <w:rFonts w:hint="eastAsia" w:ascii="宋体" w:hAnsi="宋体" w:cs="宋体"/>
          <w:color w:val="auto"/>
          <w:spacing w:val="-2"/>
          <w:sz w:val="24"/>
          <w:u w:val="single"/>
        </w:rPr>
        <w:t>2%</w:t>
      </w:r>
      <w:r>
        <w:rPr>
          <w:rFonts w:ascii="宋体" w:hAnsi="宋体" w:cs="宋体"/>
          <w:color w:val="auto"/>
          <w:spacing w:val="-2"/>
          <w:sz w:val="24"/>
        </w:rPr>
        <w:t>，期限为</w:t>
      </w:r>
      <w:r>
        <w:rPr>
          <w:rFonts w:hint="eastAsia" w:ascii="宋体" w:hAnsi="宋体" w:cs="宋体"/>
          <w:color w:val="auto"/>
          <w:spacing w:val="1"/>
          <w:sz w:val="24"/>
          <w:u w:val="single"/>
        </w:rPr>
        <w:t>承包人应保证其履约保证金在发包人签发交工验收证书且</w:t>
      </w:r>
      <w:r>
        <w:rPr>
          <w:rFonts w:hint="eastAsia" w:ascii="宋体" w:hAnsi="宋体" w:cs="宋体"/>
          <w:color w:val="auto"/>
          <w:sz w:val="24"/>
          <w:u w:val="single"/>
        </w:rPr>
        <w:t>承包人按照合同约定缴纳</w:t>
      </w:r>
      <w:r>
        <w:rPr>
          <w:rFonts w:hint="eastAsia" w:ascii="宋体" w:hAnsi="宋体" w:cs="宋体"/>
          <w:color w:val="auto"/>
          <w:spacing w:val="3"/>
          <w:sz w:val="24"/>
          <w:u w:val="single"/>
        </w:rPr>
        <w:t>质量保证金前一直有效。发包人应在收到承包人</w:t>
      </w:r>
      <w:r>
        <w:rPr>
          <w:rFonts w:hint="eastAsia" w:ascii="宋体" w:hAnsi="宋体" w:cs="宋体"/>
          <w:color w:val="auto"/>
          <w:spacing w:val="2"/>
          <w:sz w:val="24"/>
          <w:u w:val="single"/>
        </w:rPr>
        <w:t>缴纳的质量保证金后14天内将履</w:t>
      </w:r>
      <w:r>
        <w:rPr>
          <w:rFonts w:hint="eastAsia" w:ascii="宋体" w:hAnsi="宋体" w:cs="宋体"/>
          <w:color w:val="auto"/>
          <w:spacing w:val="-1"/>
          <w:sz w:val="24"/>
          <w:u w:val="single"/>
        </w:rPr>
        <w:t>约保证金退还给承包人</w:t>
      </w:r>
      <w:r>
        <w:rPr>
          <w:rFonts w:hint="eastAsia" w:ascii="宋体" w:hAnsi="宋体" w:cs="宋体"/>
          <w:color w:val="auto"/>
          <w:spacing w:val="-1"/>
          <w:sz w:val="24"/>
        </w:rPr>
        <w:t>。</w:t>
      </w:r>
    </w:p>
    <w:p w14:paraId="3E925C97">
      <w:pPr>
        <w:spacing w:before="106" w:line="220" w:lineRule="auto"/>
        <w:ind w:left="486"/>
        <w:outlineLvl w:val="4"/>
        <w:rPr>
          <w:rFonts w:ascii="宋体" w:hAnsi="宋体" w:cs="宋体"/>
          <w:color w:val="auto"/>
          <w:sz w:val="24"/>
        </w:rPr>
      </w:pPr>
      <w:r>
        <w:rPr>
          <w:rFonts w:eastAsia="Times New Roman"/>
          <w:b/>
          <w:bCs/>
          <w:color w:val="auto"/>
          <w:spacing w:val="-2"/>
          <w:sz w:val="24"/>
        </w:rPr>
        <w:t xml:space="preserve">4.3 </w:t>
      </w:r>
      <w:r>
        <w:rPr>
          <w:rFonts w:ascii="宋体" w:hAnsi="宋体" w:cs="宋体"/>
          <w:b/>
          <w:bCs/>
          <w:color w:val="auto"/>
          <w:spacing w:val="-2"/>
          <w:sz w:val="24"/>
        </w:rPr>
        <w:t>转包、分包</w:t>
      </w:r>
    </w:p>
    <w:p w14:paraId="6071D9C8">
      <w:pPr>
        <w:spacing w:before="124" w:line="219" w:lineRule="auto"/>
        <w:ind w:left="483"/>
        <w:rPr>
          <w:rFonts w:ascii="宋体" w:hAnsi="宋体" w:cs="宋体"/>
          <w:color w:val="auto"/>
          <w:sz w:val="24"/>
        </w:rPr>
      </w:pPr>
      <w:r>
        <w:rPr>
          <w:rFonts w:eastAsia="Times New Roman"/>
          <w:color w:val="auto"/>
          <w:sz w:val="24"/>
        </w:rPr>
        <w:t xml:space="preserve">4.3.2 </w:t>
      </w:r>
      <w:r>
        <w:rPr>
          <w:rFonts w:ascii="宋体" w:hAnsi="宋体" w:cs="宋体"/>
          <w:color w:val="auto"/>
          <w:sz w:val="24"/>
        </w:rPr>
        <w:t>本项目允许分包的范围：</w:t>
      </w:r>
      <w:r>
        <w:rPr>
          <w:rFonts w:hint="eastAsia" w:ascii="宋体" w:hAnsi="宋体" w:cs="宋体"/>
          <w:color w:val="auto"/>
          <w:sz w:val="24"/>
          <w:u w:val="single"/>
        </w:rPr>
        <w:t>无</w:t>
      </w:r>
      <w:r>
        <w:rPr>
          <w:rFonts w:ascii="宋体" w:hAnsi="宋体" w:cs="宋体"/>
          <w:color w:val="auto"/>
          <w:spacing w:val="-1"/>
          <w:sz w:val="24"/>
        </w:rPr>
        <w:t>。</w:t>
      </w:r>
    </w:p>
    <w:p w14:paraId="6B29B392">
      <w:pPr>
        <w:spacing w:before="114" w:line="219" w:lineRule="auto"/>
        <w:ind w:left="483"/>
        <w:rPr>
          <w:rFonts w:ascii="宋体" w:hAnsi="宋体" w:cs="宋体"/>
          <w:color w:val="auto"/>
          <w:sz w:val="24"/>
        </w:rPr>
      </w:pPr>
      <w:r>
        <w:rPr>
          <w:rFonts w:eastAsia="Times New Roman"/>
          <w:color w:val="auto"/>
          <w:sz w:val="24"/>
        </w:rPr>
        <w:t xml:space="preserve">4.3.3  </w:t>
      </w:r>
      <w:r>
        <w:rPr>
          <w:rFonts w:ascii="宋体" w:hAnsi="宋体" w:cs="宋体"/>
          <w:color w:val="auto"/>
          <w:sz w:val="24"/>
        </w:rPr>
        <w:t>分包人应满足的资格能力条件：</w:t>
      </w:r>
      <w:r>
        <w:rPr>
          <w:rFonts w:hint="eastAsia" w:ascii="宋体" w:hAnsi="宋体" w:cs="宋体"/>
          <w:color w:val="auto"/>
          <w:sz w:val="24"/>
          <w:u w:val="single"/>
        </w:rPr>
        <w:t>无</w:t>
      </w:r>
      <w:r>
        <w:rPr>
          <w:rFonts w:ascii="宋体" w:hAnsi="宋体" w:cs="宋体"/>
          <w:color w:val="auto"/>
          <w:spacing w:val="-1"/>
          <w:sz w:val="24"/>
        </w:rPr>
        <w:t>。</w:t>
      </w:r>
    </w:p>
    <w:p w14:paraId="6A3C0B11">
      <w:pPr>
        <w:spacing w:before="106" w:line="219" w:lineRule="auto"/>
        <w:ind w:left="486"/>
        <w:outlineLvl w:val="4"/>
        <w:rPr>
          <w:rFonts w:ascii="宋体" w:hAnsi="宋体" w:cs="宋体"/>
          <w:color w:val="auto"/>
          <w:sz w:val="24"/>
        </w:rPr>
      </w:pPr>
      <w:bookmarkStart w:id="219" w:name="bookmark250"/>
      <w:bookmarkEnd w:id="219"/>
      <w:r>
        <w:rPr>
          <w:rFonts w:eastAsia="Times New Roman"/>
          <w:b/>
          <w:bCs/>
          <w:color w:val="auto"/>
          <w:spacing w:val="-2"/>
          <w:sz w:val="24"/>
        </w:rPr>
        <w:t xml:space="preserve">4.5  </w:t>
      </w:r>
      <w:r>
        <w:rPr>
          <w:rFonts w:ascii="宋体" w:hAnsi="宋体" w:cs="宋体"/>
          <w:b/>
          <w:bCs/>
          <w:color w:val="auto"/>
          <w:spacing w:val="-2"/>
          <w:sz w:val="24"/>
        </w:rPr>
        <w:t>承包人项目经理和项目总工</w:t>
      </w:r>
    </w:p>
    <w:p w14:paraId="3899EC0F">
      <w:pPr>
        <w:spacing w:before="1" w:line="342" w:lineRule="auto"/>
        <w:ind w:left="483"/>
        <w:rPr>
          <w:rFonts w:ascii="宋体" w:hAnsi="宋体" w:cs="宋体"/>
          <w:color w:val="auto"/>
          <w:sz w:val="12"/>
          <w:szCs w:val="12"/>
        </w:rPr>
      </w:pPr>
      <w:r>
        <w:rPr>
          <w:rFonts w:eastAsia="Times New Roman"/>
          <w:color w:val="auto"/>
          <w:spacing w:val="-1"/>
          <w:sz w:val="24"/>
        </w:rPr>
        <w:t xml:space="preserve">4.5.1  </w:t>
      </w:r>
      <w:r>
        <w:rPr>
          <w:rFonts w:ascii="宋体" w:hAnsi="宋体" w:cs="宋体"/>
          <w:color w:val="auto"/>
          <w:spacing w:val="-1"/>
          <w:sz w:val="24"/>
        </w:rPr>
        <w:t>承包人项目经理和项目总工的驻场要求：</w:t>
      </w:r>
      <w:r>
        <w:rPr>
          <w:rFonts w:hint="eastAsia" w:ascii="宋体" w:hAnsi="宋体" w:cs="宋体"/>
          <w:color w:val="auto"/>
          <w:kern w:val="0"/>
          <w:sz w:val="24"/>
          <w:u w:val="single"/>
          <w:lang w:val="zh-CN"/>
        </w:rPr>
        <w:t>项目经理、总工每月驻工地现场时间不应少于22天</w:t>
      </w:r>
      <w:r>
        <w:rPr>
          <w:rFonts w:ascii="宋体" w:hAnsi="宋体" w:cs="宋体"/>
          <w:color w:val="auto"/>
          <w:spacing w:val="-1"/>
          <w:sz w:val="24"/>
        </w:rPr>
        <w:t>。</w:t>
      </w:r>
      <w:r>
        <w:rPr>
          <w:color w:val="auto"/>
        </w:rPr>
        <w:fldChar w:fldCharType="begin"/>
      </w:r>
      <w:r>
        <w:rPr>
          <w:color w:val="auto"/>
        </w:rPr>
        <w:instrText xml:space="preserve"> HYPERLINK \l "bookmark250" </w:instrText>
      </w:r>
      <w:r>
        <w:rPr>
          <w:color w:val="auto"/>
        </w:rPr>
        <w:fldChar w:fldCharType="separate"/>
      </w:r>
      <w:r>
        <w:rPr>
          <w:rFonts w:ascii="宋体" w:hAnsi="宋体" w:cs="宋体"/>
          <w:color w:val="auto"/>
          <w:spacing w:val="-1"/>
          <w:position w:val="12"/>
          <w:sz w:val="12"/>
          <w:szCs w:val="12"/>
        </w:rPr>
        <w:t>①</w:t>
      </w:r>
      <w:r>
        <w:rPr>
          <w:rFonts w:ascii="宋体" w:hAnsi="宋体" w:cs="宋体"/>
          <w:color w:val="auto"/>
          <w:spacing w:val="-1"/>
          <w:position w:val="12"/>
          <w:sz w:val="12"/>
          <w:szCs w:val="12"/>
        </w:rPr>
        <w:fldChar w:fldCharType="end"/>
      </w:r>
    </w:p>
    <w:p w14:paraId="5AA06AF5">
      <w:pPr>
        <w:pStyle w:val="21"/>
        <w:tabs>
          <w:tab w:val="left" w:pos="2880"/>
        </w:tabs>
        <w:spacing w:before="148"/>
        <w:rPr>
          <w:color w:val="auto"/>
        </w:rPr>
      </w:pPr>
      <w:r>
        <w:rPr>
          <w:color w:val="auto"/>
          <w:u w:val="single"/>
        </w:rPr>
        <w:tab/>
      </w:r>
    </w:p>
    <w:p w14:paraId="3B9155B5">
      <w:pPr>
        <w:spacing w:before="226" w:line="391" w:lineRule="auto"/>
        <w:ind w:left="9" w:right="2" w:firstLine="398"/>
        <w:rPr>
          <w:rFonts w:ascii="宋体" w:hAnsi="宋体" w:cs="宋体"/>
          <w:color w:val="auto"/>
          <w:sz w:val="19"/>
          <w:szCs w:val="19"/>
        </w:rPr>
      </w:pPr>
      <w:r>
        <w:rPr>
          <w:rFonts w:ascii="宋体" w:hAnsi="宋体" w:cs="宋体"/>
          <w:color w:val="auto"/>
          <w:spacing w:val="14"/>
          <w:sz w:val="19"/>
          <w:szCs w:val="19"/>
        </w:rPr>
        <w:t>① 发包人对承包人项目经理和项目总工的驻场要求，包括但不限于每月在养护作</w:t>
      </w:r>
      <w:r>
        <w:rPr>
          <w:rFonts w:ascii="宋体" w:hAnsi="宋体" w:cs="宋体"/>
          <w:color w:val="auto"/>
          <w:spacing w:val="13"/>
          <w:sz w:val="19"/>
          <w:szCs w:val="19"/>
        </w:rPr>
        <w:t>业场地的天</w:t>
      </w:r>
      <w:r>
        <w:rPr>
          <w:rFonts w:ascii="宋体" w:hAnsi="宋体" w:cs="宋体"/>
          <w:color w:val="auto"/>
          <w:spacing w:val="9"/>
          <w:sz w:val="19"/>
          <w:szCs w:val="19"/>
        </w:rPr>
        <w:t>数、短期内离开养护作业场地的安排以及能否在其他项目上任职等要求。</w:t>
      </w:r>
    </w:p>
    <w:p w14:paraId="57D198F9">
      <w:pPr>
        <w:spacing w:before="271" w:line="219" w:lineRule="auto"/>
        <w:ind w:left="486"/>
        <w:outlineLvl w:val="4"/>
        <w:rPr>
          <w:rFonts w:ascii="宋体" w:hAnsi="宋体" w:cs="宋体"/>
          <w:color w:val="auto"/>
          <w:sz w:val="24"/>
        </w:rPr>
      </w:pPr>
      <w:bookmarkStart w:id="220" w:name="bookmark251"/>
      <w:bookmarkEnd w:id="220"/>
      <w:r>
        <w:rPr>
          <w:rFonts w:eastAsia="Times New Roman"/>
          <w:b/>
          <w:bCs/>
          <w:color w:val="auto"/>
          <w:spacing w:val="-2"/>
          <w:sz w:val="24"/>
        </w:rPr>
        <w:t xml:space="preserve">4.6  </w:t>
      </w:r>
      <w:r>
        <w:rPr>
          <w:rFonts w:ascii="宋体" w:hAnsi="宋体" w:cs="宋体"/>
          <w:b/>
          <w:bCs/>
          <w:color w:val="auto"/>
          <w:spacing w:val="-2"/>
          <w:sz w:val="24"/>
        </w:rPr>
        <w:t>承包人人员的管理</w:t>
      </w:r>
    </w:p>
    <w:p w14:paraId="2969B3FD">
      <w:pPr>
        <w:tabs>
          <w:tab w:val="left" w:pos="1080"/>
        </w:tabs>
        <w:spacing w:line="360" w:lineRule="auto"/>
        <w:ind w:firstLine="480"/>
        <w:rPr>
          <w:rFonts w:ascii="宋体" w:hAnsi="宋体" w:cs="宋体"/>
          <w:color w:val="auto"/>
          <w:sz w:val="24"/>
          <w:u w:val="single"/>
        </w:rPr>
      </w:pPr>
      <w:r>
        <w:rPr>
          <w:rFonts w:eastAsia="Times New Roman"/>
          <w:color w:val="auto"/>
          <w:spacing w:val="4"/>
          <w:sz w:val="24"/>
        </w:rPr>
        <w:t xml:space="preserve">4.6.3  </w:t>
      </w:r>
      <w:r>
        <w:rPr>
          <w:rFonts w:ascii="宋体" w:hAnsi="宋体" w:cs="宋体"/>
          <w:color w:val="auto"/>
          <w:spacing w:val="4"/>
          <w:sz w:val="24"/>
        </w:rPr>
        <w:t>承包人安排在养护作业场地的主要管理人员和技术骨干等人员</w:t>
      </w:r>
      <w:r>
        <w:rPr>
          <w:rFonts w:ascii="宋体" w:hAnsi="宋体" w:cs="宋体"/>
          <w:color w:val="auto"/>
          <w:spacing w:val="3"/>
          <w:sz w:val="24"/>
        </w:rPr>
        <w:t>的管理要</w:t>
      </w:r>
      <w:r>
        <w:rPr>
          <w:rFonts w:ascii="宋体" w:hAnsi="宋体" w:cs="宋体"/>
          <w:color w:val="auto"/>
          <w:spacing w:val="-4"/>
          <w:sz w:val="24"/>
        </w:rPr>
        <w:t>求：</w:t>
      </w:r>
      <w:r>
        <w:rPr>
          <w:rFonts w:hint="eastAsia" w:ascii="宋体" w:hAnsi="宋体" w:cs="宋体"/>
          <w:color w:val="auto"/>
          <w:kern w:val="0"/>
          <w:sz w:val="24"/>
          <w:u w:val="single"/>
          <w:lang w:val="zh-CN"/>
        </w:rPr>
        <w:t>项目经理、总工每月驻工地现场时间不应少于22天，项目经理、总工及主要管理人员，技术骨干离开工地必须向</w:t>
      </w:r>
      <w:r>
        <w:rPr>
          <w:rFonts w:hint="eastAsia" w:ascii="宋体" w:hAnsi="宋体" w:cs="宋体"/>
          <w:color w:val="auto"/>
          <w:kern w:val="0"/>
          <w:sz w:val="24"/>
          <w:u w:val="single"/>
        </w:rPr>
        <w:t>咨询人（监理人）</w:t>
      </w:r>
      <w:r>
        <w:rPr>
          <w:rFonts w:hint="eastAsia" w:ascii="宋体" w:hAnsi="宋体" w:cs="宋体"/>
          <w:color w:val="auto"/>
          <w:kern w:val="0"/>
          <w:sz w:val="24"/>
          <w:u w:val="single"/>
          <w:lang w:val="zh-CN"/>
        </w:rPr>
        <w:t>书面请假，并经项目建设管理机构相关负责人、</w:t>
      </w:r>
      <w:r>
        <w:rPr>
          <w:rFonts w:hint="eastAsia" w:ascii="宋体" w:hAnsi="宋体" w:cs="宋体"/>
          <w:color w:val="auto"/>
          <w:kern w:val="0"/>
          <w:sz w:val="24"/>
          <w:u w:val="single"/>
        </w:rPr>
        <w:t>咨询总负责人</w:t>
      </w:r>
      <w:r>
        <w:rPr>
          <w:rFonts w:hint="eastAsia" w:ascii="宋体" w:hAnsi="宋体" w:cs="宋体"/>
          <w:color w:val="auto"/>
          <w:kern w:val="0"/>
          <w:sz w:val="24"/>
          <w:u w:val="single"/>
          <w:lang w:val="zh-CN"/>
        </w:rPr>
        <w:t>书面同意方能离开，否则视为违约并按22.1款执行</w:t>
      </w:r>
      <w:r>
        <w:rPr>
          <w:rFonts w:ascii="宋体" w:hAnsi="宋体" w:cs="宋体"/>
          <w:color w:val="auto"/>
          <w:spacing w:val="-4"/>
          <w:sz w:val="24"/>
          <w:u w:val="single"/>
        </w:rPr>
        <w:t>。</w:t>
      </w:r>
    </w:p>
    <w:p w14:paraId="7492A283">
      <w:pPr>
        <w:spacing w:line="219" w:lineRule="auto"/>
        <w:ind w:left="486"/>
        <w:outlineLvl w:val="4"/>
        <w:rPr>
          <w:rFonts w:ascii="宋体" w:hAnsi="宋体" w:cs="宋体"/>
          <w:color w:val="auto"/>
          <w:sz w:val="24"/>
        </w:rPr>
      </w:pPr>
      <w:r>
        <w:rPr>
          <w:rFonts w:eastAsia="Times New Roman"/>
          <w:b/>
          <w:bCs/>
          <w:color w:val="auto"/>
          <w:spacing w:val="-2"/>
          <w:sz w:val="24"/>
        </w:rPr>
        <w:t xml:space="preserve">4.12  </w:t>
      </w:r>
      <w:r>
        <w:rPr>
          <w:rFonts w:ascii="宋体" w:hAnsi="宋体" w:cs="宋体"/>
          <w:b/>
          <w:bCs/>
          <w:color w:val="auto"/>
          <w:spacing w:val="-2"/>
          <w:sz w:val="24"/>
        </w:rPr>
        <w:t>承包人现场查勘</w:t>
      </w:r>
    </w:p>
    <w:p w14:paraId="74A3057B">
      <w:pPr>
        <w:spacing w:before="106" w:line="233" w:lineRule="auto"/>
        <w:ind w:left="483"/>
        <w:rPr>
          <w:rFonts w:ascii="宋体" w:hAnsi="宋体" w:cs="宋体"/>
          <w:color w:val="auto"/>
          <w:sz w:val="24"/>
        </w:rPr>
      </w:pPr>
      <w:r>
        <w:rPr>
          <w:rFonts w:eastAsia="Times New Roman"/>
          <w:color w:val="auto"/>
          <w:sz w:val="24"/>
        </w:rPr>
        <w:t xml:space="preserve">4.12.2  </w:t>
      </w:r>
      <w:r>
        <w:rPr>
          <w:rFonts w:ascii="宋体" w:hAnsi="宋体" w:cs="宋体"/>
          <w:color w:val="auto"/>
          <w:sz w:val="24"/>
        </w:rPr>
        <w:t>发包人向承包人提供养护项目的相关图纸和资料包括</w:t>
      </w:r>
      <w:r>
        <w:rPr>
          <w:color w:val="auto"/>
        </w:rPr>
        <w:fldChar w:fldCharType="begin"/>
      </w:r>
      <w:r>
        <w:rPr>
          <w:color w:val="auto"/>
        </w:rPr>
        <w:instrText xml:space="preserve"> HYPERLINK \l "bookmark252" </w:instrText>
      </w:r>
      <w:r>
        <w:rPr>
          <w:color w:val="auto"/>
        </w:rPr>
        <w:fldChar w:fldCharType="separate"/>
      </w:r>
      <w:r>
        <w:rPr>
          <w:rFonts w:ascii="宋体" w:hAnsi="宋体" w:cs="宋体"/>
          <w:color w:val="auto"/>
          <w:position w:val="12"/>
          <w:sz w:val="12"/>
          <w:szCs w:val="12"/>
        </w:rPr>
        <w:t>①</w:t>
      </w:r>
      <w:r>
        <w:rPr>
          <w:rFonts w:ascii="宋体" w:hAnsi="宋体" w:cs="宋体"/>
          <w:color w:val="auto"/>
          <w:position w:val="12"/>
          <w:sz w:val="12"/>
          <w:szCs w:val="12"/>
        </w:rPr>
        <w:fldChar w:fldCharType="end"/>
      </w:r>
      <w:r>
        <w:rPr>
          <w:rFonts w:ascii="宋体" w:hAnsi="宋体" w:cs="宋体"/>
          <w:color w:val="auto"/>
          <w:sz w:val="24"/>
        </w:rPr>
        <w:t>：</w:t>
      </w:r>
      <w:r>
        <w:rPr>
          <w:rFonts w:hint="eastAsia" w:ascii="宋体" w:hAnsi="宋体" w:cs="宋体"/>
          <w:color w:val="auto"/>
          <w:sz w:val="24"/>
          <w:u w:val="single"/>
        </w:rPr>
        <w:t>全套施工图纸</w:t>
      </w:r>
      <w:r>
        <w:rPr>
          <w:rFonts w:ascii="宋体" w:hAnsi="宋体" w:cs="宋体"/>
          <w:color w:val="auto"/>
          <w:spacing w:val="-1"/>
          <w:sz w:val="24"/>
        </w:rPr>
        <w:t>。</w:t>
      </w:r>
    </w:p>
    <w:p w14:paraId="702EAF06">
      <w:pPr>
        <w:spacing w:before="105" w:line="219" w:lineRule="auto"/>
        <w:ind w:left="486"/>
        <w:outlineLvl w:val="4"/>
        <w:rPr>
          <w:rFonts w:ascii="宋体" w:hAnsi="宋体" w:cs="宋体"/>
          <w:color w:val="auto"/>
          <w:sz w:val="24"/>
        </w:rPr>
      </w:pPr>
      <w:r>
        <w:rPr>
          <w:rFonts w:eastAsia="Times New Roman"/>
          <w:b/>
          <w:bCs/>
          <w:color w:val="auto"/>
          <w:spacing w:val="-2"/>
          <w:sz w:val="24"/>
        </w:rPr>
        <w:t xml:space="preserve">4.13  </w:t>
      </w:r>
      <w:r>
        <w:rPr>
          <w:rFonts w:ascii="宋体" w:hAnsi="宋体" w:cs="宋体"/>
          <w:b/>
          <w:bCs/>
          <w:color w:val="auto"/>
          <w:spacing w:val="-2"/>
          <w:sz w:val="24"/>
        </w:rPr>
        <w:t>不利物质条件</w:t>
      </w:r>
    </w:p>
    <w:p w14:paraId="76820211">
      <w:pPr>
        <w:spacing w:before="126" w:line="360" w:lineRule="auto"/>
        <w:ind w:left="483"/>
        <w:rPr>
          <w:color w:val="auto"/>
          <w:u w:val="single"/>
        </w:rPr>
      </w:pPr>
      <w:r>
        <w:rPr>
          <w:rFonts w:eastAsia="Times New Roman"/>
          <w:color w:val="auto"/>
          <w:sz w:val="24"/>
        </w:rPr>
        <w:t xml:space="preserve">4.13.1 </w:t>
      </w:r>
      <w:r>
        <w:rPr>
          <w:rFonts w:ascii="宋体" w:hAnsi="宋体" w:cs="宋体"/>
          <w:color w:val="auto"/>
          <w:sz w:val="24"/>
        </w:rPr>
        <w:t>不利物质条件特殊约定：</w:t>
      </w:r>
      <w:r>
        <w:rPr>
          <w:rFonts w:hint="eastAsia" w:ascii="宋体" w:hAnsi="宋体" w:cs="宋体"/>
          <w:color w:val="auto"/>
          <w:sz w:val="24"/>
          <w:u w:val="single"/>
        </w:rPr>
        <w:t>本项目不利物质条件指养护作业中遇到的地下不明 管线、溶洞、暗浜、淤泥层、孤石群，以及经发包人确认的超出常规路况的地质病害（如深层路基沉陷、边坡滑塌隐患）；承包人发现不利物质条件后，应立即停止作业，在</w:t>
      </w:r>
      <w:r>
        <w:rPr>
          <w:rFonts w:ascii="宋体" w:hAnsi="宋体" w:cs="宋体"/>
          <w:color w:val="auto"/>
          <w:sz w:val="24"/>
          <w:u w:val="single"/>
        </w:rPr>
        <w:t>24</w:t>
      </w:r>
      <w:r>
        <w:rPr>
          <w:rFonts w:hint="eastAsia" w:ascii="宋体" w:hAnsi="宋体" w:cs="宋体"/>
          <w:color w:val="auto"/>
          <w:sz w:val="24"/>
          <w:u w:val="single"/>
        </w:rPr>
        <w:t>小时内书面通知发包人及咨询人，并提交现场勘查记录、影像资料及处置方案建议，经发包人书面批复后，方可继续作业，因不利物质条件产生的额外费用和工期延误，由承包人承担。</w:t>
      </w:r>
    </w:p>
    <w:p w14:paraId="7DFBD0C7">
      <w:pPr>
        <w:spacing w:before="78" w:line="219" w:lineRule="auto"/>
        <w:ind w:left="488"/>
        <w:outlineLvl w:val="3"/>
        <w:rPr>
          <w:rFonts w:ascii="宋体" w:hAnsi="宋体" w:cs="宋体"/>
          <w:color w:val="auto"/>
          <w:sz w:val="24"/>
        </w:rPr>
      </w:pPr>
      <w:bookmarkStart w:id="221" w:name="bookmark83"/>
      <w:bookmarkEnd w:id="221"/>
      <w:bookmarkStart w:id="222" w:name="bookmark84"/>
      <w:bookmarkEnd w:id="222"/>
      <w:r>
        <w:rPr>
          <w:rFonts w:eastAsia="Times New Roman"/>
          <w:b/>
          <w:bCs/>
          <w:color w:val="auto"/>
          <w:spacing w:val="-2"/>
          <w:sz w:val="24"/>
        </w:rPr>
        <w:t xml:space="preserve">5.  </w:t>
      </w:r>
      <w:r>
        <w:rPr>
          <w:rFonts w:ascii="宋体" w:hAnsi="宋体" w:cs="宋体"/>
          <w:b/>
          <w:bCs/>
          <w:color w:val="auto"/>
          <w:spacing w:val="-2"/>
          <w:sz w:val="24"/>
        </w:rPr>
        <w:t>材料和工程设备</w:t>
      </w:r>
    </w:p>
    <w:p w14:paraId="7B336F8F">
      <w:pPr>
        <w:spacing w:before="116" w:line="219" w:lineRule="auto"/>
        <w:ind w:left="488"/>
        <w:outlineLvl w:val="4"/>
        <w:rPr>
          <w:rFonts w:ascii="宋体" w:hAnsi="宋体" w:cs="宋体"/>
          <w:color w:val="auto"/>
          <w:sz w:val="24"/>
        </w:rPr>
      </w:pPr>
      <w:r>
        <w:rPr>
          <w:rFonts w:eastAsia="Times New Roman"/>
          <w:b/>
          <w:bCs/>
          <w:color w:val="auto"/>
          <w:spacing w:val="-2"/>
          <w:sz w:val="24"/>
        </w:rPr>
        <w:t xml:space="preserve">5.1  </w:t>
      </w:r>
      <w:r>
        <w:rPr>
          <w:rFonts w:ascii="宋体" w:hAnsi="宋体" w:cs="宋体"/>
          <w:b/>
          <w:bCs/>
          <w:color w:val="auto"/>
          <w:spacing w:val="-2"/>
          <w:sz w:val="24"/>
        </w:rPr>
        <w:t>承包人提供的材料和工程设备</w:t>
      </w:r>
    </w:p>
    <w:p w14:paraId="4A92070C">
      <w:pPr>
        <w:tabs>
          <w:tab w:val="left" w:pos="0"/>
        </w:tabs>
        <w:spacing w:before="126" w:line="360" w:lineRule="auto"/>
        <w:ind w:firstLine="418" w:firstLineChars="176"/>
        <w:rPr>
          <w:color w:val="auto"/>
        </w:rPr>
      </w:pPr>
      <w:r>
        <w:rPr>
          <w:rFonts w:eastAsia="Times New Roman"/>
          <w:color w:val="auto"/>
          <w:spacing w:val="-1"/>
          <w:sz w:val="24"/>
        </w:rPr>
        <w:t xml:space="preserve">5.1.2 </w:t>
      </w:r>
      <w:r>
        <w:rPr>
          <w:rFonts w:ascii="宋体" w:hAnsi="宋体" w:cs="宋体"/>
          <w:color w:val="auto"/>
          <w:spacing w:val="-1"/>
          <w:sz w:val="24"/>
        </w:rPr>
        <w:t>本项约定为：</w:t>
      </w:r>
      <w:r>
        <w:rPr>
          <w:rFonts w:hint="eastAsia" w:ascii="宋体" w:hAnsi="宋体" w:cs="宋体"/>
          <w:color w:val="auto"/>
          <w:spacing w:val="-1"/>
          <w:sz w:val="24"/>
          <w:u w:val="single"/>
        </w:rPr>
        <w:t>承包人</w:t>
      </w:r>
      <w:r>
        <w:rPr>
          <w:rFonts w:hint="eastAsia" w:ascii="宋体" w:hAnsi="宋体" w:cs="宋体"/>
          <w:color w:val="auto"/>
          <w:spacing w:val="4"/>
          <w:sz w:val="24"/>
          <w:u w:val="single"/>
        </w:rPr>
        <w:t>将各项材</w:t>
      </w:r>
      <w:r>
        <w:rPr>
          <w:rFonts w:hint="eastAsia" w:ascii="宋体" w:hAnsi="宋体" w:cs="宋体"/>
          <w:color w:val="auto"/>
          <w:spacing w:val="3"/>
          <w:sz w:val="24"/>
          <w:u w:val="single"/>
        </w:rPr>
        <w:t>料和工程设备的供货人及品</w:t>
      </w:r>
      <w:r>
        <w:rPr>
          <w:rFonts w:hint="eastAsia" w:ascii="宋体" w:hAnsi="宋体" w:cs="宋体"/>
          <w:color w:val="auto"/>
          <w:spacing w:val="1"/>
          <w:sz w:val="24"/>
          <w:u w:val="single"/>
        </w:rPr>
        <w:t>种、规格、数量和供货时间等报送</w:t>
      </w:r>
      <w:r>
        <w:rPr>
          <w:rFonts w:hint="eastAsia" w:ascii="宋体" w:hAnsi="宋体" w:cs="宋体"/>
          <w:color w:val="auto"/>
          <w:spacing w:val="-1"/>
          <w:sz w:val="24"/>
          <w:u w:val="single"/>
        </w:rPr>
        <w:t>咨询人（监理人）</w:t>
      </w:r>
      <w:r>
        <w:rPr>
          <w:rFonts w:hint="eastAsia" w:ascii="宋体" w:hAnsi="宋体" w:cs="宋体"/>
          <w:color w:val="auto"/>
          <w:spacing w:val="1"/>
          <w:sz w:val="24"/>
          <w:u w:val="single"/>
        </w:rPr>
        <w:t>审批。承包人应</w:t>
      </w:r>
      <w:r>
        <w:rPr>
          <w:rFonts w:hint="eastAsia" w:ascii="宋体" w:hAnsi="宋体" w:cs="宋体"/>
          <w:color w:val="auto"/>
          <w:sz w:val="24"/>
          <w:u w:val="single"/>
        </w:rPr>
        <w:t>向</w:t>
      </w:r>
      <w:r>
        <w:rPr>
          <w:rFonts w:hint="eastAsia" w:ascii="宋体" w:hAnsi="宋体" w:cs="宋体"/>
          <w:color w:val="auto"/>
          <w:spacing w:val="-1"/>
          <w:sz w:val="24"/>
          <w:u w:val="single"/>
        </w:rPr>
        <w:t>咨询人（监理人）</w:t>
      </w:r>
      <w:r>
        <w:rPr>
          <w:rFonts w:hint="eastAsia" w:ascii="宋体" w:hAnsi="宋体" w:cs="宋体"/>
          <w:color w:val="auto"/>
          <w:sz w:val="24"/>
          <w:u w:val="single"/>
        </w:rPr>
        <w:t>提交其负责提供</w:t>
      </w:r>
      <w:r>
        <w:rPr>
          <w:rFonts w:hint="eastAsia" w:ascii="宋体" w:hAnsi="宋体" w:cs="宋体"/>
          <w:color w:val="auto"/>
          <w:spacing w:val="-1"/>
          <w:sz w:val="24"/>
          <w:u w:val="single"/>
        </w:rPr>
        <w:t>的材料和工程设备的质量证明文件，并满足合同约定的质量标准</w:t>
      </w:r>
      <w:r>
        <w:rPr>
          <w:rFonts w:hint="eastAsia" w:ascii="宋体" w:hAnsi="宋体" w:cs="宋体"/>
          <w:color w:val="auto"/>
          <w:spacing w:val="-1"/>
          <w:sz w:val="24"/>
        </w:rPr>
        <w:t>。</w:t>
      </w:r>
    </w:p>
    <w:p w14:paraId="6074F65F">
      <w:pPr>
        <w:spacing w:before="78" w:line="219" w:lineRule="auto"/>
        <w:ind w:left="488"/>
        <w:outlineLvl w:val="3"/>
        <w:rPr>
          <w:rFonts w:ascii="宋体" w:hAnsi="宋体" w:cs="宋体"/>
          <w:color w:val="auto"/>
          <w:sz w:val="24"/>
        </w:rPr>
      </w:pPr>
      <w:bookmarkStart w:id="223" w:name="bookmark85"/>
      <w:bookmarkEnd w:id="223"/>
      <w:bookmarkStart w:id="224" w:name="bookmark86"/>
      <w:bookmarkEnd w:id="224"/>
      <w:r>
        <w:rPr>
          <w:rFonts w:eastAsia="Times New Roman"/>
          <w:b/>
          <w:bCs/>
          <w:color w:val="auto"/>
          <w:spacing w:val="-3"/>
          <w:sz w:val="24"/>
        </w:rPr>
        <w:t>7.</w:t>
      </w:r>
      <w:r>
        <w:rPr>
          <w:rFonts w:ascii="宋体" w:hAnsi="宋体" w:cs="宋体"/>
          <w:b/>
          <w:bCs/>
          <w:color w:val="auto"/>
          <w:spacing w:val="-3"/>
          <w:sz w:val="24"/>
        </w:rPr>
        <w:t>交通运输</w:t>
      </w:r>
    </w:p>
    <w:p w14:paraId="042DAC90">
      <w:pPr>
        <w:spacing w:before="116" w:line="219" w:lineRule="auto"/>
        <w:ind w:left="488"/>
        <w:outlineLvl w:val="4"/>
        <w:rPr>
          <w:rFonts w:ascii="宋体" w:hAnsi="宋体" w:cs="宋体"/>
          <w:color w:val="auto"/>
          <w:sz w:val="24"/>
        </w:rPr>
      </w:pPr>
      <w:r>
        <w:rPr>
          <w:rFonts w:eastAsia="Times New Roman"/>
          <w:b/>
          <w:bCs/>
          <w:color w:val="auto"/>
          <w:spacing w:val="-2"/>
          <w:sz w:val="24"/>
        </w:rPr>
        <w:t xml:space="preserve">7.2  </w:t>
      </w:r>
      <w:r>
        <w:rPr>
          <w:rFonts w:ascii="宋体" w:hAnsi="宋体" w:cs="宋体"/>
          <w:b/>
          <w:bCs/>
          <w:color w:val="auto"/>
          <w:spacing w:val="-2"/>
          <w:sz w:val="24"/>
        </w:rPr>
        <w:t>养护路段内交通</w:t>
      </w:r>
    </w:p>
    <w:p w14:paraId="4C3C21D5">
      <w:pPr>
        <w:spacing w:before="116" w:line="360" w:lineRule="auto"/>
        <w:ind w:firstLine="421" w:firstLineChars="177"/>
        <w:jc w:val="left"/>
        <w:outlineLvl w:val="4"/>
        <w:rPr>
          <w:rFonts w:ascii="宋体" w:hAnsi="宋体" w:cs="宋体"/>
          <w:color w:val="auto"/>
          <w:spacing w:val="-1"/>
          <w:sz w:val="24"/>
          <w:u w:val="single"/>
        </w:rPr>
      </w:pPr>
      <w:r>
        <w:rPr>
          <w:rFonts w:ascii="宋体" w:hAnsi="宋体" w:cs="宋体"/>
          <w:color w:val="auto"/>
          <w:spacing w:val="-1"/>
          <w:sz w:val="24"/>
        </w:rPr>
        <w:t>承包人使用养护路段产生的通行费的特殊约定：</w:t>
      </w:r>
      <w:r>
        <w:rPr>
          <w:rFonts w:hint="eastAsia" w:ascii="宋体" w:hAnsi="宋体" w:cs="宋体"/>
          <w:color w:val="auto"/>
          <w:spacing w:val="-1"/>
          <w:sz w:val="24"/>
          <w:u w:val="single"/>
        </w:rPr>
        <w:t>承包人应按交通管理部门要求做好养护作业期间的交通导改，设置规范的警示标志、围挡及临时通行设施，确保车辆、行人通行安全，因承包人交通导改不当产生的交通罚款、赔偿责任，由承包人自行承担。</w:t>
      </w:r>
    </w:p>
    <w:p w14:paraId="38CC4233">
      <w:pPr>
        <w:widowControl/>
        <w:ind w:firstLine="482" w:firstLineChars="200"/>
        <w:jc w:val="left"/>
        <w:rPr>
          <w:color w:val="auto"/>
        </w:rPr>
      </w:pPr>
      <w:bookmarkStart w:id="225" w:name="bookmark87"/>
      <w:bookmarkEnd w:id="225"/>
      <w:bookmarkStart w:id="226" w:name="bookmark88"/>
      <w:bookmarkEnd w:id="226"/>
      <w:r>
        <w:rPr>
          <w:b/>
          <w:bCs/>
          <w:color w:val="auto"/>
          <w:kern w:val="0"/>
          <w:sz w:val="24"/>
        </w:rPr>
        <w:t>7.3</w:t>
      </w:r>
      <w:r>
        <w:rPr>
          <w:rFonts w:hint="eastAsia" w:ascii="宋体" w:hAnsi="宋体" w:cs="宋体"/>
          <w:b/>
          <w:bCs/>
          <w:color w:val="auto"/>
          <w:kern w:val="0"/>
          <w:sz w:val="24"/>
        </w:rPr>
        <w:t>养护路段外交通</w:t>
      </w:r>
    </w:p>
    <w:p w14:paraId="5BB0F8D2">
      <w:pPr>
        <w:spacing w:before="79" w:line="360" w:lineRule="auto"/>
        <w:ind w:firstLine="472" w:firstLineChars="200"/>
        <w:outlineLvl w:val="3"/>
        <w:rPr>
          <w:rFonts w:eastAsia="Times New Roman"/>
          <w:color w:val="auto"/>
          <w:spacing w:val="-2"/>
          <w:sz w:val="24"/>
          <w:u w:val="single"/>
        </w:rPr>
      </w:pPr>
      <w:r>
        <w:rPr>
          <w:rFonts w:hint="eastAsia" w:eastAsia="Times New Roman"/>
          <w:color w:val="auto"/>
          <w:spacing w:val="-2"/>
          <w:sz w:val="24"/>
          <w:u w:val="single"/>
        </w:rPr>
        <w:t>（增加）</w:t>
      </w:r>
      <w:r>
        <w:rPr>
          <w:rFonts w:eastAsia="Times New Roman"/>
          <w:color w:val="auto"/>
          <w:spacing w:val="-2"/>
          <w:sz w:val="24"/>
          <w:u w:val="single"/>
        </w:rPr>
        <w:t>7.3.3</w:t>
      </w:r>
      <w:r>
        <w:rPr>
          <w:rFonts w:hint="eastAsia" w:eastAsia="Times New Roman"/>
          <w:color w:val="auto"/>
          <w:spacing w:val="-2"/>
          <w:sz w:val="24"/>
          <w:u w:val="single"/>
        </w:rPr>
        <w:t xml:space="preserve">为保证道路交通安全及运输畅通，承包人应采取以下措施： </w:t>
      </w:r>
    </w:p>
    <w:p w14:paraId="7D4FFBED">
      <w:pPr>
        <w:spacing w:before="79" w:line="360" w:lineRule="auto"/>
        <w:ind w:firstLine="472" w:firstLineChars="200"/>
        <w:outlineLvl w:val="3"/>
        <w:rPr>
          <w:rFonts w:eastAsia="Times New Roman"/>
          <w:color w:val="auto"/>
          <w:spacing w:val="-2"/>
          <w:sz w:val="24"/>
          <w:u w:val="single"/>
        </w:rPr>
      </w:pPr>
      <w:r>
        <w:rPr>
          <w:rFonts w:hint="eastAsia" w:eastAsia="Times New Roman"/>
          <w:color w:val="auto"/>
          <w:spacing w:val="-2"/>
          <w:sz w:val="24"/>
          <w:u w:val="single"/>
        </w:rPr>
        <w:t>当施工期间，因施工原因造成原有道路暂时堵塞时，承包人必须与交通和公安部门协商，采取足够的措施引导、疏通交通。但不管何种原因，因其交通堵塞时间均不能超过</w:t>
      </w:r>
      <w:r>
        <w:rPr>
          <w:rFonts w:eastAsia="Times New Roman"/>
          <w:color w:val="auto"/>
          <w:spacing w:val="-2"/>
          <w:sz w:val="24"/>
          <w:u w:val="single"/>
        </w:rPr>
        <w:t xml:space="preserve">30 </w:t>
      </w:r>
    </w:p>
    <w:p w14:paraId="3BA3A4CB">
      <w:pPr>
        <w:spacing w:before="79" w:line="360" w:lineRule="auto"/>
        <w:ind w:firstLine="472" w:firstLineChars="200"/>
        <w:outlineLvl w:val="3"/>
        <w:rPr>
          <w:rFonts w:eastAsia="Times New Roman"/>
          <w:color w:val="auto"/>
          <w:spacing w:val="-2"/>
          <w:sz w:val="24"/>
          <w:u w:val="single"/>
        </w:rPr>
      </w:pPr>
      <w:r>
        <w:rPr>
          <w:rFonts w:hint="eastAsia" w:eastAsia="Times New Roman"/>
          <w:color w:val="auto"/>
          <w:spacing w:val="-2"/>
          <w:sz w:val="24"/>
          <w:u w:val="single"/>
        </w:rPr>
        <w:t>分钟。若堵塞交通超过上述规定的时间，将视为承包人违约按</w:t>
      </w:r>
      <w:r>
        <w:rPr>
          <w:rFonts w:eastAsia="Times New Roman"/>
          <w:color w:val="auto"/>
          <w:spacing w:val="-2"/>
          <w:sz w:val="24"/>
          <w:u w:val="single"/>
        </w:rPr>
        <w:t>22.1</w:t>
      </w:r>
      <w:r>
        <w:rPr>
          <w:rFonts w:hint="eastAsia" w:eastAsia="Times New Roman"/>
          <w:color w:val="auto"/>
          <w:spacing w:val="-2"/>
          <w:sz w:val="24"/>
          <w:u w:val="single"/>
        </w:rPr>
        <w:t xml:space="preserve">款等相关条款处理，同时咨询人（监理人）可指令采取任何措施疏通，一切费用由承包人承担。 </w:t>
      </w:r>
    </w:p>
    <w:p w14:paraId="35F1EF47">
      <w:pPr>
        <w:spacing w:before="79" w:line="360" w:lineRule="auto"/>
        <w:ind w:firstLine="472" w:firstLineChars="200"/>
        <w:outlineLvl w:val="3"/>
        <w:rPr>
          <w:rFonts w:eastAsia="Times New Roman"/>
          <w:color w:val="auto"/>
          <w:spacing w:val="-2"/>
          <w:sz w:val="24"/>
          <w:u w:val="single"/>
        </w:rPr>
      </w:pPr>
      <w:r>
        <w:rPr>
          <w:rFonts w:eastAsia="Times New Roman"/>
          <w:color w:val="auto"/>
          <w:spacing w:val="-2"/>
          <w:sz w:val="24"/>
          <w:u w:val="single"/>
        </w:rPr>
        <w:t>7.3.4</w:t>
      </w:r>
      <w:r>
        <w:rPr>
          <w:rFonts w:hint="eastAsia" w:eastAsia="Times New Roman"/>
          <w:color w:val="auto"/>
          <w:spacing w:val="-2"/>
          <w:sz w:val="24"/>
          <w:u w:val="single"/>
        </w:rPr>
        <w:t xml:space="preserve">承包人应加强文明施工，保障道路通畅的管理 </w:t>
      </w:r>
    </w:p>
    <w:p w14:paraId="7C1D1708">
      <w:pPr>
        <w:spacing w:before="79" w:line="360" w:lineRule="auto"/>
        <w:ind w:firstLine="472" w:firstLineChars="200"/>
        <w:outlineLvl w:val="3"/>
        <w:rPr>
          <w:rFonts w:eastAsia="Times New Roman"/>
          <w:color w:val="auto"/>
          <w:spacing w:val="-2"/>
          <w:sz w:val="24"/>
          <w:u w:val="single"/>
        </w:rPr>
      </w:pPr>
      <w:r>
        <w:rPr>
          <w:rFonts w:hint="eastAsia" w:eastAsia="Times New Roman"/>
          <w:color w:val="auto"/>
          <w:spacing w:val="-2"/>
          <w:sz w:val="24"/>
          <w:u w:val="single"/>
        </w:rPr>
        <w:t>（</w:t>
      </w:r>
      <w:r>
        <w:rPr>
          <w:rFonts w:eastAsia="Times New Roman"/>
          <w:color w:val="auto"/>
          <w:spacing w:val="-2"/>
          <w:sz w:val="24"/>
          <w:u w:val="single"/>
        </w:rPr>
        <w:t>1</w:t>
      </w:r>
      <w:r>
        <w:rPr>
          <w:rFonts w:hint="eastAsia" w:eastAsia="Times New Roman"/>
          <w:color w:val="auto"/>
          <w:spacing w:val="-2"/>
          <w:sz w:val="24"/>
          <w:u w:val="single"/>
        </w:rPr>
        <w:t xml:space="preserve">）承包人在施工期内应按国家、交通主管部门与公路管理机构有关文明施工，保障畅通的规定组织施工，对出现的交通堵塞无条件地采取措施进行疏通。 </w:t>
      </w:r>
    </w:p>
    <w:p w14:paraId="1A4A6197">
      <w:pPr>
        <w:spacing w:before="79" w:line="360" w:lineRule="auto"/>
        <w:ind w:firstLine="472" w:firstLineChars="200"/>
        <w:outlineLvl w:val="3"/>
        <w:rPr>
          <w:rFonts w:eastAsia="Times New Roman"/>
          <w:color w:val="auto"/>
          <w:spacing w:val="-2"/>
          <w:sz w:val="24"/>
          <w:u w:val="single"/>
        </w:rPr>
      </w:pPr>
      <w:r>
        <w:rPr>
          <w:rFonts w:hint="eastAsia" w:eastAsia="Times New Roman"/>
          <w:color w:val="auto"/>
          <w:spacing w:val="-2"/>
          <w:sz w:val="24"/>
          <w:u w:val="single"/>
        </w:rPr>
        <w:t>（</w:t>
      </w:r>
      <w:r>
        <w:rPr>
          <w:rFonts w:eastAsia="Times New Roman"/>
          <w:color w:val="auto"/>
          <w:spacing w:val="-2"/>
          <w:sz w:val="24"/>
          <w:u w:val="single"/>
        </w:rPr>
        <w:t>2</w:t>
      </w:r>
      <w:r>
        <w:rPr>
          <w:rFonts w:hint="eastAsia" w:eastAsia="Times New Roman"/>
          <w:color w:val="auto"/>
          <w:spacing w:val="-2"/>
          <w:sz w:val="24"/>
          <w:u w:val="single"/>
        </w:rPr>
        <w:t>）对于精细化养护工程项目：不得在道路上堆放材料或占道施工影响交通和影响群众生活、生产的现象。</w:t>
      </w:r>
    </w:p>
    <w:p w14:paraId="0AD35095">
      <w:pPr>
        <w:spacing w:before="79" w:line="219" w:lineRule="auto"/>
        <w:ind w:firstLine="472" w:firstLineChars="200"/>
        <w:outlineLvl w:val="3"/>
        <w:rPr>
          <w:rFonts w:ascii="宋体" w:hAnsi="宋体" w:cs="宋体"/>
          <w:color w:val="auto"/>
          <w:sz w:val="24"/>
        </w:rPr>
      </w:pPr>
      <w:r>
        <w:rPr>
          <w:rFonts w:eastAsia="Times New Roman"/>
          <w:b/>
          <w:bCs/>
          <w:color w:val="auto"/>
          <w:spacing w:val="-2"/>
          <w:sz w:val="24"/>
        </w:rPr>
        <w:t>9.</w:t>
      </w:r>
      <w:r>
        <w:rPr>
          <w:rFonts w:ascii="宋体" w:hAnsi="宋体" w:cs="宋体"/>
          <w:b/>
          <w:bCs/>
          <w:color w:val="auto"/>
          <w:spacing w:val="-2"/>
          <w:sz w:val="24"/>
        </w:rPr>
        <w:t>养护作业安全、治安保卫和环境保护</w:t>
      </w:r>
    </w:p>
    <w:p w14:paraId="45BD48E4">
      <w:pPr>
        <w:spacing w:before="114" w:line="219" w:lineRule="auto"/>
        <w:ind w:left="487"/>
        <w:outlineLvl w:val="4"/>
        <w:rPr>
          <w:rFonts w:ascii="宋体" w:hAnsi="宋体" w:cs="宋体"/>
          <w:color w:val="auto"/>
          <w:sz w:val="24"/>
        </w:rPr>
      </w:pPr>
      <w:r>
        <w:rPr>
          <w:rFonts w:eastAsia="Times New Roman"/>
          <w:b/>
          <w:bCs/>
          <w:color w:val="auto"/>
          <w:spacing w:val="-2"/>
          <w:sz w:val="24"/>
        </w:rPr>
        <w:t xml:space="preserve">9.2  </w:t>
      </w:r>
      <w:r>
        <w:rPr>
          <w:rFonts w:ascii="宋体" w:hAnsi="宋体" w:cs="宋体"/>
          <w:b/>
          <w:bCs/>
          <w:color w:val="auto"/>
          <w:spacing w:val="-2"/>
          <w:sz w:val="24"/>
        </w:rPr>
        <w:t>承包人的养护安全责任</w:t>
      </w:r>
    </w:p>
    <w:p w14:paraId="4B50B27D">
      <w:pPr>
        <w:spacing w:before="126" w:line="310" w:lineRule="auto"/>
        <w:ind w:left="10" w:right="61" w:firstLine="479"/>
        <w:rPr>
          <w:rFonts w:eastAsia="Times New Roman"/>
          <w:color w:val="auto"/>
          <w:spacing w:val="2"/>
          <w:sz w:val="24"/>
        </w:rPr>
      </w:pPr>
      <w:r>
        <w:rPr>
          <w:rFonts w:eastAsia="Times New Roman"/>
          <w:color w:val="auto"/>
          <w:spacing w:val="2"/>
          <w:sz w:val="24"/>
        </w:rPr>
        <w:t>9.2.5</w:t>
      </w:r>
      <w:r>
        <w:rPr>
          <w:rFonts w:hint="eastAsia" w:eastAsia="Times New Roman"/>
          <w:color w:val="auto"/>
          <w:spacing w:val="2"/>
          <w:sz w:val="24"/>
        </w:rPr>
        <w:t>条款末增加：如项目法人或咨询人（监理人）在日常检查中发现承包人用于危险路段、有安全隐患路段施工安全防护的设施和用具（含交通标志牌、安全危险告知牌、安全隐患告知牌等）不齐全或缺乏，并且承包人没有按规定及时添置安放的情况，则项目法人及咨询总负责人应按照合同有关规定指令承包人纠正和整改，承包人拒不整改或整改不彻底的，项目法人有权进行直接购置施工安全防护设施和用具（含交通标志牌、安全危险告知牌、安全隐患告知牌等）并安排专人进行设置管理等安全管理工作，所发生的费用由承包人负责，并由项目法人在承包人合同价中计量扣除。</w:t>
      </w:r>
    </w:p>
    <w:p w14:paraId="17A5FF92">
      <w:pPr>
        <w:spacing w:before="126" w:line="310" w:lineRule="auto"/>
        <w:ind w:left="10" w:right="61" w:firstLine="479"/>
        <w:rPr>
          <w:color w:val="auto"/>
        </w:rPr>
      </w:pPr>
      <w:r>
        <w:rPr>
          <w:rFonts w:eastAsia="Times New Roman"/>
          <w:color w:val="auto"/>
          <w:spacing w:val="2"/>
          <w:sz w:val="24"/>
        </w:rPr>
        <w:t xml:space="preserve">9.2.8  </w:t>
      </w:r>
      <w:r>
        <w:rPr>
          <w:rFonts w:ascii="宋体" w:hAnsi="宋体" w:cs="宋体"/>
          <w:color w:val="auto"/>
          <w:spacing w:val="2"/>
          <w:sz w:val="24"/>
        </w:rPr>
        <w:t>承包人在养护作业场地配置专职安全生产管理人</w:t>
      </w:r>
      <w:r>
        <w:rPr>
          <w:rFonts w:ascii="宋体" w:hAnsi="宋体" w:cs="宋体"/>
          <w:color w:val="auto"/>
          <w:spacing w:val="1"/>
          <w:sz w:val="24"/>
        </w:rPr>
        <w:t>员的数量：</w:t>
      </w:r>
      <w:r>
        <w:rPr>
          <w:rFonts w:hint="eastAsia" w:ascii="宋体" w:hAnsi="宋体" w:cs="宋体"/>
          <w:color w:val="auto"/>
          <w:spacing w:val="1"/>
          <w:sz w:val="24"/>
          <w:u w:val="single"/>
        </w:rPr>
        <w:t>不少于1</w:t>
      </w:r>
      <w:r>
        <w:rPr>
          <w:rFonts w:ascii="宋体" w:hAnsi="宋体" w:cs="宋体"/>
          <w:color w:val="auto"/>
          <w:spacing w:val="1"/>
          <w:sz w:val="24"/>
        </w:rPr>
        <w:t>人；</w:t>
      </w:r>
      <w:r>
        <w:rPr>
          <w:rFonts w:ascii="宋体" w:hAnsi="宋体" w:cs="宋体"/>
          <w:color w:val="auto"/>
          <w:spacing w:val="-1"/>
          <w:sz w:val="24"/>
        </w:rPr>
        <w:t>专职安全生产管理人员应满足的条件：</w:t>
      </w:r>
      <w:r>
        <w:rPr>
          <w:rFonts w:hint="eastAsia" w:ascii="宋体" w:hAnsi="宋体" w:cs="宋体"/>
          <w:color w:val="auto"/>
          <w:sz w:val="24"/>
          <w:u w:val="single"/>
        </w:rPr>
        <w:t>具有省级（或以上）交通主管部门颁发的《安全生产考核合格证书》C证</w:t>
      </w:r>
      <w:r>
        <w:rPr>
          <w:rFonts w:ascii="宋体" w:hAnsi="宋体" w:cs="宋体"/>
          <w:color w:val="auto"/>
          <w:spacing w:val="-1"/>
          <w:sz w:val="24"/>
        </w:rPr>
        <w:t>。</w:t>
      </w:r>
    </w:p>
    <w:p w14:paraId="1D40CC76">
      <w:pPr>
        <w:spacing w:before="79" w:line="220" w:lineRule="auto"/>
        <w:ind w:left="495"/>
        <w:outlineLvl w:val="3"/>
        <w:rPr>
          <w:rFonts w:eastAsia="Times New Roman"/>
          <w:b/>
          <w:bCs/>
          <w:color w:val="auto"/>
          <w:spacing w:val="-3"/>
          <w:sz w:val="24"/>
        </w:rPr>
      </w:pPr>
      <w:bookmarkStart w:id="227" w:name="bookmark89"/>
      <w:bookmarkEnd w:id="227"/>
      <w:bookmarkStart w:id="228" w:name="bookmark90"/>
      <w:bookmarkEnd w:id="228"/>
      <w:r>
        <w:rPr>
          <w:rFonts w:hint="eastAsia" w:eastAsia="Times New Roman"/>
          <w:b/>
          <w:bCs/>
          <w:color w:val="auto"/>
          <w:spacing w:val="-3"/>
          <w:sz w:val="24"/>
        </w:rPr>
        <w:t xml:space="preserve">9.2.11（增加） </w:t>
      </w:r>
    </w:p>
    <w:p w14:paraId="4F604E66">
      <w:pPr>
        <w:spacing w:before="79" w:line="360" w:lineRule="auto"/>
        <w:ind w:left="495"/>
        <w:outlineLvl w:val="3"/>
        <w:rPr>
          <w:rFonts w:eastAsia="Times New Roman"/>
          <w:color w:val="auto"/>
          <w:spacing w:val="-3"/>
          <w:sz w:val="24"/>
        </w:rPr>
      </w:pPr>
      <w:r>
        <w:rPr>
          <w:rFonts w:hint="eastAsia" w:eastAsia="Times New Roman"/>
          <w:color w:val="auto"/>
          <w:spacing w:val="-3"/>
          <w:sz w:val="24"/>
        </w:rPr>
        <w:t xml:space="preserve">(1)在运营公路上进行施工，必须严格执行国家颁布的《公路法》、《安全生产法》、 </w:t>
      </w:r>
    </w:p>
    <w:p w14:paraId="32A26770">
      <w:pPr>
        <w:spacing w:before="79" w:line="360" w:lineRule="auto"/>
        <w:ind w:left="495"/>
        <w:outlineLvl w:val="3"/>
        <w:rPr>
          <w:rFonts w:eastAsia="Times New Roman"/>
          <w:color w:val="auto"/>
          <w:spacing w:val="-3"/>
          <w:sz w:val="24"/>
        </w:rPr>
      </w:pPr>
      <w:r>
        <w:rPr>
          <w:rFonts w:hint="eastAsia" w:eastAsia="Times New Roman"/>
          <w:color w:val="auto"/>
          <w:spacing w:val="-3"/>
          <w:sz w:val="24"/>
        </w:rPr>
        <w:t xml:space="preserve">《道路交通标志和标线 第3部分：道路交通标线》（GB 5768.3-2025）、《公路工程施工安全技术规程》（JTG F90-2015）、《公路养护安全作业规程》（JTG H30-2015）要求等国家及交通部门颁发的有关安全生产的法律法规、标准及制度，并按照有关规定设置施工标志、标牌、水马等安全设施)，施工过程中承包人必须派专人维护各施工标志牌正常使用。路上作业施工人员应统一着桔红色反光标志服，招标文件要求的主要施工管理人员在现场时应挂戴统一制作的上岗牌做标识，每个施工点的现场应摆放由业主规定统一格式的施工公示牌。投标人报价时要充分考虑上述设施所需费用，以及施工、生活用水用电的费用，所需费用由投标人考虑在有关报价中，业主不单独进行计量支付。施工标志牌的制作应符合国家有关标准 </w:t>
      </w:r>
    </w:p>
    <w:p w14:paraId="650C0D29">
      <w:pPr>
        <w:spacing w:before="79" w:line="360" w:lineRule="auto"/>
        <w:ind w:left="495"/>
        <w:outlineLvl w:val="3"/>
        <w:rPr>
          <w:rFonts w:eastAsia="Times New Roman"/>
          <w:color w:val="auto"/>
          <w:spacing w:val="-3"/>
          <w:sz w:val="24"/>
        </w:rPr>
      </w:pPr>
      <w:r>
        <w:rPr>
          <w:rFonts w:hint="eastAsia" w:eastAsia="Times New Roman"/>
          <w:color w:val="auto"/>
          <w:spacing w:val="-3"/>
          <w:sz w:val="24"/>
        </w:rPr>
        <w:t xml:space="preserve">的规定，标志牌版面的反光膜应不低于国标GB 5768.1-2025《道路交通标志和标线 第1部分：总则》的三级标准。 </w:t>
      </w:r>
    </w:p>
    <w:p w14:paraId="3C03484B">
      <w:pPr>
        <w:spacing w:before="79" w:line="360" w:lineRule="auto"/>
        <w:ind w:left="495"/>
        <w:outlineLvl w:val="3"/>
        <w:rPr>
          <w:rFonts w:eastAsia="Times New Roman"/>
          <w:color w:val="auto"/>
          <w:spacing w:val="-3"/>
          <w:sz w:val="24"/>
        </w:rPr>
      </w:pPr>
      <w:r>
        <w:rPr>
          <w:rFonts w:hint="eastAsia" w:eastAsia="Times New Roman"/>
          <w:color w:val="auto"/>
          <w:spacing w:val="-3"/>
          <w:sz w:val="24"/>
        </w:rPr>
        <w:t xml:space="preserve">(2)工程使用的材料不得堆放在公路上，工棚搭设应设置在公路行车看不到的位置，如确需搭棚看守机械设备的，应按业主规定的式样搭设；机械设备摆放不得有碍路容路貌和行车安全。 </w:t>
      </w:r>
    </w:p>
    <w:p w14:paraId="7D68292F">
      <w:pPr>
        <w:spacing w:before="79" w:line="360" w:lineRule="auto"/>
        <w:ind w:left="495"/>
        <w:outlineLvl w:val="3"/>
        <w:rPr>
          <w:rFonts w:eastAsia="Times New Roman"/>
          <w:color w:val="auto"/>
          <w:spacing w:val="-3"/>
          <w:sz w:val="24"/>
        </w:rPr>
      </w:pPr>
      <w:r>
        <w:rPr>
          <w:rFonts w:hint="eastAsia" w:eastAsia="Times New Roman"/>
          <w:color w:val="auto"/>
          <w:spacing w:val="-3"/>
          <w:sz w:val="24"/>
        </w:rPr>
        <w:t xml:space="preserve">(3)拆除的材料应及时按要求运送至指定位置，不得堆放在范围内，因此造成的损失由承包人承担。 </w:t>
      </w:r>
    </w:p>
    <w:p w14:paraId="0B39A06C">
      <w:pPr>
        <w:spacing w:before="79" w:line="360" w:lineRule="auto"/>
        <w:ind w:left="495"/>
        <w:outlineLvl w:val="3"/>
        <w:rPr>
          <w:rFonts w:eastAsia="Times New Roman"/>
          <w:color w:val="auto"/>
          <w:spacing w:val="-3"/>
          <w:sz w:val="24"/>
        </w:rPr>
      </w:pPr>
      <w:r>
        <w:rPr>
          <w:rFonts w:hint="eastAsia" w:eastAsia="Times New Roman"/>
          <w:color w:val="auto"/>
          <w:spacing w:val="-3"/>
          <w:sz w:val="24"/>
        </w:rPr>
        <w:t xml:space="preserve">(4)施工时，应设置相应防护措施确保公路行人及车流的安全畅通，由于未采用防护措施或防护措施不力而造成公路上行人、车流受影响的，由承包人承担其责任。 </w:t>
      </w:r>
    </w:p>
    <w:p w14:paraId="199BA802">
      <w:pPr>
        <w:spacing w:before="79" w:line="360" w:lineRule="auto"/>
        <w:ind w:left="495"/>
        <w:outlineLvl w:val="3"/>
        <w:rPr>
          <w:rFonts w:eastAsia="Times New Roman"/>
          <w:color w:val="auto"/>
          <w:spacing w:val="-3"/>
          <w:sz w:val="24"/>
        </w:rPr>
      </w:pPr>
      <w:r>
        <w:rPr>
          <w:rFonts w:hint="eastAsia" w:eastAsia="Times New Roman"/>
          <w:color w:val="auto"/>
          <w:spacing w:val="-3"/>
          <w:sz w:val="24"/>
        </w:rPr>
        <w:t xml:space="preserve">(5)承包人不得在公路路面上拌和浇筑材料。 </w:t>
      </w:r>
    </w:p>
    <w:p w14:paraId="675B04C2">
      <w:pPr>
        <w:spacing w:before="79" w:line="360" w:lineRule="auto"/>
        <w:ind w:left="495"/>
        <w:outlineLvl w:val="3"/>
        <w:rPr>
          <w:rFonts w:eastAsia="Times New Roman"/>
          <w:color w:val="auto"/>
          <w:spacing w:val="-3"/>
          <w:sz w:val="24"/>
        </w:rPr>
      </w:pPr>
      <w:r>
        <w:rPr>
          <w:rFonts w:hint="eastAsia" w:eastAsia="Times New Roman"/>
          <w:color w:val="auto"/>
          <w:spacing w:val="-3"/>
          <w:sz w:val="24"/>
        </w:rPr>
        <w:t>(6)承包人须将拟施工点报咨询人（监理人）审批后，方可进行施工。</w:t>
      </w:r>
    </w:p>
    <w:p w14:paraId="3ECD2C98">
      <w:pPr>
        <w:spacing w:before="79" w:line="220" w:lineRule="auto"/>
        <w:ind w:left="495"/>
        <w:outlineLvl w:val="3"/>
        <w:rPr>
          <w:rFonts w:ascii="宋体" w:hAnsi="宋体" w:cs="宋体"/>
          <w:color w:val="auto"/>
          <w:sz w:val="24"/>
        </w:rPr>
      </w:pPr>
      <w:r>
        <w:rPr>
          <w:rFonts w:eastAsia="Times New Roman"/>
          <w:b/>
          <w:bCs/>
          <w:color w:val="auto"/>
          <w:spacing w:val="-3"/>
          <w:sz w:val="24"/>
        </w:rPr>
        <w:t xml:space="preserve">10.  </w:t>
      </w:r>
      <w:r>
        <w:rPr>
          <w:rFonts w:ascii="宋体" w:hAnsi="宋体" w:cs="宋体"/>
          <w:b/>
          <w:bCs/>
          <w:color w:val="auto"/>
          <w:spacing w:val="-3"/>
          <w:sz w:val="24"/>
        </w:rPr>
        <w:t>进度计划</w:t>
      </w:r>
    </w:p>
    <w:p w14:paraId="7079A3AF">
      <w:pPr>
        <w:spacing w:before="114" w:line="220" w:lineRule="auto"/>
        <w:ind w:left="495"/>
        <w:outlineLvl w:val="4"/>
        <w:rPr>
          <w:rFonts w:ascii="宋体" w:hAnsi="宋体" w:cs="宋体"/>
          <w:color w:val="auto"/>
          <w:sz w:val="24"/>
        </w:rPr>
      </w:pPr>
      <w:r>
        <w:rPr>
          <w:rFonts w:eastAsia="Times New Roman"/>
          <w:b/>
          <w:bCs/>
          <w:color w:val="auto"/>
          <w:spacing w:val="-3"/>
          <w:sz w:val="24"/>
        </w:rPr>
        <w:t xml:space="preserve">10.1  </w:t>
      </w:r>
      <w:r>
        <w:rPr>
          <w:rFonts w:ascii="宋体" w:hAnsi="宋体" w:cs="宋体"/>
          <w:b/>
          <w:bCs/>
          <w:color w:val="auto"/>
          <w:spacing w:val="-3"/>
          <w:sz w:val="24"/>
        </w:rPr>
        <w:t>合同进度计划</w:t>
      </w:r>
    </w:p>
    <w:p w14:paraId="09D62B7B">
      <w:pPr>
        <w:spacing w:before="123" w:line="360" w:lineRule="auto"/>
        <w:ind w:firstLine="420" w:firstLineChars="175"/>
        <w:rPr>
          <w:rFonts w:ascii="宋体" w:hAnsi="宋体" w:cs="宋体"/>
          <w:color w:val="auto"/>
          <w:sz w:val="24"/>
        </w:rPr>
      </w:pPr>
      <w:r>
        <w:rPr>
          <w:rFonts w:ascii="宋体" w:hAnsi="宋体" w:cs="宋体"/>
          <w:color w:val="auto"/>
          <w:sz w:val="24"/>
        </w:rPr>
        <w:t>承包人向咨询人报送的养护作业方案内容：</w:t>
      </w:r>
      <w:r>
        <w:rPr>
          <w:rFonts w:hint="eastAsia" w:ascii="宋体" w:hAnsi="宋体" w:cs="宋体"/>
          <w:color w:val="auto"/>
          <w:sz w:val="24"/>
          <w:u w:val="single"/>
        </w:rPr>
        <w:t>承包人应在签订合同协议书后7天内，</w:t>
      </w:r>
      <w:r>
        <w:rPr>
          <w:rFonts w:hint="eastAsia" w:ascii="宋体" w:hAnsi="宋体" w:cs="宋体"/>
          <w:color w:val="auto"/>
          <w:kern w:val="0"/>
          <w:sz w:val="24"/>
          <w:u w:val="single"/>
          <w:lang w:val="zh-CN"/>
        </w:rPr>
        <w:t>向</w:t>
      </w:r>
      <w:r>
        <w:rPr>
          <w:rFonts w:hint="eastAsia" w:ascii="宋体" w:hAnsi="宋体" w:cs="宋体"/>
          <w:color w:val="auto"/>
          <w:kern w:val="0"/>
          <w:sz w:val="24"/>
          <w:u w:val="single"/>
        </w:rPr>
        <w:t>咨询人（监理人）</w:t>
      </w:r>
      <w:r>
        <w:rPr>
          <w:rFonts w:hint="eastAsia" w:ascii="宋体" w:hAnsi="宋体" w:cs="宋体"/>
          <w:color w:val="auto"/>
          <w:kern w:val="0"/>
          <w:sz w:val="24"/>
          <w:u w:val="single"/>
          <w:lang w:val="zh-CN"/>
        </w:rPr>
        <w:t>提交2份其格式和内容符合</w:t>
      </w:r>
      <w:r>
        <w:rPr>
          <w:rFonts w:hint="eastAsia" w:ascii="宋体" w:hAnsi="宋体" w:cs="宋体"/>
          <w:color w:val="auto"/>
          <w:kern w:val="0"/>
          <w:sz w:val="24"/>
          <w:u w:val="single"/>
        </w:rPr>
        <w:t>咨询人（监理人）</w:t>
      </w:r>
      <w:r>
        <w:rPr>
          <w:rFonts w:hint="eastAsia" w:ascii="宋体" w:hAnsi="宋体" w:cs="宋体"/>
          <w:color w:val="auto"/>
          <w:kern w:val="0"/>
          <w:sz w:val="24"/>
          <w:u w:val="single"/>
          <w:lang w:val="zh-CN"/>
        </w:rPr>
        <w:t>规定的</w:t>
      </w:r>
      <w:r>
        <w:rPr>
          <w:rFonts w:hint="eastAsia" w:ascii="宋体" w:hAnsi="宋体" w:cs="宋体"/>
          <w:color w:val="auto"/>
          <w:kern w:val="0"/>
          <w:sz w:val="24"/>
          <w:u w:val="single"/>
        </w:rPr>
        <w:t>工程</w:t>
      </w:r>
      <w:r>
        <w:rPr>
          <w:rFonts w:hint="eastAsia" w:ascii="宋体" w:hAnsi="宋体" w:cs="宋体"/>
          <w:color w:val="auto"/>
          <w:kern w:val="0"/>
          <w:sz w:val="24"/>
          <w:u w:val="single"/>
          <w:lang w:val="zh-CN"/>
        </w:rPr>
        <w:t>进度计划，以及为完成该计划而建议采用的实施性的</w:t>
      </w:r>
      <w:r>
        <w:rPr>
          <w:rFonts w:hint="eastAsia" w:ascii="宋体" w:hAnsi="宋体" w:cs="宋体"/>
          <w:color w:val="auto"/>
          <w:kern w:val="0"/>
          <w:sz w:val="24"/>
          <w:u w:val="single"/>
        </w:rPr>
        <w:t>施工</w:t>
      </w:r>
      <w:r>
        <w:rPr>
          <w:rFonts w:hint="eastAsia" w:ascii="宋体" w:hAnsi="宋体" w:cs="宋体"/>
          <w:color w:val="auto"/>
          <w:kern w:val="0"/>
          <w:sz w:val="24"/>
          <w:u w:val="single"/>
          <w:lang w:val="zh-CN"/>
        </w:rPr>
        <w:t>安排和</w:t>
      </w:r>
      <w:r>
        <w:rPr>
          <w:rFonts w:hint="eastAsia" w:ascii="宋体" w:hAnsi="宋体" w:cs="宋体"/>
          <w:color w:val="auto"/>
          <w:kern w:val="0"/>
          <w:sz w:val="24"/>
          <w:u w:val="single"/>
        </w:rPr>
        <w:t>施工</w:t>
      </w:r>
      <w:r>
        <w:rPr>
          <w:rFonts w:hint="eastAsia" w:ascii="宋体" w:hAnsi="宋体" w:cs="宋体"/>
          <w:color w:val="auto"/>
          <w:kern w:val="0"/>
          <w:sz w:val="24"/>
          <w:u w:val="single"/>
          <w:lang w:val="zh-CN"/>
        </w:rPr>
        <w:t>方案的说明</w:t>
      </w:r>
      <w:r>
        <w:rPr>
          <w:rFonts w:hint="eastAsia" w:ascii="宋体" w:hAnsi="宋体" w:cs="宋体"/>
          <w:color w:val="auto"/>
          <w:spacing w:val="-1"/>
          <w:sz w:val="24"/>
          <w:u w:val="single"/>
        </w:rPr>
        <w:t>，</w:t>
      </w:r>
      <w:r>
        <w:rPr>
          <w:rFonts w:hint="eastAsia" w:ascii="宋体" w:hAnsi="宋体" w:cs="宋体"/>
          <w:color w:val="auto"/>
          <w:kern w:val="0"/>
          <w:sz w:val="24"/>
          <w:u w:val="single"/>
        </w:rPr>
        <w:t>工程</w:t>
      </w:r>
      <w:r>
        <w:rPr>
          <w:rFonts w:hint="eastAsia" w:ascii="宋体" w:hAnsi="宋体" w:cs="宋体"/>
          <w:color w:val="auto"/>
          <w:kern w:val="0"/>
          <w:sz w:val="24"/>
          <w:u w:val="single"/>
          <w:lang w:val="zh-CN"/>
        </w:rPr>
        <w:t>进度计划应按照关键线路网络图和主要工作横道图两种形式分别绘制，并应包括每月预计完成的工作量和形象进度</w:t>
      </w:r>
      <w:r>
        <w:rPr>
          <w:rFonts w:ascii="宋体" w:hAnsi="宋体" w:cs="宋体"/>
          <w:color w:val="auto"/>
          <w:spacing w:val="-1"/>
          <w:sz w:val="24"/>
        </w:rPr>
        <w:t>。</w:t>
      </w:r>
    </w:p>
    <w:p w14:paraId="2A0E5FED">
      <w:pPr>
        <w:spacing w:before="106" w:line="219" w:lineRule="auto"/>
        <w:ind w:left="495"/>
        <w:outlineLvl w:val="4"/>
        <w:rPr>
          <w:rFonts w:ascii="宋体" w:hAnsi="宋体" w:cs="宋体"/>
          <w:color w:val="auto"/>
          <w:sz w:val="24"/>
        </w:rPr>
      </w:pPr>
      <w:r>
        <w:rPr>
          <w:rFonts w:eastAsia="Times New Roman"/>
          <w:b/>
          <w:bCs/>
          <w:color w:val="auto"/>
          <w:spacing w:val="-3"/>
          <w:sz w:val="24"/>
        </w:rPr>
        <w:t xml:space="preserve">10.2  </w:t>
      </w:r>
      <w:r>
        <w:rPr>
          <w:rFonts w:ascii="宋体" w:hAnsi="宋体" w:cs="宋体"/>
          <w:b/>
          <w:bCs/>
          <w:color w:val="auto"/>
          <w:spacing w:val="-3"/>
          <w:sz w:val="24"/>
        </w:rPr>
        <w:t>合同进度计划的修订</w:t>
      </w:r>
    </w:p>
    <w:p w14:paraId="39F77C9D">
      <w:pPr>
        <w:spacing w:before="125" w:line="218" w:lineRule="auto"/>
        <w:ind w:left="489"/>
        <w:rPr>
          <w:rFonts w:ascii="宋体" w:hAnsi="宋体" w:cs="宋体"/>
          <w:color w:val="auto"/>
          <w:sz w:val="24"/>
        </w:rPr>
      </w:pPr>
      <w:r>
        <w:rPr>
          <w:rFonts w:ascii="宋体" w:hAnsi="宋体" w:cs="宋体"/>
          <w:color w:val="auto"/>
          <w:spacing w:val="-1"/>
          <w:sz w:val="24"/>
        </w:rPr>
        <w:t>承包人向咨询人提交修订合同进度计划的申请报告的期限为：</w:t>
      </w:r>
      <w:r>
        <w:rPr>
          <w:rFonts w:hint="eastAsia" w:ascii="宋体" w:hAnsi="宋体" w:cs="宋体"/>
          <w:color w:val="auto"/>
          <w:spacing w:val="-1"/>
          <w:sz w:val="24"/>
          <w:u w:val="single"/>
        </w:rPr>
        <w:t>7</w:t>
      </w:r>
      <w:r>
        <w:rPr>
          <w:rFonts w:ascii="宋体" w:hAnsi="宋体" w:cs="宋体"/>
          <w:color w:val="auto"/>
          <w:spacing w:val="-1"/>
          <w:sz w:val="24"/>
        </w:rPr>
        <w:t>天。</w:t>
      </w:r>
    </w:p>
    <w:p w14:paraId="0A7D9817">
      <w:pPr>
        <w:spacing w:before="116" w:line="219" w:lineRule="auto"/>
        <w:ind w:left="498"/>
        <w:rPr>
          <w:rFonts w:ascii="宋体" w:hAnsi="宋体" w:cs="宋体"/>
          <w:color w:val="auto"/>
          <w:sz w:val="24"/>
        </w:rPr>
      </w:pPr>
      <w:r>
        <w:rPr>
          <w:rFonts w:ascii="宋体" w:hAnsi="宋体" w:cs="宋体"/>
          <w:color w:val="auto"/>
          <w:spacing w:val="-1"/>
          <w:sz w:val="24"/>
        </w:rPr>
        <w:t>咨询人批复承包人修订的合同进度计划的期限为：</w:t>
      </w:r>
      <w:r>
        <w:rPr>
          <w:rFonts w:hint="eastAsia" w:ascii="宋体" w:hAnsi="宋体" w:cs="宋体"/>
          <w:color w:val="auto"/>
          <w:spacing w:val="-1"/>
          <w:sz w:val="24"/>
          <w:u w:val="single"/>
        </w:rPr>
        <w:t>7</w:t>
      </w:r>
      <w:r>
        <w:rPr>
          <w:rFonts w:ascii="宋体" w:hAnsi="宋体" w:cs="宋体"/>
          <w:color w:val="auto"/>
          <w:spacing w:val="-2"/>
          <w:sz w:val="24"/>
        </w:rPr>
        <w:t>天。</w:t>
      </w:r>
    </w:p>
    <w:p w14:paraId="348CBA46">
      <w:pPr>
        <w:spacing w:before="106" w:line="219" w:lineRule="auto"/>
        <w:ind w:left="495"/>
        <w:outlineLvl w:val="4"/>
        <w:rPr>
          <w:rFonts w:ascii="宋体" w:hAnsi="宋体" w:cs="宋体"/>
          <w:color w:val="auto"/>
          <w:sz w:val="24"/>
        </w:rPr>
      </w:pPr>
      <w:bookmarkStart w:id="229" w:name="bookmark252"/>
      <w:bookmarkEnd w:id="229"/>
      <w:r>
        <w:rPr>
          <w:rFonts w:eastAsia="Times New Roman"/>
          <w:b/>
          <w:bCs/>
          <w:color w:val="auto"/>
          <w:spacing w:val="-3"/>
          <w:sz w:val="24"/>
        </w:rPr>
        <w:t xml:space="preserve">10.3  </w:t>
      </w:r>
      <w:r>
        <w:rPr>
          <w:rFonts w:ascii="宋体" w:hAnsi="宋体" w:cs="宋体"/>
          <w:b/>
          <w:bCs/>
          <w:color w:val="auto"/>
          <w:spacing w:val="-3"/>
          <w:sz w:val="24"/>
        </w:rPr>
        <w:t>年度作业计划</w:t>
      </w:r>
    </w:p>
    <w:p w14:paraId="07D97FEE">
      <w:pPr>
        <w:spacing w:before="126" w:line="219" w:lineRule="auto"/>
        <w:ind w:left="489"/>
        <w:rPr>
          <w:rFonts w:ascii="宋体" w:hAnsi="宋体" w:cs="宋体"/>
          <w:color w:val="auto"/>
          <w:sz w:val="24"/>
        </w:rPr>
      </w:pPr>
      <w:r>
        <w:rPr>
          <w:rFonts w:ascii="宋体" w:hAnsi="宋体" w:cs="宋体"/>
          <w:color w:val="auto"/>
          <w:spacing w:val="-1"/>
          <w:sz w:val="24"/>
        </w:rPr>
        <w:t>承包人向咨询人提交下一年度的养护作业计划的内容</w:t>
      </w:r>
      <w:r>
        <w:rPr>
          <w:rFonts w:ascii="宋体" w:hAnsi="宋体" w:cs="宋体"/>
          <w:color w:val="auto"/>
          <w:spacing w:val="6"/>
          <w:sz w:val="24"/>
        </w:rPr>
        <w:t>：</w:t>
      </w:r>
      <w:r>
        <w:rPr>
          <w:rFonts w:hint="eastAsia" w:ascii="宋体" w:hAnsi="宋体" w:cs="宋体"/>
          <w:color w:val="auto"/>
          <w:sz w:val="24"/>
          <w:u w:val="single"/>
        </w:rPr>
        <w:t>/</w:t>
      </w:r>
      <w:r>
        <w:rPr>
          <w:rFonts w:ascii="宋体" w:hAnsi="宋体" w:cs="宋体"/>
          <w:color w:val="auto"/>
          <w:spacing w:val="6"/>
          <w:sz w:val="24"/>
        </w:rPr>
        <w:t>；</w:t>
      </w:r>
    </w:p>
    <w:p w14:paraId="227083FF">
      <w:pPr>
        <w:spacing w:before="114" w:line="219" w:lineRule="auto"/>
        <w:ind w:left="489"/>
        <w:rPr>
          <w:rFonts w:ascii="宋体" w:hAnsi="宋体" w:cs="宋体"/>
          <w:color w:val="auto"/>
          <w:sz w:val="24"/>
        </w:rPr>
      </w:pPr>
      <w:r>
        <w:rPr>
          <w:rFonts w:ascii="宋体" w:hAnsi="宋体" w:cs="宋体"/>
          <w:color w:val="auto"/>
          <w:spacing w:val="-1"/>
          <w:sz w:val="24"/>
        </w:rPr>
        <w:t>承包人向咨询人提交下一年度的养护作业计划的期限为</w:t>
      </w:r>
      <w:r>
        <w:rPr>
          <w:rFonts w:ascii="宋体" w:hAnsi="宋体" w:cs="宋体"/>
          <w:color w:val="auto"/>
          <w:spacing w:val="-1"/>
          <w:sz w:val="24"/>
          <w:u w:val="single"/>
        </w:rPr>
        <w:t>：</w:t>
      </w:r>
      <w:r>
        <w:rPr>
          <w:rFonts w:hint="eastAsia" w:ascii="宋体" w:hAnsi="宋体" w:cs="宋体"/>
          <w:color w:val="auto"/>
          <w:spacing w:val="-1"/>
          <w:sz w:val="24"/>
          <w:u w:val="single"/>
        </w:rPr>
        <w:t>/</w:t>
      </w:r>
      <w:r>
        <w:rPr>
          <w:rFonts w:ascii="宋体" w:hAnsi="宋体" w:cs="宋体"/>
          <w:color w:val="auto"/>
          <w:spacing w:val="-1"/>
          <w:sz w:val="24"/>
        </w:rPr>
        <w:t>天。</w:t>
      </w:r>
    </w:p>
    <w:p w14:paraId="1114A50E">
      <w:pPr>
        <w:pStyle w:val="21"/>
        <w:spacing w:line="263" w:lineRule="auto"/>
        <w:rPr>
          <w:color w:val="auto"/>
        </w:rPr>
      </w:pPr>
    </w:p>
    <w:p w14:paraId="1B217989">
      <w:pPr>
        <w:pStyle w:val="21"/>
        <w:spacing w:line="263" w:lineRule="auto"/>
        <w:rPr>
          <w:color w:val="auto"/>
        </w:rPr>
      </w:pPr>
      <w:r>
        <w:rPr>
          <w:color w:val="auto"/>
        </w:rPr>
        <w:pict>
          <v:shape id="_x0000_s2051" o:spid="_x0000_s2051" o:spt="100" style="position:absolute;left:0pt;margin-left:0pt;margin-top:2.75pt;height:0pt;width:144pt;z-index:251671552;mso-width-relative:page;mso-height-relative:page;" filled="f" coordsize="2880,1" o:gfxdata="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2MUzJ0QAAAAQBAAAPAAAAAAAAAAEAIAAAACIAAABkcnMvZG93bnJldi54bWxQSwECFAAUAAAA&#10;CACHTuJAnPG7dC4CAACXBAAADgAAAAAAAAABACAAAAAgAQAAZHJzL2Uyb0RvYy54bWxQSwUGAAAA&#10;AAYABgBZAQAAwAUAAAAA&#10;" path="m0,0l2880,0e">
            <v:path o:connecttype="segments"/>
            <v:fill on="f" focussize="0,0"/>
            <v:stroke weight="0pt" joinstyle="bevel" endcap="square"/>
            <v:imagedata o:title=""/>
            <o:lock v:ext="edit"/>
          </v:shape>
        </w:pict>
      </w:r>
    </w:p>
    <w:p w14:paraId="212A1278">
      <w:pPr>
        <w:spacing w:before="62" w:line="391" w:lineRule="auto"/>
        <w:ind w:left="10" w:firstLine="396"/>
        <w:rPr>
          <w:rFonts w:ascii="宋体" w:hAnsi="宋体" w:cs="宋体"/>
          <w:color w:val="auto"/>
          <w:sz w:val="19"/>
          <w:szCs w:val="19"/>
        </w:rPr>
      </w:pPr>
      <w:r>
        <w:rPr>
          <w:rFonts w:ascii="宋体" w:hAnsi="宋体" w:cs="宋体"/>
          <w:color w:val="auto"/>
          <w:spacing w:val="14"/>
          <w:sz w:val="19"/>
          <w:szCs w:val="19"/>
        </w:rPr>
        <w:t>① 发包人向承包人提供的图纸和资料包括但不限于项目建设阶段的图纸和资料，</w:t>
      </w:r>
      <w:r>
        <w:rPr>
          <w:rFonts w:ascii="宋体" w:hAnsi="宋体" w:cs="宋体"/>
          <w:color w:val="auto"/>
          <w:spacing w:val="13"/>
          <w:sz w:val="19"/>
          <w:szCs w:val="19"/>
        </w:rPr>
        <w:t>既往养护相</w:t>
      </w:r>
      <w:r>
        <w:rPr>
          <w:rFonts w:ascii="宋体" w:hAnsi="宋体" w:cs="宋体"/>
          <w:color w:val="auto"/>
          <w:spacing w:val="7"/>
          <w:sz w:val="19"/>
          <w:szCs w:val="19"/>
        </w:rPr>
        <w:t>关的设计图纸和资料。</w:t>
      </w:r>
    </w:p>
    <w:p w14:paraId="24D06A45">
      <w:pPr>
        <w:spacing w:before="271" w:line="221" w:lineRule="auto"/>
        <w:ind w:left="485"/>
        <w:outlineLvl w:val="3"/>
        <w:rPr>
          <w:rFonts w:ascii="宋体" w:hAnsi="宋体" w:cs="宋体"/>
          <w:color w:val="auto"/>
          <w:sz w:val="24"/>
        </w:rPr>
      </w:pPr>
      <w:bookmarkStart w:id="230" w:name="bookmark91"/>
      <w:bookmarkEnd w:id="230"/>
      <w:bookmarkStart w:id="231" w:name="bookmark92"/>
      <w:bookmarkEnd w:id="231"/>
      <w:r>
        <w:rPr>
          <w:rFonts w:eastAsia="Times New Roman"/>
          <w:b/>
          <w:bCs/>
          <w:color w:val="auto"/>
          <w:spacing w:val="-3"/>
          <w:sz w:val="24"/>
        </w:rPr>
        <w:t xml:space="preserve">11.  </w:t>
      </w:r>
      <w:r>
        <w:rPr>
          <w:rFonts w:ascii="宋体" w:hAnsi="宋体" w:cs="宋体"/>
          <w:b/>
          <w:bCs/>
          <w:color w:val="auto"/>
          <w:spacing w:val="-3"/>
          <w:sz w:val="24"/>
        </w:rPr>
        <w:t>开工和交工</w:t>
      </w:r>
    </w:p>
    <w:p w14:paraId="4C446014">
      <w:pPr>
        <w:spacing w:before="35" w:line="219" w:lineRule="auto"/>
        <w:ind w:left="485"/>
        <w:outlineLvl w:val="4"/>
        <w:rPr>
          <w:rFonts w:eastAsia="Times New Roman"/>
          <w:b/>
          <w:bCs/>
          <w:color w:val="auto"/>
          <w:spacing w:val="-3"/>
          <w:sz w:val="24"/>
        </w:rPr>
      </w:pPr>
    </w:p>
    <w:p w14:paraId="2960280D">
      <w:pPr>
        <w:spacing w:before="35" w:line="219" w:lineRule="auto"/>
        <w:ind w:left="485"/>
        <w:outlineLvl w:val="4"/>
        <w:rPr>
          <w:rFonts w:eastAsia="Times New Roman"/>
          <w:b/>
          <w:bCs/>
          <w:color w:val="auto"/>
          <w:spacing w:val="-3"/>
          <w:sz w:val="24"/>
        </w:rPr>
      </w:pPr>
      <w:r>
        <w:rPr>
          <w:rFonts w:hint="eastAsia" w:eastAsia="Times New Roman"/>
          <w:b/>
          <w:bCs/>
          <w:color w:val="auto"/>
          <w:spacing w:val="-3"/>
          <w:sz w:val="24"/>
        </w:rPr>
        <w:t xml:space="preserve">11.1 开工 </w:t>
      </w:r>
    </w:p>
    <w:p w14:paraId="1F036FE8">
      <w:pPr>
        <w:spacing w:before="35" w:line="219" w:lineRule="auto"/>
        <w:ind w:left="485"/>
        <w:outlineLvl w:val="4"/>
        <w:rPr>
          <w:rFonts w:eastAsia="Times New Roman"/>
          <w:color w:val="auto"/>
          <w:spacing w:val="-3"/>
          <w:sz w:val="24"/>
        </w:rPr>
      </w:pPr>
      <w:r>
        <w:rPr>
          <w:rFonts w:hint="eastAsia" w:eastAsia="Times New Roman"/>
          <w:color w:val="auto"/>
          <w:spacing w:val="-3"/>
          <w:sz w:val="24"/>
        </w:rPr>
        <w:t xml:space="preserve">第11.1.2项补充： </w:t>
      </w:r>
    </w:p>
    <w:p w14:paraId="64103C68">
      <w:pPr>
        <w:spacing w:before="35" w:line="219" w:lineRule="auto"/>
        <w:ind w:left="485"/>
        <w:outlineLvl w:val="4"/>
        <w:rPr>
          <w:rFonts w:eastAsia="Times New Roman"/>
          <w:color w:val="auto"/>
          <w:spacing w:val="-3"/>
          <w:sz w:val="24"/>
        </w:rPr>
      </w:pPr>
      <w:r>
        <w:rPr>
          <w:rFonts w:hint="eastAsia" w:eastAsia="Times New Roman"/>
          <w:color w:val="auto"/>
          <w:spacing w:val="-3"/>
          <w:sz w:val="24"/>
        </w:rPr>
        <w:t>承包人应在分部工程开工前7天向咨询人（监理人）提交分部工程开工报审表，若承包人的开工准备、工作计划和质量控制方法是可接受的且已获得批准，则经咨询人（监理人）书面同意，分部工程才能开工。</w:t>
      </w:r>
    </w:p>
    <w:p w14:paraId="5B2A2BD5">
      <w:pPr>
        <w:spacing w:before="35" w:line="219" w:lineRule="auto"/>
        <w:ind w:left="485"/>
        <w:outlineLvl w:val="4"/>
        <w:rPr>
          <w:rFonts w:eastAsia="Times New Roman"/>
          <w:color w:val="auto"/>
          <w:spacing w:val="-3"/>
          <w:sz w:val="24"/>
        </w:rPr>
      </w:pPr>
    </w:p>
    <w:p w14:paraId="1817F6FA">
      <w:pPr>
        <w:spacing w:before="35" w:line="219" w:lineRule="auto"/>
        <w:ind w:left="485"/>
        <w:outlineLvl w:val="4"/>
        <w:rPr>
          <w:rFonts w:ascii="宋体" w:hAnsi="宋体" w:cs="宋体"/>
          <w:color w:val="auto"/>
          <w:sz w:val="24"/>
        </w:rPr>
      </w:pPr>
      <w:r>
        <w:rPr>
          <w:rFonts w:eastAsia="Times New Roman"/>
          <w:b/>
          <w:bCs/>
          <w:color w:val="auto"/>
          <w:spacing w:val="-3"/>
          <w:sz w:val="24"/>
        </w:rPr>
        <w:t xml:space="preserve">11.4 </w:t>
      </w:r>
      <w:r>
        <w:rPr>
          <w:rFonts w:ascii="宋体" w:hAnsi="宋体" w:cs="宋体"/>
          <w:b/>
          <w:bCs/>
          <w:color w:val="auto"/>
          <w:spacing w:val="-3"/>
          <w:sz w:val="24"/>
        </w:rPr>
        <w:t>异常恶劣的气候条件</w:t>
      </w:r>
    </w:p>
    <w:p w14:paraId="2F73CDE0">
      <w:pPr>
        <w:tabs>
          <w:tab w:val="left" w:pos="1080"/>
        </w:tabs>
        <w:autoSpaceDE w:val="0"/>
        <w:autoSpaceDN w:val="0"/>
        <w:spacing w:line="360" w:lineRule="auto"/>
        <w:ind w:firstLine="480"/>
        <w:jc w:val="left"/>
        <w:rPr>
          <w:rFonts w:ascii="宋体" w:hAnsi="宋体" w:cs="宋体"/>
          <w:color w:val="auto"/>
          <w:kern w:val="0"/>
          <w:sz w:val="24"/>
          <w:u w:val="single"/>
          <w:lang w:val="zh-CN"/>
        </w:rPr>
      </w:pPr>
      <w:r>
        <w:rPr>
          <w:rFonts w:ascii="宋体" w:hAnsi="宋体" w:cs="宋体"/>
          <w:color w:val="auto"/>
          <w:spacing w:val="-1"/>
          <w:sz w:val="24"/>
        </w:rPr>
        <w:t>异常恶劣的气候条件的范围：</w:t>
      </w:r>
      <w:r>
        <w:rPr>
          <w:rFonts w:hint="eastAsia" w:ascii="宋体" w:hAnsi="宋体" w:cs="宋体"/>
          <w:color w:val="auto"/>
          <w:kern w:val="0"/>
          <w:sz w:val="24"/>
          <w:u w:val="single"/>
          <w:lang w:val="zh-CN"/>
        </w:rPr>
        <w:t>对本项目而言，指发生烈度7度（含7度）以上地震、龙卷风、施工场地受淹超过项目法人提供的设计图纸指明的设计洪水水位引起的延误的情况。</w:t>
      </w:r>
    </w:p>
    <w:p w14:paraId="03DE3367">
      <w:pPr>
        <w:tabs>
          <w:tab w:val="left" w:pos="1080"/>
        </w:tabs>
        <w:autoSpaceDE w:val="0"/>
        <w:autoSpaceDN w:val="0"/>
        <w:spacing w:line="360" w:lineRule="auto"/>
        <w:ind w:firstLine="480"/>
        <w:jc w:val="left"/>
        <w:rPr>
          <w:rFonts w:ascii="宋体" w:hAnsi="宋体" w:cs="宋体"/>
          <w:color w:val="auto"/>
          <w:kern w:val="0"/>
          <w:sz w:val="24"/>
          <w:u w:val="single"/>
          <w:lang w:val="zh-CN"/>
        </w:rPr>
      </w:pPr>
      <w:r>
        <w:rPr>
          <w:rFonts w:hint="eastAsia" w:ascii="宋体" w:hAnsi="宋体" w:cs="宋体"/>
          <w:color w:val="auto"/>
          <w:kern w:val="0"/>
          <w:sz w:val="24"/>
          <w:u w:val="single"/>
          <w:lang w:val="zh-CN"/>
        </w:rPr>
        <w:t>异常恶劣的气候条件，政府及有关部门预先有预报的，由于承包人没有应急措施或没有采取应急措施的，造成的损失和工期延误，由承包人负责</w:t>
      </w:r>
      <w:r>
        <w:rPr>
          <w:rFonts w:hint="eastAsia" w:ascii="宋体" w:hAnsi="宋体" w:cs="宋体"/>
          <w:color w:val="auto"/>
          <w:kern w:val="0"/>
          <w:sz w:val="24"/>
          <w:lang w:val="zh-CN"/>
        </w:rPr>
        <w:t>。</w:t>
      </w:r>
    </w:p>
    <w:p w14:paraId="2F524CB1">
      <w:pPr>
        <w:tabs>
          <w:tab w:val="left" w:pos="1080"/>
        </w:tabs>
        <w:autoSpaceDE w:val="0"/>
        <w:autoSpaceDN w:val="0"/>
        <w:spacing w:line="360" w:lineRule="auto"/>
        <w:ind w:firstLine="480"/>
        <w:jc w:val="left"/>
        <w:rPr>
          <w:rFonts w:ascii="宋体" w:hAnsi="宋体" w:cs="宋体"/>
          <w:color w:val="auto"/>
          <w:sz w:val="24"/>
          <w:u w:val="single"/>
        </w:rPr>
      </w:pPr>
      <w:r>
        <w:rPr>
          <w:rFonts w:hint="eastAsia" w:ascii="宋体" w:hAnsi="宋体" w:cs="宋体"/>
          <w:color w:val="auto"/>
          <w:sz w:val="24"/>
          <w:u w:val="single"/>
        </w:rPr>
        <w:t>发包人和承包人同意以下情形视为异常恶劣的气候条件:</w:t>
      </w:r>
    </w:p>
    <w:p w14:paraId="66AE3B0A">
      <w:pPr>
        <w:adjustRightInd w:val="0"/>
        <w:spacing w:line="360" w:lineRule="auto"/>
        <w:ind w:firstLine="480" w:firstLineChars="200"/>
        <w:textAlignment w:val="baseline"/>
        <w:rPr>
          <w:rFonts w:ascii="宋体" w:hAnsi="宋体" w:cs="宋体"/>
          <w:color w:val="auto"/>
          <w:sz w:val="24"/>
          <w:u w:val="single"/>
        </w:rPr>
      </w:pPr>
      <w:r>
        <w:rPr>
          <w:rFonts w:hint="eastAsia" w:ascii="宋体" w:hAnsi="宋体" w:cs="宋体"/>
          <w:color w:val="auto"/>
          <w:sz w:val="24"/>
          <w:u w:val="single"/>
        </w:rPr>
        <w:t>⑴持续高温:连续三日最高温气温38度以上;</w:t>
      </w:r>
    </w:p>
    <w:p w14:paraId="52FE4393">
      <w:pPr>
        <w:adjustRightInd w:val="0"/>
        <w:spacing w:line="360" w:lineRule="auto"/>
        <w:ind w:firstLine="480" w:firstLineChars="200"/>
        <w:textAlignment w:val="baseline"/>
        <w:rPr>
          <w:rFonts w:ascii="宋体" w:hAnsi="宋体" w:cs="宋体"/>
          <w:color w:val="auto"/>
          <w:sz w:val="24"/>
          <w:u w:val="single"/>
        </w:rPr>
      </w:pPr>
      <w:r>
        <w:rPr>
          <w:rFonts w:hint="eastAsia" w:ascii="宋体" w:hAnsi="宋体" w:cs="宋体"/>
          <w:color w:val="auto"/>
          <w:sz w:val="24"/>
          <w:u w:val="single"/>
        </w:rPr>
        <w:t>(2)连续低温:连续三日最低气温-20度以上;</w:t>
      </w:r>
    </w:p>
    <w:p w14:paraId="68EE8B4C">
      <w:pPr>
        <w:adjustRightInd w:val="0"/>
        <w:spacing w:line="360" w:lineRule="auto"/>
        <w:ind w:firstLine="480" w:firstLineChars="200"/>
        <w:textAlignment w:val="baseline"/>
        <w:rPr>
          <w:rFonts w:ascii="宋体" w:hAnsi="宋体" w:cs="宋体"/>
          <w:color w:val="auto"/>
          <w:sz w:val="24"/>
          <w:u w:val="single"/>
        </w:rPr>
      </w:pPr>
      <w:r>
        <w:rPr>
          <w:rFonts w:hint="eastAsia" w:ascii="宋体" w:hAnsi="宋体" w:cs="宋体"/>
          <w:color w:val="auto"/>
          <w:sz w:val="24"/>
          <w:u w:val="single"/>
        </w:rPr>
        <w:t>(3)大风天气:施工水域日风力在6级以上且持续时间不少于4-小时，或阵风大于8级;</w:t>
      </w:r>
    </w:p>
    <w:p w14:paraId="79790397">
      <w:pPr>
        <w:adjustRightInd w:val="0"/>
        <w:spacing w:line="360" w:lineRule="auto"/>
        <w:ind w:firstLine="480" w:firstLineChars="200"/>
        <w:textAlignment w:val="baseline"/>
        <w:rPr>
          <w:rFonts w:ascii="宋体" w:hAnsi="宋体" w:cs="宋体"/>
          <w:color w:val="auto"/>
          <w:sz w:val="24"/>
          <w:u w:val="single"/>
        </w:rPr>
      </w:pPr>
      <w:r>
        <w:rPr>
          <w:rFonts w:hint="eastAsia" w:ascii="宋体" w:hAnsi="宋体" w:cs="宋体"/>
          <w:color w:val="auto"/>
          <w:sz w:val="24"/>
          <w:u w:val="single"/>
        </w:rPr>
        <w:t>(4)暴雨天气:日降雨量50mm以上，或降雨强度大于20mm/h:</w:t>
      </w:r>
    </w:p>
    <w:p w14:paraId="3184C651">
      <w:pPr>
        <w:adjustRightInd w:val="0"/>
        <w:spacing w:line="360" w:lineRule="auto"/>
        <w:ind w:firstLine="480" w:firstLineChars="200"/>
        <w:textAlignment w:val="baseline"/>
        <w:rPr>
          <w:rFonts w:ascii="宋体" w:hAnsi="宋体" w:cs="宋体"/>
          <w:color w:val="auto"/>
          <w:sz w:val="24"/>
          <w:u w:val="single"/>
        </w:rPr>
      </w:pPr>
      <w:r>
        <w:rPr>
          <w:rFonts w:hint="eastAsia" w:ascii="宋体" w:hAnsi="宋体" w:cs="宋体"/>
          <w:color w:val="auto"/>
          <w:sz w:val="24"/>
          <w:u w:val="single"/>
        </w:rPr>
        <w:t>(5)暴雪天气日降雪量10mm以上;</w:t>
      </w:r>
    </w:p>
    <w:p w14:paraId="40C05C4F">
      <w:pPr>
        <w:adjustRightInd w:val="0"/>
        <w:spacing w:line="360" w:lineRule="auto"/>
        <w:ind w:firstLine="480" w:firstLineChars="200"/>
        <w:textAlignment w:val="baseline"/>
        <w:rPr>
          <w:rFonts w:ascii="宋体" w:hAnsi="宋体" w:cs="宋体"/>
          <w:color w:val="auto"/>
          <w:sz w:val="24"/>
          <w:u w:val="single"/>
        </w:rPr>
      </w:pPr>
      <w:r>
        <w:rPr>
          <w:rFonts w:hint="eastAsia" w:ascii="宋体" w:hAnsi="宋体" w:cs="宋体"/>
          <w:color w:val="auto"/>
          <w:sz w:val="24"/>
          <w:u w:val="single"/>
        </w:rPr>
        <w:t>(6)流速或波浪:内河3.5米秒以上的流速，海上2米及以上的大浪和强浪;</w:t>
      </w:r>
    </w:p>
    <w:p w14:paraId="1B02A7BC">
      <w:pPr>
        <w:adjustRightInd w:val="0"/>
        <w:spacing w:line="360" w:lineRule="auto"/>
        <w:ind w:firstLine="480" w:firstLineChars="200"/>
        <w:textAlignment w:val="baseline"/>
        <w:rPr>
          <w:rFonts w:ascii="宋体" w:hAnsi="宋体" w:cs="宋体"/>
          <w:color w:val="auto"/>
          <w:sz w:val="24"/>
          <w:u w:val="single"/>
        </w:rPr>
      </w:pPr>
      <w:r>
        <w:rPr>
          <w:rFonts w:hint="eastAsia" w:ascii="宋体" w:hAnsi="宋体" w:cs="宋体"/>
          <w:color w:val="auto"/>
          <w:sz w:val="24"/>
          <w:u w:val="single"/>
        </w:rPr>
        <w:t>(7)水淹:施工场地大部分或全部被潮水、洪水或雨水淹没超过一天;</w:t>
      </w:r>
    </w:p>
    <w:p w14:paraId="15768BD6">
      <w:pPr>
        <w:adjustRightInd w:val="0"/>
        <w:spacing w:line="360" w:lineRule="auto"/>
        <w:ind w:firstLine="480" w:firstLineChars="200"/>
        <w:textAlignment w:val="baseline"/>
        <w:rPr>
          <w:color w:val="auto"/>
        </w:rPr>
      </w:pPr>
      <w:r>
        <w:rPr>
          <w:rFonts w:hint="eastAsia" w:ascii="宋体" w:hAnsi="宋体" w:cs="宋体"/>
          <w:color w:val="auto"/>
          <w:sz w:val="24"/>
          <w:u w:val="single"/>
        </w:rPr>
        <w:t>(8)大雾:能见度小于50米的雾天超过1天</w:t>
      </w:r>
      <w:r>
        <w:rPr>
          <w:rFonts w:hint="eastAsia" w:ascii="宋体" w:hAnsi="宋体" w:cs="宋体"/>
          <w:color w:val="auto"/>
          <w:sz w:val="24"/>
        </w:rPr>
        <w:t>。</w:t>
      </w:r>
    </w:p>
    <w:p w14:paraId="0D5F75B9">
      <w:pPr>
        <w:spacing w:before="78" w:line="219" w:lineRule="auto"/>
        <w:ind w:left="485"/>
        <w:outlineLvl w:val="3"/>
        <w:rPr>
          <w:rFonts w:eastAsia="Times New Roman"/>
          <w:b/>
          <w:bCs/>
          <w:color w:val="auto"/>
          <w:spacing w:val="-5"/>
          <w:sz w:val="24"/>
        </w:rPr>
      </w:pPr>
      <w:bookmarkStart w:id="232" w:name="bookmark94"/>
      <w:bookmarkEnd w:id="232"/>
      <w:bookmarkStart w:id="233" w:name="bookmark93"/>
      <w:bookmarkEnd w:id="233"/>
      <w:r>
        <w:rPr>
          <w:rFonts w:eastAsia="Times New Roman"/>
          <w:b/>
          <w:bCs/>
          <w:color w:val="auto"/>
          <w:spacing w:val="-5"/>
          <w:sz w:val="24"/>
        </w:rPr>
        <w:t>11.5</w:t>
      </w:r>
      <w:r>
        <w:rPr>
          <w:rFonts w:hint="eastAsia" w:eastAsia="Times New Roman"/>
          <w:b/>
          <w:bCs/>
          <w:color w:val="auto"/>
          <w:spacing w:val="-5"/>
          <w:sz w:val="24"/>
        </w:rPr>
        <w:t xml:space="preserve">承包人引起的工期延误 </w:t>
      </w:r>
    </w:p>
    <w:p w14:paraId="0D46EBB8">
      <w:pPr>
        <w:spacing w:before="78" w:line="219" w:lineRule="auto"/>
        <w:ind w:left="485"/>
        <w:outlineLvl w:val="3"/>
        <w:rPr>
          <w:rFonts w:eastAsia="Times New Roman"/>
          <w:b/>
          <w:bCs/>
          <w:color w:val="auto"/>
          <w:spacing w:val="-5"/>
          <w:sz w:val="24"/>
        </w:rPr>
      </w:pPr>
      <w:r>
        <w:rPr>
          <w:rFonts w:eastAsia="Times New Roman"/>
          <w:b/>
          <w:bCs/>
          <w:color w:val="auto"/>
          <w:spacing w:val="-5"/>
          <w:sz w:val="24"/>
        </w:rPr>
        <w:t>11.5</w:t>
      </w:r>
      <w:r>
        <w:rPr>
          <w:rFonts w:hint="eastAsia" w:eastAsia="Times New Roman"/>
          <w:b/>
          <w:bCs/>
          <w:color w:val="auto"/>
          <w:spacing w:val="-5"/>
          <w:sz w:val="24"/>
        </w:rPr>
        <w:t xml:space="preserve">本款细化 </w:t>
      </w:r>
    </w:p>
    <w:p w14:paraId="3598EFCC">
      <w:pPr>
        <w:spacing w:before="78" w:line="360" w:lineRule="auto"/>
        <w:ind w:left="485"/>
        <w:outlineLvl w:val="3"/>
        <w:rPr>
          <w:rFonts w:eastAsia="Times New Roman"/>
          <w:color w:val="auto"/>
          <w:spacing w:val="-5"/>
          <w:sz w:val="24"/>
        </w:rPr>
      </w:pPr>
      <w:r>
        <w:rPr>
          <w:rFonts w:hint="eastAsia" w:eastAsia="Times New Roman"/>
          <w:color w:val="auto"/>
          <w:spacing w:val="-5"/>
          <w:sz w:val="24"/>
        </w:rPr>
        <w:t>（</w:t>
      </w:r>
      <w:r>
        <w:rPr>
          <w:rFonts w:eastAsia="Times New Roman"/>
          <w:color w:val="auto"/>
          <w:spacing w:val="-5"/>
          <w:sz w:val="24"/>
        </w:rPr>
        <w:t>1</w:t>
      </w:r>
      <w:r>
        <w:rPr>
          <w:rFonts w:hint="eastAsia" w:eastAsia="Times New Roman"/>
          <w:color w:val="auto"/>
          <w:spacing w:val="-5"/>
          <w:sz w:val="24"/>
        </w:rPr>
        <w:t>）承包人应严格执行咨询人（监理人）批准的合同进度计划，对工作量计划和形象进度计划分别控制。除第</w:t>
      </w:r>
      <w:r>
        <w:rPr>
          <w:rFonts w:eastAsia="Times New Roman"/>
          <w:color w:val="auto"/>
          <w:spacing w:val="-5"/>
          <w:sz w:val="24"/>
        </w:rPr>
        <w:t>11.3</w:t>
      </w:r>
      <w:r>
        <w:rPr>
          <w:rFonts w:hint="eastAsia" w:eastAsia="Times New Roman"/>
          <w:color w:val="auto"/>
          <w:spacing w:val="-5"/>
          <w:sz w:val="24"/>
        </w:rPr>
        <w:t xml:space="preserve">款规定外，承包人的实际工程进度曲线应在合同进度管理曲线规定的安全区域之内。若承包人的实际工程进度曲线处在合同进度管理曲线规定的安全区域的下限之外时，则咨询人（监理人）有权认为本合同工程的进度过慢，并通知承包人应采取必要措施，以便加快工程进度，确保工程能在预定的工期内交工。承包人应采取措施加快进度，并承担加快进度所增加的费用。 </w:t>
      </w:r>
    </w:p>
    <w:p w14:paraId="2E1BB3A6">
      <w:pPr>
        <w:spacing w:before="78" w:line="360" w:lineRule="auto"/>
        <w:ind w:left="485"/>
        <w:outlineLvl w:val="3"/>
        <w:rPr>
          <w:rFonts w:eastAsia="Times New Roman"/>
          <w:color w:val="auto"/>
          <w:spacing w:val="-5"/>
          <w:sz w:val="24"/>
        </w:rPr>
      </w:pPr>
      <w:r>
        <w:rPr>
          <w:rFonts w:hint="eastAsia" w:eastAsia="Times New Roman"/>
          <w:color w:val="auto"/>
          <w:spacing w:val="-5"/>
          <w:sz w:val="24"/>
        </w:rPr>
        <w:t>（</w:t>
      </w:r>
      <w:r>
        <w:rPr>
          <w:rFonts w:eastAsia="Times New Roman"/>
          <w:color w:val="auto"/>
          <w:spacing w:val="-5"/>
          <w:sz w:val="24"/>
        </w:rPr>
        <w:t>2</w:t>
      </w:r>
      <w:r>
        <w:rPr>
          <w:rFonts w:hint="eastAsia" w:eastAsia="Times New Roman"/>
          <w:color w:val="auto"/>
          <w:spacing w:val="-5"/>
          <w:sz w:val="24"/>
        </w:rPr>
        <w:t>）如果承包人在接到咨询人（监理人）通知后的</w:t>
      </w:r>
      <w:r>
        <w:rPr>
          <w:rFonts w:eastAsia="Times New Roman"/>
          <w:color w:val="auto"/>
          <w:spacing w:val="-5"/>
          <w:sz w:val="24"/>
        </w:rPr>
        <w:t>14</w:t>
      </w:r>
      <w:r>
        <w:rPr>
          <w:rFonts w:hint="eastAsia" w:eastAsia="Times New Roman"/>
          <w:color w:val="auto"/>
          <w:spacing w:val="-5"/>
          <w:sz w:val="24"/>
        </w:rPr>
        <w:t>天内，未能采取加快工程进度的措施，致使实际工程进度进一步滞后，或承包人虽采取了一些措施，仍无法按预计工期交工时，咨询人（监理人）应立即通知发包人。发包人在向承包人发出书面警告通知</w:t>
      </w:r>
      <w:r>
        <w:rPr>
          <w:rFonts w:eastAsia="Times New Roman"/>
          <w:color w:val="auto"/>
          <w:spacing w:val="-5"/>
          <w:sz w:val="24"/>
        </w:rPr>
        <w:t>14</w:t>
      </w:r>
      <w:r>
        <w:rPr>
          <w:rFonts w:hint="eastAsia" w:eastAsia="Times New Roman"/>
          <w:color w:val="auto"/>
          <w:spacing w:val="-5"/>
          <w:sz w:val="24"/>
        </w:rPr>
        <w:t>天后，发包人可按第</w:t>
      </w:r>
      <w:r>
        <w:rPr>
          <w:rFonts w:eastAsia="Times New Roman"/>
          <w:color w:val="auto"/>
          <w:spacing w:val="-5"/>
          <w:sz w:val="24"/>
        </w:rPr>
        <w:t>22.1</w:t>
      </w:r>
      <w:r>
        <w:rPr>
          <w:rFonts w:hint="eastAsia" w:eastAsia="Times New Roman"/>
          <w:color w:val="auto"/>
          <w:spacing w:val="-5"/>
          <w:sz w:val="24"/>
        </w:rPr>
        <w:t xml:space="preserve">款终止对承包人的雇用，也可将本合同工程中的一部分工作交由其他承包人或其他分包人完成。在不解除本合同规定的承包人责任和义务的同时，承包人应承担因此所增加的一切费用。 </w:t>
      </w:r>
    </w:p>
    <w:p w14:paraId="5C02C051">
      <w:pPr>
        <w:spacing w:before="78" w:line="360" w:lineRule="auto"/>
        <w:ind w:left="485"/>
        <w:outlineLvl w:val="3"/>
        <w:rPr>
          <w:rFonts w:eastAsia="Times New Roman"/>
          <w:color w:val="auto"/>
          <w:spacing w:val="-5"/>
          <w:sz w:val="24"/>
        </w:rPr>
      </w:pPr>
      <w:r>
        <w:rPr>
          <w:rFonts w:hint="eastAsia" w:eastAsia="Times New Roman"/>
          <w:color w:val="auto"/>
          <w:spacing w:val="-5"/>
          <w:sz w:val="24"/>
        </w:rPr>
        <w:t>（</w:t>
      </w:r>
      <w:r>
        <w:rPr>
          <w:rFonts w:eastAsia="Times New Roman"/>
          <w:color w:val="auto"/>
          <w:spacing w:val="-5"/>
          <w:sz w:val="24"/>
        </w:rPr>
        <w:t>3</w:t>
      </w:r>
      <w:r>
        <w:rPr>
          <w:rFonts w:hint="eastAsia" w:eastAsia="Times New Roman"/>
          <w:color w:val="auto"/>
          <w:spacing w:val="-5"/>
          <w:sz w:val="24"/>
        </w:rPr>
        <w:t xml:space="preserve">）由于承包人原因造成工期延误，承包人应支付逾期交工违约金。逾期交工违约金的计算方法在专用合同条款数据表中约定，时间自预定的交工日期起到交工验收证书中写明的实际交工日期止（扣除已批准的延长工期），按天计算。逾期交工违约金累计金额最高不超过专用合同条款数据表中写明的限额。发包人可以从应付或到期应付给承包人的任何款项中或采用其他方法扣除此违约金。 </w:t>
      </w:r>
    </w:p>
    <w:p w14:paraId="57777C76">
      <w:pPr>
        <w:spacing w:before="78" w:line="360" w:lineRule="auto"/>
        <w:ind w:left="485"/>
        <w:outlineLvl w:val="3"/>
        <w:rPr>
          <w:rFonts w:eastAsia="Times New Roman"/>
          <w:color w:val="auto"/>
          <w:spacing w:val="-5"/>
          <w:sz w:val="24"/>
        </w:rPr>
      </w:pPr>
      <w:r>
        <w:rPr>
          <w:rFonts w:hint="eastAsia" w:eastAsia="Times New Roman"/>
          <w:color w:val="auto"/>
          <w:spacing w:val="-5"/>
          <w:sz w:val="24"/>
        </w:rPr>
        <w:t>（</w:t>
      </w:r>
      <w:r>
        <w:rPr>
          <w:rFonts w:eastAsia="Times New Roman"/>
          <w:color w:val="auto"/>
          <w:spacing w:val="-5"/>
          <w:sz w:val="24"/>
        </w:rPr>
        <w:t>4</w:t>
      </w:r>
      <w:r>
        <w:rPr>
          <w:rFonts w:hint="eastAsia" w:eastAsia="Times New Roman"/>
          <w:color w:val="auto"/>
          <w:spacing w:val="-5"/>
          <w:sz w:val="24"/>
        </w:rPr>
        <w:t xml:space="preserve">）承包人支付逾期交工违约金，不免除承包人完成工程及修补缺陷的义务。 </w:t>
      </w:r>
    </w:p>
    <w:p w14:paraId="01E8D415">
      <w:pPr>
        <w:spacing w:before="78" w:line="360" w:lineRule="auto"/>
        <w:ind w:left="485"/>
        <w:outlineLvl w:val="3"/>
        <w:rPr>
          <w:rFonts w:eastAsia="Times New Roman"/>
          <w:color w:val="auto"/>
          <w:spacing w:val="-5"/>
          <w:sz w:val="24"/>
        </w:rPr>
      </w:pPr>
      <w:r>
        <w:rPr>
          <w:rFonts w:hint="eastAsia" w:eastAsia="Times New Roman"/>
          <w:color w:val="auto"/>
          <w:spacing w:val="-5"/>
          <w:sz w:val="24"/>
        </w:rPr>
        <w:t>（</w:t>
      </w:r>
      <w:r>
        <w:rPr>
          <w:rFonts w:eastAsia="Times New Roman"/>
          <w:color w:val="auto"/>
          <w:spacing w:val="-5"/>
          <w:sz w:val="24"/>
        </w:rPr>
        <w:t>5</w:t>
      </w:r>
      <w:r>
        <w:rPr>
          <w:rFonts w:hint="eastAsia" w:eastAsia="Times New Roman"/>
          <w:color w:val="auto"/>
          <w:spacing w:val="-5"/>
          <w:sz w:val="24"/>
        </w:rPr>
        <w:t xml:space="preserve">）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 </w:t>
      </w:r>
    </w:p>
    <w:p w14:paraId="34055E71">
      <w:pPr>
        <w:spacing w:before="78" w:line="360" w:lineRule="auto"/>
        <w:ind w:left="485"/>
        <w:outlineLvl w:val="3"/>
        <w:rPr>
          <w:rFonts w:eastAsia="Times New Roman"/>
          <w:b/>
          <w:bCs/>
          <w:color w:val="auto"/>
          <w:spacing w:val="-5"/>
          <w:sz w:val="24"/>
        </w:rPr>
      </w:pPr>
      <w:r>
        <w:rPr>
          <w:rFonts w:hint="eastAsia" w:eastAsia="Times New Roman"/>
          <w:b/>
          <w:bCs/>
          <w:color w:val="auto"/>
          <w:spacing w:val="-5"/>
          <w:sz w:val="24"/>
        </w:rPr>
        <w:t>（增加）11.6提前交工的奖金</w:t>
      </w:r>
      <w:r>
        <w:rPr>
          <w:rFonts w:hint="eastAsia" w:eastAsia="Times New Roman"/>
          <w:color w:val="auto"/>
          <w:spacing w:val="-5"/>
          <w:sz w:val="24"/>
          <w:u w:val="single"/>
        </w:rPr>
        <w:t xml:space="preserve">    / </w:t>
      </w:r>
      <w:r>
        <w:rPr>
          <w:rFonts w:hint="eastAsia" w:eastAsia="Times New Roman"/>
          <w:color w:val="auto"/>
          <w:spacing w:val="-5"/>
          <w:sz w:val="24"/>
        </w:rPr>
        <w:t xml:space="preserve"> 元/天。</w:t>
      </w:r>
    </w:p>
    <w:p w14:paraId="2D7D31F7">
      <w:pPr>
        <w:spacing w:before="78" w:line="360" w:lineRule="auto"/>
        <w:ind w:left="485" w:firstLine="1381" w:firstLineChars="600"/>
        <w:outlineLvl w:val="3"/>
        <w:rPr>
          <w:rFonts w:eastAsia="Times New Roman"/>
          <w:b/>
          <w:bCs/>
          <w:color w:val="auto"/>
          <w:spacing w:val="-5"/>
          <w:sz w:val="24"/>
        </w:rPr>
      </w:pPr>
      <w:r>
        <w:rPr>
          <w:rFonts w:hint="eastAsia" w:eastAsia="Times New Roman"/>
          <w:b/>
          <w:bCs/>
          <w:color w:val="auto"/>
          <w:spacing w:val="-5"/>
          <w:sz w:val="24"/>
        </w:rPr>
        <w:t xml:space="preserve">提前交工的奖金限额 </w:t>
      </w:r>
      <w:r>
        <w:rPr>
          <w:rFonts w:hint="eastAsia" w:eastAsia="Times New Roman"/>
          <w:color w:val="auto"/>
          <w:spacing w:val="-5"/>
          <w:sz w:val="24"/>
          <w:u w:val="single"/>
        </w:rPr>
        <w:t xml:space="preserve">  / </w:t>
      </w:r>
      <w:r>
        <w:rPr>
          <w:rFonts w:hint="eastAsia" w:eastAsia="Times New Roman"/>
          <w:color w:val="auto"/>
          <w:spacing w:val="-5"/>
          <w:sz w:val="24"/>
        </w:rPr>
        <w:t xml:space="preserve"> %签约合同价。</w:t>
      </w:r>
    </w:p>
    <w:p w14:paraId="66EB0538">
      <w:pPr>
        <w:spacing w:before="78" w:line="360" w:lineRule="auto"/>
        <w:ind w:left="485"/>
        <w:outlineLvl w:val="3"/>
        <w:rPr>
          <w:rFonts w:eastAsia="Times New Roman"/>
          <w:b/>
          <w:bCs/>
          <w:color w:val="auto"/>
          <w:spacing w:val="-5"/>
          <w:sz w:val="24"/>
        </w:rPr>
      </w:pPr>
      <w:r>
        <w:rPr>
          <w:rFonts w:hint="eastAsia" w:eastAsia="Times New Roman"/>
          <w:b/>
          <w:bCs/>
          <w:color w:val="auto"/>
          <w:spacing w:val="-5"/>
          <w:sz w:val="24"/>
        </w:rPr>
        <w:t xml:space="preserve">（增加）11.7其它进度要求 </w:t>
      </w:r>
    </w:p>
    <w:p w14:paraId="7AFAD0B9">
      <w:pPr>
        <w:spacing w:before="78" w:line="360" w:lineRule="auto"/>
        <w:ind w:left="485"/>
        <w:outlineLvl w:val="3"/>
        <w:rPr>
          <w:rFonts w:eastAsia="Times New Roman"/>
          <w:b/>
          <w:bCs/>
          <w:color w:val="auto"/>
          <w:spacing w:val="-5"/>
          <w:sz w:val="24"/>
        </w:rPr>
      </w:pPr>
      <w:r>
        <w:rPr>
          <w:rFonts w:eastAsia="Times New Roman"/>
          <w:b/>
          <w:bCs/>
          <w:color w:val="auto"/>
          <w:spacing w:val="-5"/>
          <w:sz w:val="24"/>
        </w:rPr>
        <w:t>（</w:t>
      </w:r>
      <w:r>
        <w:rPr>
          <w:rFonts w:hint="eastAsia" w:eastAsia="Times New Roman"/>
          <w:b/>
          <w:bCs/>
          <w:color w:val="auto"/>
          <w:spacing w:val="-5"/>
          <w:sz w:val="24"/>
        </w:rPr>
        <w:t xml:space="preserve">1）承包人应加强工程进度计划管理，努力实现均衡组织施工的目标。 </w:t>
      </w:r>
    </w:p>
    <w:p w14:paraId="5F9BE386">
      <w:pPr>
        <w:spacing w:before="78" w:line="360" w:lineRule="auto"/>
        <w:ind w:left="485"/>
        <w:outlineLvl w:val="3"/>
        <w:rPr>
          <w:rFonts w:eastAsia="Times New Roman"/>
          <w:b/>
          <w:bCs/>
          <w:color w:val="auto"/>
          <w:spacing w:val="-5"/>
          <w:sz w:val="24"/>
        </w:rPr>
      </w:pPr>
      <w:r>
        <w:rPr>
          <w:rFonts w:hint="eastAsia" w:eastAsia="Times New Roman"/>
          <w:color w:val="auto"/>
          <w:spacing w:val="-5"/>
          <w:sz w:val="24"/>
        </w:rPr>
        <w:t>a.施工影响原有道路交通的，应根据施工必须保证交通通畅的特点，科学合理安排施工时间，采取妥当的施工方法，确保不影响道路交通畅通。</w:t>
      </w:r>
    </w:p>
    <w:p w14:paraId="0F7C3E9D">
      <w:pPr>
        <w:spacing w:before="78" w:line="219" w:lineRule="auto"/>
        <w:ind w:left="485"/>
        <w:outlineLvl w:val="3"/>
        <w:rPr>
          <w:rFonts w:ascii="宋体" w:hAnsi="宋体" w:cs="宋体"/>
          <w:color w:val="auto"/>
          <w:sz w:val="24"/>
        </w:rPr>
      </w:pPr>
      <w:r>
        <w:rPr>
          <w:rFonts w:eastAsia="Times New Roman"/>
          <w:b/>
          <w:bCs/>
          <w:color w:val="auto"/>
          <w:spacing w:val="-5"/>
          <w:sz w:val="24"/>
        </w:rPr>
        <w:t>12.</w:t>
      </w:r>
      <w:r>
        <w:rPr>
          <w:rFonts w:ascii="宋体" w:hAnsi="宋体" w:cs="宋体"/>
          <w:b/>
          <w:bCs/>
          <w:color w:val="auto"/>
          <w:spacing w:val="-5"/>
          <w:sz w:val="24"/>
        </w:rPr>
        <w:t>暂停养护作业</w:t>
      </w:r>
    </w:p>
    <w:p w14:paraId="122EFAE6">
      <w:pPr>
        <w:spacing w:before="116" w:line="219" w:lineRule="auto"/>
        <w:ind w:left="485"/>
        <w:outlineLvl w:val="4"/>
        <w:rPr>
          <w:rFonts w:ascii="宋体" w:hAnsi="宋体" w:cs="宋体"/>
          <w:color w:val="auto"/>
          <w:sz w:val="24"/>
        </w:rPr>
      </w:pPr>
      <w:r>
        <w:rPr>
          <w:rFonts w:eastAsia="Times New Roman"/>
          <w:b/>
          <w:bCs/>
          <w:color w:val="auto"/>
          <w:spacing w:val="-3"/>
          <w:sz w:val="24"/>
        </w:rPr>
        <w:t xml:space="preserve">12.1  </w:t>
      </w:r>
      <w:r>
        <w:rPr>
          <w:rFonts w:ascii="宋体" w:hAnsi="宋体" w:cs="宋体"/>
          <w:b/>
          <w:bCs/>
          <w:color w:val="auto"/>
          <w:spacing w:val="-3"/>
          <w:sz w:val="24"/>
        </w:rPr>
        <w:t>承包人暂停养护作业的责任</w:t>
      </w:r>
    </w:p>
    <w:p w14:paraId="28BADA18">
      <w:pPr>
        <w:spacing w:before="125" w:line="219" w:lineRule="auto"/>
        <w:ind w:left="497"/>
        <w:rPr>
          <w:rFonts w:ascii="宋体" w:hAnsi="宋体" w:cs="宋体"/>
          <w:color w:val="auto"/>
          <w:spacing w:val="-1"/>
          <w:sz w:val="24"/>
        </w:rPr>
      </w:pPr>
      <w:r>
        <w:rPr>
          <w:rFonts w:eastAsia="Times New Roman"/>
          <w:color w:val="auto"/>
          <w:spacing w:val="-1"/>
          <w:sz w:val="24"/>
        </w:rPr>
        <w:t xml:space="preserve">12.1 </w:t>
      </w:r>
      <w:r>
        <w:rPr>
          <w:rFonts w:ascii="宋体" w:hAnsi="宋体" w:cs="宋体"/>
          <w:color w:val="auto"/>
          <w:spacing w:val="-1"/>
          <w:sz w:val="24"/>
        </w:rPr>
        <w:t>（</w:t>
      </w:r>
      <w:r>
        <w:rPr>
          <w:rFonts w:eastAsia="Times New Roman"/>
          <w:color w:val="auto"/>
          <w:spacing w:val="-1"/>
          <w:sz w:val="24"/>
        </w:rPr>
        <w:t>6</w:t>
      </w:r>
      <w:r>
        <w:rPr>
          <w:rFonts w:ascii="宋体" w:hAnsi="宋体" w:cs="宋体"/>
          <w:color w:val="auto"/>
          <w:spacing w:val="-1"/>
          <w:sz w:val="24"/>
        </w:rPr>
        <w:t>）由承包人承担的其他暂停养护作业情形：</w:t>
      </w:r>
      <w:r>
        <w:rPr>
          <w:rFonts w:hint="eastAsia" w:ascii="宋体" w:hAnsi="宋体" w:cs="宋体"/>
          <w:color w:val="auto"/>
          <w:spacing w:val="-1"/>
          <w:sz w:val="24"/>
          <w:u w:val="single"/>
        </w:rPr>
        <w:t>因承包人施工质量不合格、施工设备故障、材料供应短缺、安全隐患未及时整改等自身原因导致的养护作业暂停；因承包人人员违规操作被行业主管部门责令停工的；承包人未按合同约定提交作业方案或方案未获批擅自施工，被发包人或咨询人要求暂停作业的；上述情形造成的暂停，承包人应承担全部损失，且工期不予顺延。</w:t>
      </w:r>
    </w:p>
    <w:p w14:paraId="33485B7A">
      <w:pPr>
        <w:spacing w:before="78" w:line="221" w:lineRule="auto"/>
        <w:ind w:left="485"/>
        <w:outlineLvl w:val="3"/>
        <w:rPr>
          <w:rFonts w:ascii="宋体" w:hAnsi="宋体" w:cs="宋体"/>
          <w:color w:val="auto"/>
          <w:sz w:val="24"/>
        </w:rPr>
      </w:pPr>
      <w:bookmarkStart w:id="234" w:name="bookmark95"/>
      <w:bookmarkEnd w:id="234"/>
      <w:bookmarkStart w:id="235" w:name="bookmark96"/>
      <w:bookmarkEnd w:id="235"/>
      <w:r>
        <w:rPr>
          <w:rFonts w:eastAsia="Times New Roman"/>
          <w:b/>
          <w:bCs/>
          <w:color w:val="auto"/>
          <w:spacing w:val="-7"/>
          <w:sz w:val="24"/>
        </w:rPr>
        <w:t>15.</w:t>
      </w:r>
      <w:r>
        <w:rPr>
          <w:rFonts w:ascii="宋体" w:hAnsi="宋体" w:cs="宋体"/>
          <w:b/>
          <w:bCs/>
          <w:color w:val="auto"/>
          <w:spacing w:val="-7"/>
          <w:sz w:val="24"/>
        </w:rPr>
        <w:t>变更</w:t>
      </w:r>
    </w:p>
    <w:p w14:paraId="67C58404">
      <w:pPr>
        <w:spacing w:before="111" w:line="218" w:lineRule="auto"/>
        <w:ind w:left="485"/>
        <w:outlineLvl w:val="4"/>
        <w:rPr>
          <w:rFonts w:ascii="宋体" w:hAnsi="宋体" w:cs="宋体"/>
          <w:color w:val="auto"/>
          <w:sz w:val="24"/>
        </w:rPr>
      </w:pPr>
      <w:r>
        <w:rPr>
          <w:rFonts w:eastAsia="Times New Roman"/>
          <w:b/>
          <w:bCs/>
          <w:color w:val="auto"/>
          <w:spacing w:val="-3"/>
          <w:sz w:val="24"/>
        </w:rPr>
        <w:t xml:space="preserve">15.4  </w:t>
      </w:r>
      <w:r>
        <w:rPr>
          <w:rFonts w:ascii="宋体" w:hAnsi="宋体" w:cs="宋体"/>
          <w:b/>
          <w:bCs/>
          <w:color w:val="auto"/>
          <w:spacing w:val="-3"/>
          <w:sz w:val="24"/>
        </w:rPr>
        <w:t>变更的估价原则</w:t>
      </w:r>
    </w:p>
    <w:p w14:paraId="3159F26F">
      <w:pPr>
        <w:adjustRightInd w:val="0"/>
        <w:spacing w:line="360" w:lineRule="auto"/>
        <w:ind w:firstLine="480" w:firstLineChars="200"/>
        <w:textAlignment w:val="baseline"/>
        <w:rPr>
          <w:rFonts w:ascii="宋体" w:hAnsi="宋体" w:cs="宋体"/>
          <w:color w:val="auto"/>
          <w:sz w:val="24"/>
        </w:rPr>
      </w:pPr>
      <w:r>
        <w:rPr>
          <w:rFonts w:eastAsia="Times New Roman"/>
          <w:color w:val="auto"/>
          <w:sz w:val="24"/>
        </w:rPr>
        <w:t xml:space="preserve">15.4.4  </w:t>
      </w:r>
      <w:r>
        <w:rPr>
          <w:rFonts w:ascii="宋体" w:hAnsi="宋体" w:cs="宋体"/>
          <w:color w:val="auto"/>
          <w:sz w:val="24"/>
        </w:rPr>
        <w:t>变更工作在已标价工程量清单中无适用或类似子目的单价时，确定其单</w:t>
      </w:r>
      <w:r>
        <w:rPr>
          <w:rFonts w:ascii="宋体" w:hAnsi="宋体" w:cs="宋体"/>
          <w:color w:val="auto"/>
          <w:spacing w:val="-1"/>
          <w:sz w:val="24"/>
        </w:rPr>
        <w:t>价遵循的原则为：</w:t>
      </w:r>
      <w:r>
        <w:rPr>
          <w:rFonts w:hint="eastAsia" w:ascii="宋体" w:hAnsi="宋体" w:cs="宋体"/>
          <w:color w:val="auto"/>
          <w:sz w:val="24"/>
          <w:u w:val="single"/>
        </w:rPr>
        <w:t>有定额的套定额，并乘以下浮系数(下浮系数=中标价/招标控制价)计算，无定额可套的，由建设单位、施工单位、咨询单位根据市场行情协商确定价格或造价咨询单位根据市场行情协商确定包含除税金以外所有费用的税前综合价格。以上约定同时适用于招标工程量清单缺项以及工程量清单项目特征与图纸不符时的价款确定</w:t>
      </w:r>
      <w:r>
        <w:rPr>
          <w:rFonts w:hint="eastAsia" w:ascii="宋体" w:hAnsi="宋体" w:cs="宋体"/>
          <w:color w:val="auto"/>
          <w:sz w:val="24"/>
        </w:rPr>
        <w:t>。</w:t>
      </w:r>
    </w:p>
    <w:p w14:paraId="2B2BCD72">
      <w:pPr>
        <w:spacing w:before="1" w:line="217" w:lineRule="auto"/>
        <w:ind w:left="485"/>
        <w:outlineLvl w:val="4"/>
        <w:rPr>
          <w:rFonts w:ascii="宋体" w:hAnsi="宋体" w:cs="宋体"/>
          <w:color w:val="auto"/>
          <w:sz w:val="24"/>
        </w:rPr>
      </w:pPr>
      <w:r>
        <w:rPr>
          <w:rFonts w:eastAsia="Times New Roman"/>
          <w:b/>
          <w:bCs/>
          <w:color w:val="auto"/>
          <w:spacing w:val="-6"/>
          <w:sz w:val="24"/>
        </w:rPr>
        <w:t>15.8</w:t>
      </w:r>
      <w:r>
        <w:rPr>
          <w:rFonts w:ascii="宋体" w:hAnsi="宋体" w:cs="宋体"/>
          <w:b/>
          <w:bCs/>
          <w:color w:val="auto"/>
          <w:spacing w:val="-6"/>
          <w:sz w:val="24"/>
        </w:rPr>
        <w:t>暂估价</w:t>
      </w:r>
    </w:p>
    <w:p w14:paraId="30320AA3">
      <w:pPr>
        <w:spacing w:before="127" w:line="218" w:lineRule="auto"/>
        <w:jc w:val="center"/>
        <w:rPr>
          <w:color w:val="auto"/>
        </w:rPr>
      </w:pPr>
      <w:r>
        <w:rPr>
          <w:rFonts w:ascii="宋体" w:hAnsi="宋体" w:cs="宋体"/>
          <w:color w:val="auto"/>
          <w:spacing w:val="-1"/>
          <w:sz w:val="24"/>
        </w:rPr>
        <w:t>按暂估价确定的工程、材料、工程设备、服务的实施主体为：</w:t>
      </w:r>
      <w:r>
        <w:rPr>
          <w:rFonts w:hint="eastAsia" w:ascii="宋体" w:hAnsi="宋体" w:cs="宋体"/>
          <w:color w:val="auto"/>
          <w:spacing w:val="-2"/>
          <w:sz w:val="24"/>
          <w:u w:val="single"/>
        </w:rPr>
        <w:t>/</w:t>
      </w:r>
      <w:r>
        <w:rPr>
          <w:rFonts w:ascii="宋体" w:hAnsi="宋体" w:cs="宋体"/>
          <w:color w:val="auto"/>
          <w:spacing w:val="-2"/>
          <w:sz w:val="24"/>
        </w:rPr>
        <w:t>。</w:t>
      </w:r>
    </w:p>
    <w:p w14:paraId="5800278A">
      <w:pPr>
        <w:spacing w:before="78" w:line="218" w:lineRule="auto"/>
        <w:ind w:left="485"/>
        <w:outlineLvl w:val="3"/>
        <w:rPr>
          <w:rFonts w:ascii="宋体" w:hAnsi="宋体" w:cs="宋体"/>
          <w:color w:val="auto"/>
          <w:sz w:val="24"/>
        </w:rPr>
      </w:pPr>
      <w:bookmarkStart w:id="236" w:name="bookmark97"/>
      <w:bookmarkEnd w:id="236"/>
      <w:bookmarkStart w:id="237" w:name="bookmark98"/>
      <w:bookmarkEnd w:id="237"/>
      <w:r>
        <w:rPr>
          <w:rFonts w:eastAsia="Times New Roman"/>
          <w:b/>
          <w:bCs/>
          <w:color w:val="auto"/>
          <w:spacing w:val="-5"/>
          <w:sz w:val="24"/>
        </w:rPr>
        <w:t>16.</w:t>
      </w:r>
      <w:r>
        <w:rPr>
          <w:rFonts w:ascii="宋体" w:hAnsi="宋体" w:cs="宋体"/>
          <w:b/>
          <w:bCs/>
          <w:color w:val="auto"/>
          <w:spacing w:val="-5"/>
          <w:sz w:val="24"/>
        </w:rPr>
        <w:t>价格调整</w:t>
      </w:r>
    </w:p>
    <w:p w14:paraId="7F3C2AEB">
      <w:pPr>
        <w:spacing w:before="118" w:line="218" w:lineRule="auto"/>
        <w:ind w:left="485"/>
        <w:outlineLvl w:val="4"/>
        <w:rPr>
          <w:rFonts w:ascii="宋体" w:hAnsi="宋体" w:cs="宋体"/>
          <w:color w:val="auto"/>
          <w:sz w:val="24"/>
        </w:rPr>
      </w:pPr>
      <w:r>
        <w:rPr>
          <w:rFonts w:eastAsia="Times New Roman"/>
          <w:b/>
          <w:bCs/>
          <w:color w:val="auto"/>
          <w:spacing w:val="-2"/>
          <w:sz w:val="24"/>
        </w:rPr>
        <w:t xml:space="preserve">16.1  </w:t>
      </w:r>
      <w:r>
        <w:rPr>
          <w:rFonts w:ascii="宋体" w:hAnsi="宋体" w:cs="宋体"/>
          <w:b/>
          <w:bCs/>
          <w:color w:val="auto"/>
          <w:spacing w:val="-2"/>
          <w:sz w:val="24"/>
        </w:rPr>
        <w:t>物价波动引起的价格调整</w:t>
      </w:r>
    </w:p>
    <w:p w14:paraId="02F048C4">
      <w:pPr>
        <w:keepNext/>
        <w:keepLines/>
        <w:spacing w:before="240" w:after="240" w:line="360" w:lineRule="auto"/>
        <w:ind w:firstLine="480" w:firstLineChars="200"/>
        <w:rPr>
          <w:rFonts w:ascii="宋体" w:hAnsi="宋体" w:cs="宋体"/>
          <w:color w:val="auto"/>
          <w:spacing w:val="-1"/>
          <w:sz w:val="24"/>
        </w:rPr>
      </w:pPr>
      <w:bookmarkStart w:id="238" w:name="bookmark100"/>
      <w:bookmarkEnd w:id="238"/>
      <w:bookmarkStart w:id="239" w:name="bookmark99"/>
      <w:bookmarkEnd w:id="239"/>
      <w:r>
        <w:rPr>
          <w:rFonts w:hint="eastAsia" w:ascii="宋体" w:hAnsi="宋体" w:cs="宋体"/>
          <w:color w:val="auto"/>
          <w:sz w:val="24"/>
          <w:u w:val="single"/>
        </w:rPr>
        <w:t>在合同执行期间（包括工期拖延期间）由于人工、材料和设备价格的上涨而引起工程施工成本增加的风险由承包人自行承担，合同价格不会因此而调整。</w:t>
      </w:r>
    </w:p>
    <w:p w14:paraId="0458A906">
      <w:pPr>
        <w:spacing w:before="78" w:line="219" w:lineRule="auto"/>
        <w:ind w:left="485"/>
        <w:outlineLvl w:val="3"/>
        <w:rPr>
          <w:rFonts w:ascii="宋体" w:hAnsi="宋体" w:cs="宋体"/>
          <w:color w:val="auto"/>
          <w:sz w:val="24"/>
        </w:rPr>
      </w:pPr>
      <w:r>
        <w:rPr>
          <w:rFonts w:eastAsia="Times New Roman"/>
          <w:b/>
          <w:bCs/>
          <w:color w:val="auto"/>
          <w:spacing w:val="-3"/>
          <w:sz w:val="24"/>
        </w:rPr>
        <w:t xml:space="preserve">17.  </w:t>
      </w:r>
      <w:r>
        <w:rPr>
          <w:rFonts w:ascii="宋体" w:hAnsi="宋体" w:cs="宋体"/>
          <w:b/>
          <w:bCs/>
          <w:color w:val="auto"/>
          <w:spacing w:val="-3"/>
          <w:sz w:val="24"/>
        </w:rPr>
        <w:t>计量与支付</w:t>
      </w:r>
    </w:p>
    <w:p w14:paraId="50AA1AD2">
      <w:pPr>
        <w:spacing w:before="113" w:line="221" w:lineRule="auto"/>
        <w:ind w:left="485"/>
        <w:outlineLvl w:val="4"/>
        <w:rPr>
          <w:rFonts w:ascii="宋体" w:hAnsi="宋体" w:cs="宋体"/>
          <w:color w:val="auto"/>
          <w:sz w:val="24"/>
        </w:rPr>
      </w:pPr>
      <w:r>
        <w:rPr>
          <w:rFonts w:eastAsia="Times New Roman"/>
          <w:b/>
          <w:bCs/>
          <w:color w:val="auto"/>
          <w:spacing w:val="-6"/>
          <w:sz w:val="24"/>
        </w:rPr>
        <w:t>17.1</w:t>
      </w:r>
      <w:r>
        <w:rPr>
          <w:rFonts w:ascii="宋体" w:hAnsi="宋体" w:cs="宋体"/>
          <w:b/>
          <w:bCs/>
          <w:color w:val="auto"/>
          <w:spacing w:val="-6"/>
          <w:sz w:val="24"/>
        </w:rPr>
        <w:t>计量</w:t>
      </w:r>
    </w:p>
    <w:p w14:paraId="3BD8014B">
      <w:pPr>
        <w:spacing w:before="123" w:line="220" w:lineRule="auto"/>
        <w:ind w:left="497"/>
        <w:rPr>
          <w:rFonts w:ascii="宋体" w:hAnsi="宋体" w:cs="宋体"/>
          <w:color w:val="auto"/>
          <w:sz w:val="24"/>
        </w:rPr>
      </w:pPr>
      <w:r>
        <w:rPr>
          <w:rFonts w:eastAsia="Times New Roman"/>
          <w:color w:val="auto"/>
          <w:spacing w:val="-3"/>
          <w:sz w:val="24"/>
        </w:rPr>
        <w:t xml:space="preserve">17.1.3  </w:t>
      </w:r>
      <w:r>
        <w:rPr>
          <w:rFonts w:ascii="宋体" w:hAnsi="宋体" w:cs="宋体"/>
          <w:color w:val="auto"/>
          <w:spacing w:val="-3"/>
          <w:sz w:val="24"/>
        </w:rPr>
        <w:t>计量周期</w:t>
      </w:r>
    </w:p>
    <w:p w14:paraId="38A85562">
      <w:pPr>
        <w:spacing w:before="115" w:line="218" w:lineRule="auto"/>
        <w:ind w:left="490"/>
        <w:rPr>
          <w:rFonts w:ascii="宋体" w:hAnsi="宋体" w:cs="宋体"/>
          <w:color w:val="auto"/>
          <w:sz w:val="24"/>
        </w:rPr>
      </w:pPr>
      <w:r>
        <w:rPr>
          <w:rFonts w:ascii="宋体" w:hAnsi="宋体" w:cs="宋体"/>
          <w:color w:val="auto"/>
          <w:spacing w:val="-1"/>
          <w:sz w:val="24"/>
        </w:rPr>
        <w:t>（</w:t>
      </w:r>
      <w:r>
        <w:rPr>
          <w:rFonts w:eastAsia="Times New Roman"/>
          <w:color w:val="auto"/>
          <w:spacing w:val="-1"/>
          <w:sz w:val="24"/>
        </w:rPr>
        <w:t>2</w:t>
      </w:r>
      <w:r>
        <w:rPr>
          <w:rFonts w:ascii="宋体" w:hAnsi="宋体" w:cs="宋体"/>
          <w:color w:val="auto"/>
          <w:spacing w:val="-1"/>
          <w:sz w:val="24"/>
        </w:rPr>
        <w:t>）总价子目的计量周期：</w:t>
      </w:r>
      <w:r>
        <w:rPr>
          <w:rFonts w:hint="eastAsia" w:ascii="宋体" w:hAnsi="宋体" w:cs="宋体"/>
          <w:color w:val="auto"/>
          <w:spacing w:val="-1"/>
          <w:sz w:val="24"/>
          <w:u w:val="single"/>
        </w:rPr>
        <w:t>/</w:t>
      </w:r>
      <w:r>
        <w:rPr>
          <w:rFonts w:ascii="宋体" w:hAnsi="宋体" w:cs="宋体"/>
          <w:color w:val="auto"/>
          <w:spacing w:val="-1"/>
          <w:sz w:val="24"/>
        </w:rPr>
        <w:t>。</w:t>
      </w:r>
    </w:p>
    <w:p w14:paraId="61411529">
      <w:pPr>
        <w:spacing w:before="117" w:line="218" w:lineRule="auto"/>
        <w:ind w:left="497"/>
        <w:rPr>
          <w:rFonts w:ascii="宋体" w:hAnsi="宋体" w:cs="宋体"/>
          <w:color w:val="auto"/>
          <w:sz w:val="24"/>
        </w:rPr>
      </w:pPr>
      <w:r>
        <w:rPr>
          <w:rFonts w:eastAsia="Times New Roman"/>
          <w:color w:val="auto"/>
          <w:spacing w:val="-2"/>
          <w:sz w:val="24"/>
        </w:rPr>
        <w:t xml:space="preserve">17.1.5  </w:t>
      </w:r>
      <w:r>
        <w:rPr>
          <w:rFonts w:ascii="宋体" w:hAnsi="宋体" w:cs="宋体"/>
          <w:color w:val="auto"/>
          <w:spacing w:val="-2"/>
          <w:sz w:val="24"/>
        </w:rPr>
        <w:t>总价子目的计量</w:t>
      </w:r>
    </w:p>
    <w:p w14:paraId="386D81CC">
      <w:pPr>
        <w:spacing w:before="115" w:line="218" w:lineRule="auto"/>
        <w:ind w:left="480"/>
        <w:rPr>
          <w:rFonts w:ascii="宋体" w:hAnsi="宋体" w:cs="宋体"/>
          <w:color w:val="auto"/>
          <w:sz w:val="24"/>
        </w:rPr>
      </w:pPr>
      <w:r>
        <w:rPr>
          <w:rFonts w:ascii="宋体" w:hAnsi="宋体" w:cs="宋体"/>
          <w:color w:val="auto"/>
          <w:spacing w:val="-2"/>
          <w:sz w:val="24"/>
        </w:rPr>
        <w:t>（</w:t>
      </w:r>
      <w:r>
        <w:rPr>
          <w:rFonts w:eastAsia="Times New Roman"/>
          <w:color w:val="auto"/>
          <w:spacing w:val="-2"/>
          <w:sz w:val="24"/>
        </w:rPr>
        <w:t>2</w:t>
      </w:r>
      <w:r>
        <w:rPr>
          <w:rFonts w:ascii="宋体" w:hAnsi="宋体" w:cs="宋体"/>
          <w:color w:val="auto"/>
          <w:spacing w:val="-2"/>
          <w:sz w:val="24"/>
        </w:rPr>
        <w:t>）合同总价支付分解表为：</w:t>
      </w:r>
      <w:r>
        <w:rPr>
          <w:rFonts w:hint="eastAsia" w:ascii="宋体" w:hAnsi="宋体" w:cs="宋体"/>
          <w:color w:val="auto"/>
          <w:spacing w:val="-2"/>
          <w:sz w:val="24"/>
          <w:u w:val="single"/>
        </w:rPr>
        <w:t>/</w:t>
      </w:r>
      <w:r>
        <w:rPr>
          <w:rFonts w:ascii="宋体" w:hAnsi="宋体" w:cs="宋体"/>
          <w:color w:val="auto"/>
          <w:spacing w:val="-2"/>
          <w:sz w:val="24"/>
        </w:rPr>
        <w:t>。</w:t>
      </w:r>
    </w:p>
    <w:p w14:paraId="3E288E7C">
      <w:pPr>
        <w:spacing w:before="115" w:line="360" w:lineRule="auto"/>
        <w:ind w:firstLine="413" w:firstLineChars="175"/>
        <w:rPr>
          <w:rFonts w:ascii="宋体" w:hAnsi="宋体" w:cs="宋体"/>
          <w:color w:val="auto"/>
          <w:spacing w:val="-2"/>
          <w:sz w:val="24"/>
        </w:rPr>
      </w:pPr>
      <w:r>
        <w:rPr>
          <w:rFonts w:ascii="宋体" w:hAnsi="宋体" w:cs="宋体"/>
          <w:color w:val="auto"/>
          <w:spacing w:val="-2"/>
          <w:sz w:val="24"/>
        </w:rPr>
        <w:t>（</w:t>
      </w:r>
      <w:r>
        <w:rPr>
          <w:rFonts w:eastAsia="Times New Roman"/>
          <w:color w:val="auto"/>
          <w:spacing w:val="-2"/>
          <w:sz w:val="24"/>
        </w:rPr>
        <w:t>5</w:t>
      </w:r>
      <w:r>
        <w:rPr>
          <w:rFonts w:ascii="宋体" w:hAnsi="宋体" w:cs="宋体"/>
          <w:color w:val="auto"/>
          <w:spacing w:val="-2"/>
          <w:sz w:val="24"/>
        </w:rPr>
        <w:t>）总价子目的支付原则和支付进度为：</w:t>
      </w:r>
    </w:p>
    <w:p w14:paraId="6ADDA8D2">
      <w:pPr>
        <w:spacing w:before="115" w:line="360" w:lineRule="auto"/>
        <w:ind w:firstLine="420" w:firstLineChars="175"/>
        <w:rPr>
          <w:rFonts w:ascii="宋体" w:hAnsi="宋体" w:cs="宋体"/>
          <w:color w:val="auto"/>
          <w:sz w:val="24"/>
          <w:u w:val="single"/>
        </w:rPr>
      </w:pPr>
      <w:r>
        <w:rPr>
          <w:rFonts w:hint="eastAsia" w:ascii="宋体" w:hAnsi="宋体" w:cs="宋体"/>
          <w:color w:val="auto"/>
          <w:sz w:val="24"/>
          <w:u w:val="single"/>
        </w:rPr>
        <w:t>(1)安全生产责任险的保险费在安全生产费中计取。承包人必须按采购文件的要求足额购买并向发包人提供保单，发包人按照保险单的费用从安全生产费中计列支付。</w:t>
      </w:r>
    </w:p>
    <w:p w14:paraId="05243C70">
      <w:pPr>
        <w:tabs>
          <w:tab w:val="left" w:leader="underscore" w:pos="6751"/>
        </w:tabs>
        <w:spacing w:line="360" w:lineRule="auto"/>
        <w:ind w:firstLine="480" w:firstLineChars="200"/>
        <w:jc w:val="left"/>
        <w:rPr>
          <w:rFonts w:ascii="宋体" w:hAnsi="宋体" w:cs="宋体"/>
          <w:color w:val="auto"/>
          <w:sz w:val="24"/>
          <w:u w:val="single"/>
        </w:rPr>
      </w:pPr>
      <w:r>
        <w:rPr>
          <w:rFonts w:hint="eastAsia" w:ascii="宋体" w:hAnsi="宋体" w:cs="宋体"/>
          <w:color w:val="auto"/>
          <w:sz w:val="24"/>
          <w:u w:val="single"/>
        </w:rPr>
        <w:t>(2)安全生产费（除安全生产责任险外）：开工通知后支付总额的50%；在承包人的施工进度计划和施工方案说明被咨询人（监理人）批复后支付总额的25%；按规范要求及咨询人（监理人）的指示落实安全生产措施后支付剩余的25%。</w:t>
      </w:r>
    </w:p>
    <w:p w14:paraId="36AB9F8E">
      <w:pPr>
        <w:spacing w:line="360" w:lineRule="auto"/>
        <w:ind w:firstLine="480" w:firstLineChars="200"/>
        <w:rPr>
          <w:rFonts w:ascii="宋体" w:hAnsi="宋体" w:cs="宋体"/>
          <w:color w:val="auto"/>
          <w:kern w:val="0"/>
          <w:sz w:val="24"/>
          <w:u w:val="single"/>
          <w:lang w:val="zh-CN"/>
        </w:rPr>
      </w:pPr>
      <w:r>
        <w:rPr>
          <w:rFonts w:hint="eastAsia" w:ascii="宋体" w:hAnsi="宋体" w:cs="宋体"/>
          <w:color w:val="auto"/>
          <w:kern w:val="0"/>
          <w:sz w:val="24"/>
          <w:u w:val="single"/>
          <w:lang w:val="zh-CN"/>
        </w:rPr>
        <w:t>（</w:t>
      </w:r>
      <w:r>
        <w:rPr>
          <w:rFonts w:hint="eastAsia" w:ascii="宋体" w:hAnsi="宋体" w:cs="宋体"/>
          <w:color w:val="auto"/>
          <w:kern w:val="0"/>
          <w:sz w:val="24"/>
          <w:u w:val="single"/>
        </w:rPr>
        <w:t>3</w:t>
      </w:r>
      <w:r>
        <w:rPr>
          <w:rFonts w:hint="eastAsia" w:ascii="宋体" w:hAnsi="宋体" w:cs="宋体"/>
          <w:color w:val="auto"/>
          <w:kern w:val="0"/>
          <w:sz w:val="24"/>
          <w:u w:val="single"/>
          <w:lang w:val="zh-CN"/>
        </w:rPr>
        <w:t>）承包人驻地建设：所报总价的90％在第l次进度付款证书中支付，余下的10％，在承包人驻地建设已经移走和清除，并经验收合格时予以支付。</w:t>
      </w:r>
    </w:p>
    <w:p w14:paraId="402E1049">
      <w:pPr>
        <w:spacing w:line="360" w:lineRule="auto"/>
        <w:ind w:firstLine="480" w:firstLineChars="200"/>
        <w:rPr>
          <w:color w:val="auto"/>
        </w:rPr>
      </w:pPr>
      <w:r>
        <w:rPr>
          <w:rFonts w:hint="eastAsia" w:ascii="宋体" w:hAnsi="宋体" w:cs="宋体"/>
          <w:color w:val="auto"/>
          <w:sz w:val="24"/>
          <w:u w:val="single"/>
        </w:rPr>
        <w:t>(4）各合同段工程量清单第100章总则部分，除所列子目单独计量外，其他未列入本次招标工程量清单的子目费用均包含在工程量清单相关子目单价或价格中，发包人不另单独计量支付</w:t>
      </w:r>
      <w:r>
        <w:rPr>
          <w:rFonts w:hint="eastAsia" w:ascii="宋体" w:hAnsi="宋体" w:cs="宋体"/>
          <w:color w:val="auto"/>
          <w:sz w:val="24"/>
        </w:rPr>
        <w:t>。</w:t>
      </w:r>
    </w:p>
    <w:p w14:paraId="3893C31B">
      <w:pPr>
        <w:spacing w:before="78" w:line="360" w:lineRule="auto"/>
        <w:ind w:left="485"/>
        <w:outlineLvl w:val="4"/>
        <w:rPr>
          <w:rFonts w:eastAsia="Times New Roman"/>
          <w:color w:val="auto"/>
          <w:spacing w:val="-3"/>
          <w:sz w:val="24"/>
          <w:lang w:val="zh-CN"/>
        </w:rPr>
      </w:pPr>
      <w:r>
        <w:rPr>
          <w:rFonts w:hint="eastAsia" w:eastAsia="Times New Roman"/>
          <w:color w:val="auto"/>
          <w:spacing w:val="-3"/>
          <w:sz w:val="24"/>
          <w:lang w:val="zh-CN"/>
        </w:rPr>
        <w:t>(增加)17.1.6本项目</w:t>
      </w:r>
      <w:r>
        <w:rPr>
          <w:rFonts w:hint="eastAsia" w:eastAsia="Times New Roman"/>
          <w:color w:val="auto"/>
          <w:spacing w:val="-3"/>
          <w:sz w:val="24"/>
        </w:rPr>
        <w:t>精细化养护工程</w:t>
      </w:r>
      <w:r>
        <w:rPr>
          <w:rFonts w:hint="eastAsia" w:eastAsia="Times New Roman"/>
          <w:color w:val="auto"/>
          <w:spacing w:val="-3"/>
          <w:sz w:val="24"/>
          <w:lang w:val="zh-CN"/>
        </w:rPr>
        <w:t>路段的</w:t>
      </w:r>
      <w:r>
        <w:rPr>
          <w:rFonts w:hint="eastAsia" w:eastAsia="Times New Roman"/>
          <w:color w:val="auto"/>
          <w:spacing w:val="-3"/>
          <w:sz w:val="24"/>
        </w:rPr>
        <w:t>环境保护</w:t>
      </w:r>
      <w:r>
        <w:rPr>
          <w:rFonts w:hint="eastAsia" w:eastAsia="Times New Roman"/>
          <w:color w:val="auto"/>
          <w:spacing w:val="-3"/>
          <w:sz w:val="24"/>
          <w:lang w:val="zh-CN"/>
        </w:rPr>
        <w:t>等工作的费用均含在工程量清单中有标价的单价和总额价中，不再另行计量。</w:t>
      </w:r>
    </w:p>
    <w:p w14:paraId="7B37CD0B">
      <w:pPr>
        <w:spacing w:before="79" w:line="219" w:lineRule="auto"/>
        <w:ind w:left="485"/>
        <w:outlineLvl w:val="2"/>
        <w:rPr>
          <w:rFonts w:eastAsia="Times New Roman"/>
          <w:b/>
          <w:bCs/>
          <w:color w:val="auto"/>
          <w:spacing w:val="-3"/>
          <w:sz w:val="24"/>
        </w:rPr>
      </w:pPr>
      <w:r>
        <w:rPr>
          <w:rFonts w:hint="eastAsia" w:eastAsia="Times New Roman"/>
          <w:b/>
          <w:bCs/>
          <w:color w:val="auto"/>
          <w:spacing w:val="-3"/>
          <w:sz w:val="24"/>
        </w:rPr>
        <w:t>17.2预付款</w:t>
      </w:r>
    </w:p>
    <w:p w14:paraId="5B7EFC42">
      <w:pPr>
        <w:spacing w:before="124" w:line="219" w:lineRule="auto"/>
        <w:ind w:left="499"/>
        <w:rPr>
          <w:rFonts w:ascii="宋体" w:hAnsi="宋体" w:cs="宋体"/>
          <w:color w:val="auto"/>
          <w:sz w:val="24"/>
        </w:rPr>
      </w:pPr>
      <w:r>
        <w:rPr>
          <w:rFonts w:hint="eastAsia" w:ascii="宋体" w:hAnsi="宋体" w:cs="宋体"/>
          <w:color w:val="auto"/>
          <w:spacing w:val="-5"/>
          <w:sz w:val="24"/>
        </w:rPr>
        <w:t>17.2.1预付款</w:t>
      </w:r>
    </w:p>
    <w:p w14:paraId="2D75C6A8">
      <w:pPr>
        <w:spacing w:before="116" w:line="307" w:lineRule="auto"/>
        <w:ind w:firstLine="482"/>
        <w:rPr>
          <w:rFonts w:ascii="宋体" w:hAnsi="宋体" w:cs="宋体"/>
          <w:color w:val="auto"/>
          <w:sz w:val="24"/>
        </w:rPr>
      </w:pPr>
      <w:r>
        <w:rPr>
          <w:rFonts w:hint="eastAsia" w:ascii="宋体" w:hAnsi="宋体" w:cs="宋体"/>
          <w:color w:val="auto"/>
          <w:spacing w:val="1"/>
          <w:sz w:val="24"/>
        </w:rPr>
        <w:t>预付款用于承包人为合同实施购置材料、设备、修建</w:t>
      </w:r>
      <w:r>
        <w:rPr>
          <w:rFonts w:hint="eastAsia" w:ascii="宋体" w:hAnsi="宋体" w:cs="宋体"/>
          <w:color w:val="auto"/>
          <w:sz w:val="24"/>
        </w:rPr>
        <w:t>临时设施以及组织养护队</w:t>
      </w:r>
      <w:r>
        <w:rPr>
          <w:rFonts w:hint="eastAsia" w:ascii="宋体" w:hAnsi="宋体" w:cs="宋体"/>
          <w:color w:val="auto"/>
          <w:spacing w:val="-2"/>
          <w:sz w:val="24"/>
        </w:rPr>
        <w:t>伍进场等。</w:t>
      </w:r>
    </w:p>
    <w:p w14:paraId="07A85D34">
      <w:pPr>
        <w:spacing w:before="1" w:line="218" w:lineRule="auto"/>
        <w:ind w:left="482"/>
        <w:rPr>
          <w:rFonts w:ascii="宋体" w:hAnsi="宋体" w:cs="宋体"/>
          <w:color w:val="auto"/>
          <w:sz w:val="24"/>
        </w:rPr>
      </w:pPr>
      <w:r>
        <w:rPr>
          <w:rFonts w:hint="eastAsia" w:ascii="宋体" w:hAnsi="宋体" w:cs="宋体"/>
          <w:color w:val="auto"/>
          <w:sz w:val="24"/>
        </w:rPr>
        <w:t>预付款包括开工预付款和材料、设备预付款</w:t>
      </w:r>
      <w:r>
        <w:rPr>
          <w:rFonts w:hint="eastAsia" w:ascii="宋体" w:hAnsi="宋体" w:cs="宋体"/>
          <w:color w:val="auto"/>
          <w:spacing w:val="-1"/>
          <w:sz w:val="24"/>
        </w:rPr>
        <w:t>。具体额度和预付办法如下：</w:t>
      </w:r>
    </w:p>
    <w:p w14:paraId="76F77484">
      <w:pPr>
        <w:spacing w:before="115" w:line="308" w:lineRule="auto"/>
        <w:ind w:firstLine="491"/>
        <w:rPr>
          <w:rFonts w:ascii="宋体" w:hAnsi="宋体" w:cs="宋体"/>
          <w:color w:val="auto"/>
          <w:spacing w:val="-2"/>
          <w:sz w:val="24"/>
        </w:rPr>
      </w:pPr>
      <w:r>
        <w:rPr>
          <w:rFonts w:hint="eastAsia" w:ascii="宋体" w:hAnsi="宋体" w:cs="宋体"/>
          <w:color w:val="auto"/>
          <w:spacing w:val="4"/>
          <w:sz w:val="24"/>
        </w:rPr>
        <w:t>（1）开工预付款的金额在专用合同条款中约定。在承包人签订了合同协</w:t>
      </w:r>
      <w:r>
        <w:rPr>
          <w:rFonts w:hint="eastAsia" w:ascii="宋体" w:hAnsi="宋体" w:cs="宋体"/>
          <w:color w:val="auto"/>
          <w:spacing w:val="3"/>
          <w:sz w:val="24"/>
        </w:rPr>
        <w:t>议书</w:t>
      </w:r>
      <w:r>
        <w:rPr>
          <w:rFonts w:hint="eastAsia" w:ascii="宋体" w:hAnsi="宋体" w:cs="宋体"/>
          <w:color w:val="auto"/>
          <w:spacing w:val="1"/>
          <w:sz w:val="24"/>
        </w:rPr>
        <w:t>且承包人承诺的主要人员、设备进场后，咨询人应在当期</w:t>
      </w:r>
      <w:r>
        <w:rPr>
          <w:rFonts w:hint="eastAsia" w:ascii="宋体" w:hAnsi="宋体" w:cs="宋体"/>
          <w:color w:val="auto"/>
          <w:sz w:val="24"/>
        </w:rPr>
        <w:t>进度付款证书中向承包人</w:t>
      </w:r>
      <w:r>
        <w:rPr>
          <w:rFonts w:hint="eastAsia" w:ascii="宋体" w:hAnsi="宋体" w:cs="宋体"/>
          <w:color w:val="auto"/>
          <w:spacing w:val="-2"/>
          <w:sz w:val="24"/>
        </w:rPr>
        <w:t>支付开工预付款。</w:t>
      </w:r>
    </w:p>
    <w:p w14:paraId="4DFF8102">
      <w:pPr>
        <w:spacing w:before="115" w:line="308" w:lineRule="auto"/>
        <w:ind w:firstLine="491"/>
        <w:rPr>
          <w:rFonts w:ascii="宋体" w:hAnsi="宋体" w:cs="宋体"/>
          <w:color w:val="auto"/>
          <w:sz w:val="24"/>
        </w:rPr>
      </w:pPr>
      <w:r>
        <w:rPr>
          <w:rFonts w:hint="eastAsia" w:ascii="宋体" w:hAnsi="宋体" w:cs="宋体"/>
          <w:color w:val="auto"/>
          <w:spacing w:val="1"/>
          <w:sz w:val="24"/>
        </w:rPr>
        <w:t>承包人不得将该预付款用于与养护项目无关的支出，发包</w:t>
      </w:r>
      <w:r>
        <w:rPr>
          <w:rFonts w:hint="eastAsia" w:ascii="宋体" w:hAnsi="宋体" w:cs="宋体"/>
          <w:color w:val="auto"/>
          <w:sz w:val="24"/>
        </w:rPr>
        <w:t>人、咨询人有权监督</w:t>
      </w:r>
      <w:r>
        <w:rPr>
          <w:rFonts w:hint="eastAsia" w:ascii="宋体" w:hAnsi="宋体" w:cs="宋体"/>
          <w:color w:val="auto"/>
          <w:spacing w:val="1"/>
          <w:sz w:val="24"/>
        </w:rPr>
        <w:t>承包人对该项费用的使用，如经查实承包人滥用开工预付</w:t>
      </w:r>
      <w:r>
        <w:rPr>
          <w:rFonts w:hint="eastAsia" w:ascii="宋体" w:hAnsi="宋体" w:cs="宋体"/>
          <w:color w:val="auto"/>
          <w:sz w:val="24"/>
        </w:rPr>
        <w:t>款，发包人有权立即索赔</w:t>
      </w:r>
      <w:r>
        <w:rPr>
          <w:rFonts w:hint="eastAsia" w:ascii="宋体" w:hAnsi="宋体" w:cs="宋体"/>
          <w:color w:val="auto"/>
          <w:spacing w:val="-2"/>
          <w:sz w:val="24"/>
        </w:rPr>
        <w:t>履约保证金，并解除合同。</w:t>
      </w:r>
    </w:p>
    <w:p w14:paraId="50480D17">
      <w:pPr>
        <w:spacing w:before="2" w:line="307" w:lineRule="auto"/>
        <w:ind w:left="10" w:right="145" w:firstLine="483"/>
        <w:rPr>
          <w:rFonts w:ascii="宋体" w:hAnsi="宋体" w:cs="宋体"/>
          <w:color w:val="auto"/>
          <w:sz w:val="24"/>
        </w:rPr>
      </w:pPr>
      <w:r>
        <w:rPr>
          <w:rFonts w:hint="eastAsia" w:ascii="宋体" w:hAnsi="宋体" w:cs="宋体"/>
          <w:color w:val="auto"/>
          <w:spacing w:val="4"/>
          <w:sz w:val="24"/>
        </w:rPr>
        <w:t>（2）材料、设备预付款按专用合同条款中所列主要材料、设备单据费用</w:t>
      </w:r>
      <w:r>
        <w:rPr>
          <w:rFonts w:hint="eastAsia" w:ascii="宋体" w:hAnsi="宋体" w:cs="宋体"/>
          <w:color w:val="auto"/>
          <w:spacing w:val="3"/>
          <w:sz w:val="24"/>
        </w:rPr>
        <w:t>（进</w:t>
      </w:r>
      <w:r>
        <w:rPr>
          <w:rFonts w:hint="eastAsia" w:ascii="宋体" w:hAnsi="宋体" w:cs="宋体"/>
          <w:color w:val="auto"/>
          <w:sz w:val="24"/>
        </w:rPr>
        <w:t>口的材料、设备为到岸价，国内采购的为出厂价或销售价，地方材料为堆场价）的</w:t>
      </w:r>
      <w:r>
        <w:rPr>
          <w:rFonts w:hint="eastAsia" w:ascii="宋体" w:hAnsi="宋体" w:cs="宋体"/>
          <w:color w:val="auto"/>
          <w:spacing w:val="-2"/>
          <w:sz w:val="24"/>
        </w:rPr>
        <w:t>百分比支付。其预付条件为：</w:t>
      </w:r>
    </w:p>
    <w:p w14:paraId="2AF09EF2">
      <w:pPr>
        <w:spacing w:line="218" w:lineRule="auto"/>
        <w:ind w:left="481"/>
        <w:rPr>
          <w:rFonts w:ascii="宋体" w:hAnsi="宋体" w:cs="宋体"/>
          <w:color w:val="auto"/>
          <w:sz w:val="24"/>
        </w:rPr>
      </w:pPr>
      <w:r>
        <w:rPr>
          <w:rFonts w:hint="eastAsia" w:ascii="宋体" w:hAnsi="宋体" w:cs="宋体"/>
          <w:color w:val="auto"/>
          <w:spacing w:val="-1"/>
          <w:sz w:val="24"/>
        </w:rPr>
        <w:t>a.  材料、设备符合规范要求并经咨询人认可；</w:t>
      </w:r>
    </w:p>
    <w:p w14:paraId="7096CA16">
      <w:pPr>
        <w:spacing w:before="116" w:line="219" w:lineRule="auto"/>
        <w:ind w:left="472"/>
        <w:rPr>
          <w:rFonts w:ascii="宋体" w:hAnsi="宋体" w:cs="宋体"/>
          <w:color w:val="auto"/>
          <w:sz w:val="24"/>
        </w:rPr>
      </w:pPr>
      <w:r>
        <w:rPr>
          <w:rFonts w:hint="eastAsia" w:ascii="宋体" w:hAnsi="宋体" w:cs="宋体"/>
          <w:color w:val="auto"/>
          <w:sz w:val="24"/>
        </w:rPr>
        <w:t>b.  承包人已出具材料、设备费用凭证或支付单据；</w:t>
      </w:r>
    </w:p>
    <w:p w14:paraId="506DCF87">
      <w:pPr>
        <w:spacing w:before="116" w:line="263" w:lineRule="auto"/>
        <w:ind w:left="2" w:right="148" w:firstLine="477"/>
        <w:rPr>
          <w:rFonts w:ascii="宋体" w:hAnsi="宋体" w:cs="宋体"/>
          <w:color w:val="auto"/>
          <w:sz w:val="24"/>
        </w:rPr>
      </w:pPr>
      <w:r>
        <w:rPr>
          <w:rFonts w:hint="eastAsia" w:ascii="宋体" w:hAnsi="宋体" w:cs="宋体"/>
          <w:color w:val="auto"/>
          <w:spacing w:val="6"/>
          <w:sz w:val="24"/>
        </w:rPr>
        <w:t>c.  材料、设备已在现场交货，且存储良好，咨询人认为材料、设备的存储方</w:t>
      </w:r>
      <w:r>
        <w:rPr>
          <w:rFonts w:hint="eastAsia" w:ascii="宋体" w:hAnsi="宋体" w:cs="宋体"/>
          <w:color w:val="auto"/>
          <w:spacing w:val="-2"/>
          <w:sz w:val="24"/>
        </w:rPr>
        <w:t>法符合要求。</w:t>
      </w:r>
    </w:p>
    <w:p w14:paraId="5157DEA1">
      <w:pPr>
        <w:spacing w:before="117" w:line="307" w:lineRule="auto"/>
        <w:ind w:right="185" w:firstLine="485"/>
        <w:rPr>
          <w:rFonts w:ascii="宋体" w:hAnsi="宋体" w:cs="宋体"/>
          <w:color w:val="auto"/>
          <w:sz w:val="24"/>
        </w:rPr>
      </w:pPr>
      <w:r>
        <w:rPr>
          <w:rFonts w:hint="eastAsia" w:ascii="宋体" w:hAnsi="宋体" w:cs="宋体"/>
          <w:color w:val="auto"/>
          <w:spacing w:val="-1"/>
          <w:sz w:val="24"/>
        </w:rPr>
        <w:t>则咨询人应将此项金额作为材料、设备预付款计入下一次的进度付款证书中。在预计交工前3 个月，将不再支付材料、设备预付款。</w:t>
      </w:r>
    </w:p>
    <w:p w14:paraId="6008C270">
      <w:pPr>
        <w:spacing w:line="219" w:lineRule="auto"/>
        <w:ind w:left="500"/>
        <w:rPr>
          <w:rFonts w:ascii="宋体" w:hAnsi="宋体" w:cs="宋体"/>
          <w:color w:val="auto"/>
          <w:sz w:val="24"/>
        </w:rPr>
      </w:pPr>
      <w:r>
        <w:rPr>
          <w:rFonts w:hint="eastAsia" w:ascii="宋体" w:hAnsi="宋体" w:cs="宋体"/>
          <w:color w:val="auto"/>
          <w:spacing w:val="-3"/>
          <w:sz w:val="24"/>
        </w:rPr>
        <w:t>17.2.2  预付款的使用</w:t>
      </w:r>
    </w:p>
    <w:p w14:paraId="00589A98">
      <w:pPr>
        <w:spacing w:before="117" w:line="307" w:lineRule="auto"/>
        <w:ind w:left="6" w:right="147" w:firstLine="479"/>
        <w:rPr>
          <w:rFonts w:ascii="宋体" w:hAnsi="宋体" w:cs="宋体"/>
          <w:color w:val="auto"/>
          <w:sz w:val="24"/>
        </w:rPr>
      </w:pPr>
      <w:r>
        <w:rPr>
          <w:rFonts w:hint="eastAsia" w:ascii="宋体" w:hAnsi="宋体" w:cs="宋体"/>
          <w:color w:val="auto"/>
          <w:sz w:val="24"/>
        </w:rPr>
        <w:t>发包人向承包人支付的预付款，应按照本合同第17.2.</w:t>
      </w:r>
      <w:r>
        <w:rPr>
          <w:rFonts w:hint="eastAsia" w:ascii="宋体" w:hAnsi="宋体" w:cs="宋体"/>
          <w:color w:val="auto"/>
          <w:spacing w:val="-1"/>
          <w:sz w:val="24"/>
        </w:rPr>
        <w:t>1 项约定使用，承包人提交的履约保证金对预付款的正常使用承担保证责任。</w:t>
      </w:r>
    </w:p>
    <w:p w14:paraId="5D2FACC9">
      <w:pPr>
        <w:spacing w:before="1" w:line="219" w:lineRule="auto"/>
        <w:ind w:left="500"/>
        <w:rPr>
          <w:rFonts w:ascii="宋体" w:hAnsi="宋体" w:cs="宋体"/>
          <w:color w:val="auto"/>
          <w:sz w:val="24"/>
        </w:rPr>
      </w:pPr>
      <w:r>
        <w:rPr>
          <w:rFonts w:hint="eastAsia" w:ascii="宋体" w:hAnsi="宋体" w:cs="宋体"/>
          <w:color w:val="auto"/>
          <w:spacing w:val="-2"/>
          <w:sz w:val="24"/>
        </w:rPr>
        <w:t>17.2.3  预付款的扣回与还清</w:t>
      </w:r>
    </w:p>
    <w:p w14:paraId="5EC026DF">
      <w:pPr>
        <w:spacing w:before="116" w:line="285" w:lineRule="auto"/>
        <w:ind w:left="2" w:right="145" w:firstLine="490"/>
        <w:rPr>
          <w:rFonts w:ascii="宋体" w:hAnsi="宋体" w:cs="宋体"/>
          <w:color w:val="auto"/>
          <w:sz w:val="24"/>
        </w:rPr>
      </w:pPr>
      <w:r>
        <w:rPr>
          <w:rFonts w:hint="eastAsia" w:ascii="宋体" w:hAnsi="宋体" w:cs="宋体"/>
          <w:color w:val="auto"/>
          <w:spacing w:val="3"/>
          <w:sz w:val="24"/>
        </w:rPr>
        <w:t>（1）开工预付款在进度付款证书的累计金额未达到签约合同价的</w:t>
      </w:r>
      <w:r>
        <w:rPr>
          <w:rFonts w:hint="eastAsia" w:ascii="宋体" w:hAnsi="宋体" w:cs="宋体"/>
          <w:color w:val="auto"/>
          <w:spacing w:val="2"/>
          <w:sz w:val="24"/>
        </w:rPr>
        <w:t>30%之前不</w:t>
      </w:r>
      <w:r>
        <w:rPr>
          <w:rFonts w:hint="eastAsia" w:ascii="宋体" w:hAnsi="宋体" w:cs="宋体"/>
          <w:color w:val="auto"/>
          <w:sz w:val="24"/>
        </w:rPr>
        <w:t>予扣回，在达到签约合同价30%之后，开始按工程进度以固定比</w:t>
      </w:r>
      <w:r>
        <w:rPr>
          <w:rFonts w:hint="eastAsia" w:ascii="宋体" w:hAnsi="宋体" w:cs="宋体"/>
          <w:color w:val="auto"/>
          <w:spacing w:val="-1"/>
          <w:sz w:val="24"/>
        </w:rPr>
        <w:t>例（即每完成签约</w:t>
      </w:r>
      <w:r>
        <w:rPr>
          <w:rFonts w:hint="eastAsia" w:ascii="宋体" w:hAnsi="宋体" w:cs="宋体"/>
          <w:color w:val="auto"/>
          <w:spacing w:val="4"/>
          <w:sz w:val="24"/>
        </w:rPr>
        <w:t>合同价的1%，扣回开工预付款的2%）分期从各月的进度付款证书中</w:t>
      </w:r>
      <w:r>
        <w:rPr>
          <w:rFonts w:hint="eastAsia" w:ascii="宋体" w:hAnsi="宋体" w:cs="宋体"/>
          <w:color w:val="auto"/>
          <w:spacing w:val="3"/>
          <w:sz w:val="24"/>
        </w:rPr>
        <w:t>扣回，全部</w:t>
      </w:r>
      <w:r>
        <w:rPr>
          <w:rFonts w:hint="eastAsia" w:ascii="宋体" w:hAnsi="宋体" w:cs="宋体"/>
          <w:color w:val="auto"/>
          <w:spacing w:val="-1"/>
          <w:sz w:val="24"/>
        </w:rPr>
        <w:t>金额在进度付款证书的累计金额达到签约合同价的80%时扣完。</w:t>
      </w:r>
    </w:p>
    <w:p w14:paraId="17183DC2">
      <w:pPr>
        <w:spacing w:before="118" w:line="278" w:lineRule="auto"/>
        <w:ind w:right="145" w:firstLine="493"/>
        <w:rPr>
          <w:rFonts w:ascii="宋体" w:hAnsi="宋体" w:cs="宋体"/>
          <w:color w:val="auto"/>
          <w:sz w:val="24"/>
        </w:rPr>
      </w:pPr>
      <w:r>
        <w:rPr>
          <w:rFonts w:hint="eastAsia" w:ascii="宋体" w:hAnsi="宋体" w:cs="宋体"/>
          <w:color w:val="auto"/>
          <w:spacing w:val="4"/>
          <w:sz w:val="24"/>
        </w:rPr>
        <w:t>（2）当材料、设备已用于或安装在养护工程之中时，材料、设备预付款</w:t>
      </w:r>
      <w:r>
        <w:rPr>
          <w:rFonts w:hint="eastAsia" w:ascii="宋体" w:hAnsi="宋体" w:cs="宋体"/>
          <w:color w:val="auto"/>
          <w:spacing w:val="3"/>
          <w:sz w:val="24"/>
        </w:rPr>
        <w:t>应从</w:t>
      </w:r>
      <w:r>
        <w:rPr>
          <w:rFonts w:hint="eastAsia" w:ascii="宋体" w:hAnsi="宋体" w:cs="宋体"/>
          <w:color w:val="auto"/>
          <w:sz w:val="24"/>
        </w:rPr>
        <w:t>进度付款证书中扣回，扣回期不超过3 个月。已经支付材料、设备预付款的材料、</w:t>
      </w:r>
      <w:r>
        <w:rPr>
          <w:rFonts w:hint="eastAsia" w:ascii="宋体" w:hAnsi="宋体" w:cs="宋体"/>
          <w:color w:val="auto"/>
          <w:spacing w:val="-1"/>
          <w:sz w:val="24"/>
        </w:rPr>
        <w:t>设备的所有权应属于发包人。</w:t>
      </w:r>
    </w:p>
    <w:p w14:paraId="3117A400">
      <w:pPr>
        <w:spacing w:before="116" w:line="263" w:lineRule="auto"/>
        <w:ind w:left="29" w:right="145" w:firstLine="464"/>
        <w:rPr>
          <w:rFonts w:ascii="宋体" w:hAnsi="宋体" w:cs="宋体"/>
          <w:color w:val="auto"/>
          <w:sz w:val="24"/>
        </w:rPr>
      </w:pPr>
      <w:r>
        <w:rPr>
          <w:rFonts w:hint="eastAsia" w:ascii="宋体" w:hAnsi="宋体" w:cs="宋体"/>
          <w:color w:val="auto"/>
          <w:spacing w:val="4"/>
          <w:sz w:val="24"/>
        </w:rPr>
        <w:t>（3）在颁发交工验收证书前，由于不可抗力或其他原因解除合同时，预</w:t>
      </w:r>
      <w:r>
        <w:rPr>
          <w:rFonts w:hint="eastAsia" w:ascii="宋体" w:hAnsi="宋体" w:cs="宋体"/>
          <w:color w:val="auto"/>
          <w:spacing w:val="3"/>
          <w:sz w:val="24"/>
        </w:rPr>
        <w:t>付款</w:t>
      </w:r>
      <w:r>
        <w:rPr>
          <w:rFonts w:hint="eastAsia" w:ascii="宋体" w:hAnsi="宋体" w:cs="宋体"/>
          <w:color w:val="auto"/>
          <w:spacing w:val="-1"/>
          <w:sz w:val="24"/>
        </w:rPr>
        <w:t>尚未扣清的，尚未扣清的预付款余额应作为承</w:t>
      </w:r>
      <w:r>
        <w:rPr>
          <w:rFonts w:hint="eastAsia" w:ascii="宋体" w:hAnsi="宋体" w:cs="宋体"/>
          <w:color w:val="auto"/>
          <w:spacing w:val="-2"/>
          <w:sz w:val="24"/>
        </w:rPr>
        <w:t>包人的到期应付款。</w:t>
      </w:r>
    </w:p>
    <w:p w14:paraId="4E2F5FF0">
      <w:pPr>
        <w:spacing w:before="78" w:line="219" w:lineRule="auto"/>
        <w:ind w:left="485"/>
        <w:outlineLvl w:val="4"/>
        <w:rPr>
          <w:rFonts w:ascii="宋体" w:hAnsi="宋体" w:cs="宋体"/>
          <w:color w:val="auto"/>
          <w:sz w:val="24"/>
        </w:rPr>
      </w:pPr>
      <w:r>
        <w:rPr>
          <w:rFonts w:eastAsia="Times New Roman"/>
          <w:b/>
          <w:bCs/>
          <w:color w:val="auto"/>
          <w:spacing w:val="-3"/>
          <w:sz w:val="24"/>
        </w:rPr>
        <w:t xml:space="preserve">17.3 </w:t>
      </w:r>
      <w:r>
        <w:rPr>
          <w:rFonts w:ascii="宋体" w:hAnsi="宋体" w:cs="宋体"/>
          <w:b/>
          <w:bCs/>
          <w:color w:val="auto"/>
          <w:spacing w:val="-3"/>
          <w:sz w:val="24"/>
        </w:rPr>
        <w:t>工程进度付款</w:t>
      </w:r>
    </w:p>
    <w:p w14:paraId="515FCCE9">
      <w:pPr>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rPr>
        <w:t>17.3.3进度付款证书和支付时间</w:t>
      </w:r>
    </w:p>
    <w:p w14:paraId="786D2050">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rPr>
        <w:t xml:space="preserve">本项（2）细化为： </w:t>
      </w:r>
    </w:p>
    <w:p w14:paraId="1176EAA4">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rPr>
        <w:t xml:space="preserve">发包人应在咨询人（监理人）收到进度付款申请单且承包人提交了合格的增值税专用发 票后的 28 天内，将进度应付款支付给承包人。 </w:t>
      </w:r>
    </w:p>
    <w:p w14:paraId="0680A291">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rPr>
        <w:t xml:space="preserve">发包人不按期支付的，按项目专用合同条款数据表中约定的利率向承包人支付逾期付款 违约金。违约金计算基数为发包人的全部未付款额，时间从应付而未付该款额之日算起（不计复利)。 </w:t>
      </w:r>
    </w:p>
    <w:p w14:paraId="0D984E79">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发包人逾期付款违约金最高限额为签约合同价0.1%。进度款的支付比例按照合同约定,扣除相应款项后按每期计量结算价款总额100%支付。</w:t>
      </w:r>
    </w:p>
    <w:p w14:paraId="7EE6E74C">
      <w:pPr>
        <w:spacing w:line="360" w:lineRule="auto"/>
        <w:ind w:firstLine="482" w:firstLineChars="200"/>
        <w:rPr>
          <w:rFonts w:ascii="宋体" w:hAnsi="宋体" w:cs="宋体"/>
          <w:b/>
          <w:bCs/>
          <w:color w:val="auto"/>
          <w:kern w:val="0"/>
          <w:sz w:val="24"/>
          <w:lang w:val="zh-CN"/>
        </w:rPr>
      </w:pPr>
      <w:r>
        <w:rPr>
          <w:rFonts w:hint="eastAsia" w:ascii="宋体" w:hAnsi="宋体" w:cs="宋体"/>
          <w:b/>
          <w:bCs/>
          <w:color w:val="auto"/>
          <w:kern w:val="0"/>
          <w:sz w:val="24"/>
          <w:lang w:val="zh-CN"/>
        </w:rPr>
        <w:t xml:space="preserve">17.3.5农民工工资支付 </w:t>
      </w:r>
    </w:p>
    <w:p w14:paraId="0F50443F">
      <w:pPr>
        <w:spacing w:line="360" w:lineRule="auto"/>
        <w:ind w:firstLine="482" w:firstLineChars="200"/>
        <w:rPr>
          <w:rFonts w:ascii="宋体" w:hAnsi="宋体" w:cs="宋体"/>
          <w:b/>
          <w:bCs/>
          <w:color w:val="auto"/>
          <w:kern w:val="0"/>
          <w:sz w:val="24"/>
          <w:lang w:val="zh-CN"/>
        </w:rPr>
      </w:pPr>
      <w:r>
        <w:rPr>
          <w:rFonts w:hint="eastAsia" w:ascii="宋体" w:hAnsi="宋体" w:cs="宋体"/>
          <w:b/>
          <w:bCs/>
          <w:color w:val="auto"/>
          <w:kern w:val="0"/>
          <w:sz w:val="24"/>
          <w:lang w:val="zh-CN"/>
        </w:rPr>
        <w:t xml:space="preserve">17.3.5项补充： </w:t>
      </w:r>
    </w:p>
    <w:p w14:paraId="4CDAEC47">
      <w:pPr>
        <w:spacing w:line="360" w:lineRule="auto"/>
        <w:ind w:firstLine="482" w:firstLineChars="200"/>
        <w:rPr>
          <w:rFonts w:ascii="宋体" w:hAnsi="宋体" w:cs="宋体"/>
          <w:b/>
          <w:bCs/>
          <w:color w:val="auto"/>
          <w:kern w:val="0"/>
          <w:sz w:val="24"/>
          <w:lang w:val="zh-CN"/>
        </w:rPr>
      </w:pPr>
      <w:r>
        <w:rPr>
          <w:rFonts w:hint="eastAsia" w:ascii="宋体" w:hAnsi="宋体" w:cs="宋体"/>
          <w:b/>
          <w:bCs/>
          <w:color w:val="auto"/>
          <w:kern w:val="0"/>
          <w:sz w:val="24"/>
          <w:lang w:val="zh-CN"/>
        </w:rPr>
        <w:t xml:space="preserve">农民工工资保证金 </w:t>
      </w:r>
    </w:p>
    <w:p w14:paraId="79C10A54">
      <w:pPr>
        <w:spacing w:line="360" w:lineRule="auto"/>
        <w:ind w:firstLine="482" w:firstLineChars="200"/>
        <w:rPr>
          <w:rFonts w:ascii="宋体" w:hAnsi="宋体" w:cs="宋体"/>
          <w:b/>
          <w:bCs/>
          <w:color w:val="auto"/>
          <w:kern w:val="0"/>
          <w:sz w:val="24"/>
          <w:lang w:val="zh-CN"/>
        </w:rPr>
      </w:pPr>
      <w:r>
        <w:rPr>
          <w:rFonts w:hint="eastAsia" w:ascii="宋体" w:hAnsi="宋体" w:cs="宋体"/>
          <w:b/>
          <w:bCs/>
          <w:color w:val="auto"/>
          <w:kern w:val="0"/>
          <w:sz w:val="24"/>
          <w:lang w:val="zh-CN"/>
        </w:rPr>
        <w:t>农民工工资保证金的缴存时间：</w:t>
      </w:r>
      <w:r>
        <w:rPr>
          <w:rFonts w:hint="eastAsia" w:ascii="宋体" w:hAnsi="宋体" w:cs="宋体"/>
          <w:color w:val="auto"/>
          <w:kern w:val="0"/>
          <w:sz w:val="24"/>
          <w:u w:val="single"/>
          <w:lang w:val="zh-CN"/>
        </w:rPr>
        <w:t>按照农民工工资保证金承诺书执行。</w:t>
      </w:r>
    </w:p>
    <w:p w14:paraId="5E268E81">
      <w:pPr>
        <w:spacing w:line="360" w:lineRule="auto"/>
        <w:ind w:firstLine="482" w:firstLineChars="200"/>
        <w:rPr>
          <w:rFonts w:ascii="宋体" w:hAnsi="宋体" w:cs="宋体"/>
          <w:color w:val="auto"/>
          <w:kern w:val="0"/>
          <w:sz w:val="24"/>
          <w:u w:val="single"/>
          <w:lang w:val="zh-CN"/>
        </w:rPr>
      </w:pPr>
      <w:r>
        <w:rPr>
          <w:rFonts w:hint="eastAsia" w:ascii="宋体" w:hAnsi="宋体" w:cs="宋体"/>
          <w:b/>
          <w:bCs/>
          <w:color w:val="auto"/>
          <w:kern w:val="0"/>
          <w:sz w:val="24"/>
          <w:lang w:val="zh-CN"/>
        </w:rPr>
        <w:t>农民工工资保证金的缴存金额：</w:t>
      </w:r>
      <w:r>
        <w:rPr>
          <w:rFonts w:hint="eastAsia" w:ascii="宋体" w:hAnsi="宋体" w:cs="宋体"/>
          <w:color w:val="auto"/>
          <w:kern w:val="0"/>
          <w:sz w:val="24"/>
          <w:u w:val="single"/>
          <w:lang w:val="zh-CN"/>
        </w:rPr>
        <w:t xml:space="preserve">按《广西壮族自治区人力资源和社会保障厅广西壮族自治区住房和城乡建设厅广西壮族自治区交通运输厅广西壮族自治区水利厅中国银行保险监督管理委员会广西监管局关于印发广西壮族自治区工程建设领域农民工工资保证金规定实施办法的通知》（桂人社规〔2021〕16号）、（桂人社规〔2022〕5号）规定，详见第十三条。 </w:t>
      </w:r>
    </w:p>
    <w:p w14:paraId="467187B9">
      <w:pPr>
        <w:spacing w:line="360" w:lineRule="auto"/>
        <w:ind w:firstLine="482" w:firstLineChars="200"/>
        <w:rPr>
          <w:rFonts w:ascii="宋体" w:hAnsi="宋体" w:cs="宋体"/>
          <w:color w:val="auto"/>
          <w:kern w:val="0"/>
          <w:sz w:val="24"/>
          <w:u w:val="single"/>
          <w:lang w:val="zh-CN"/>
        </w:rPr>
      </w:pPr>
      <w:r>
        <w:rPr>
          <w:rFonts w:hint="eastAsia" w:ascii="宋体" w:hAnsi="宋体" w:cs="宋体"/>
          <w:b/>
          <w:bCs/>
          <w:color w:val="auto"/>
          <w:kern w:val="0"/>
          <w:sz w:val="24"/>
          <w:lang w:val="zh-CN"/>
        </w:rPr>
        <w:t>农民工工资保证金的扣留条件：</w:t>
      </w:r>
      <w:r>
        <w:rPr>
          <w:rFonts w:hint="eastAsia" w:ascii="宋体" w:hAnsi="宋体" w:cs="宋体"/>
          <w:color w:val="auto"/>
          <w:kern w:val="0"/>
          <w:sz w:val="24"/>
          <w:u w:val="single"/>
          <w:lang w:val="zh-CN"/>
        </w:rPr>
        <w:t xml:space="preserve">按《广西壮族自治区人力资源和社会保障厅广西壮族自治区住房和城乡建设厅广西壮族自治区交通运输厅广西壮族自治区水利厅中国银行保险监督管理委员会广西监管局关于印发广西壮族自治区工程建设领域农民工工资保证金规定实施办法的通知》（桂人社规〔2021〕16号）、（桂人社规〔2022〕5号）规定。 </w:t>
      </w:r>
    </w:p>
    <w:p w14:paraId="6C626103">
      <w:pPr>
        <w:spacing w:line="360" w:lineRule="auto"/>
        <w:ind w:firstLine="482" w:firstLineChars="200"/>
        <w:rPr>
          <w:rFonts w:ascii="宋体" w:hAnsi="宋体" w:cs="宋体"/>
          <w:color w:val="auto"/>
          <w:kern w:val="0"/>
          <w:sz w:val="24"/>
          <w:u w:val="single"/>
          <w:lang w:val="zh-CN"/>
        </w:rPr>
      </w:pPr>
      <w:r>
        <w:rPr>
          <w:rFonts w:hint="eastAsia" w:ascii="宋体" w:hAnsi="宋体" w:cs="宋体"/>
          <w:b/>
          <w:bCs/>
          <w:color w:val="auto"/>
          <w:kern w:val="0"/>
          <w:sz w:val="24"/>
          <w:lang w:val="zh-CN"/>
        </w:rPr>
        <w:t>农民工资保证金的返还时间：</w:t>
      </w:r>
      <w:r>
        <w:rPr>
          <w:rFonts w:hint="eastAsia" w:ascii="宋体" w:hAnsi="宋体" w:cs="宋体"/>
          <w:color w:val="auto"/>
          <w:kern w:val="0"/>
          <w:sz w:val="24"/>
          <w:u w:val="single"/>
          <w:lang w:val="zh-CN"/>
        </w:rPr>
        <w:t xml:space="preserve">按《广西壮族自治区人力资源和社会保障厅广西壮族自治区住房和城乡建设厅广西壮族自治区交通运输厅广西壮族自治区水利厅中国银行保险监督管理委员会广西监管局关于印发广西壮族自治区工程建设领域农民工工资保证金规定实施办法的通知》（桂人社规〔2021〕16号）、（桂人社规〔2022〕5号）规定。 </w:t>
      </w:r>
    </w:p>
    <w:p w14:paraId="49F822BA">
      <w:pPr>
        <w:spacing w:line="360" w:lineRule="auto"/>
        <w:ind w:firstLine="482" w:firstLineChars="200"/>
        <w:rPr>
          <w:rFonts w:ascii="宋体" w:hAnsi="宋体" w:cs="宋体"/>
          <w:color w:val="auto"/>
          <w:kern w:val="0"/>
          <w:sz w:val="24"/>
          <w:lang w:val="zh-CN"/>
        </w:rPr>
      </w:pPr>
      <w:r>
        <w:rPr>
          <w:rFonts w:hint="eastAsia" w:ascii="宋体" w:hAnsi="宋体" w:cs="宋体"/>
          <w:b/>
          <w:bCs/>
          <w:color w:val="auto"/>
          <w:kern w:val="0"/>
          <w:sz w:val="24"/>
          <w:lang w:val="zh-CN"/>
        </w:rPr>
        <w:t>17.3.6安全生产费支付比例：</w:t>
      </w:r>
      <w:r>
        <w:rPr>
          <w:rFonts w:hint="eastAsia" w:ascii="宋体" w:hAnsi="宋体" w:cs="宋体"/>
          <w:color w:val="auto"/>
          <w:kern w:val="0"/>
          <w:sz w:val="24"/>
          <w:u w:val="single"/>
          <w:lang w:val="zh-CN"/>
        </w:rPr>
        <w:t>在开工日期后30天内，发包人向承包人支付的安全生产费不得少于安全生产费总额的50%。</w:t>
      </w:r>
    </w:p>
    <w:p w14:paraId="33F65F33">
      <w:pPr>
        <w:spacing w:line="360" w:lineRule="auto"/>
        <w:ind w:firstLine="482" w:firstLineChars="200"/>
        <w:rPr>
          <w:rFonts w:ascii="宋体" w:hAnsi="宋体" w:cs="宋体"/>
          <w:color w:val="auto"/>
          <w:kern w:val="0"/>
          <w:sz w:val="24"/>
          <w:lang w:val="zh-CN"/>
        </w:rPr>
      </w:pPr>
      <w:r>
        <w:rPr>
          <w:rFonts w:hint="eastAsia" w:ascii="宋体" w:hAnsi="宋体" w:cs="宋体"/>
          <w:b/>
          <w:bCs/>
          <w:color w:val="auto"/>
          <w:kern w:val="0"/>
          <w:sz w:val="24"/>
          <w:lang w:val="zh-CN"/>
        </w:rPr>
        <w:t>安全生产费支付条件：</w:t>
      </w:r>
      <w:r>
        <w:rPr>
          <w:rFonts w:hint="eastAsia" w:ascii="宋体" w:hAnsi="宋体" w:cs="宋体"/>
          <w:color w:val="auto"/>
          <w:kern w:val="0"/>
          <w:sz w:val="24"/>
          <w:u w:val="single"/>
          <w:lang w:val="zh-CN"/>
        </w:rPr>
        <w:t>承包人在发包人指定的银行开户，承包人相关人员已进场，已建安全费用管理制度与使用计划，经咨询人（监理人）审核，发包人批准。</w:t>
      </w:r>
    </w:p>
    <w:p w14:paraId="047F9385">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 xml:space="preserve">17.4.1 项后补充：承包人选择递交银行保函形式对工程质量进行担保时，质量保证金银行保函的要求： </w:t>
      </w:r>
    </w:p>
    <w:p w14:paraId="561E2042">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 xml:space="preserve">A.担保金额为成交金额的3%； </w:t>
      </w:r>
    </w:p>
    <w:p w14:paraId="79A6A9CD">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 xml:space="preserve">B.一次性全额开具； </w:t>
      </w:r>
    </w:p>
    <w:p w14:paraId="401DF42F">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 xml:space="preserve">C.出具质量保证金保函的银行级别为：中国银行、中国农业银行、中国工商银行、中国建设银行、交通银行五大银行或国家政策性银行、其他已上市的股份制银行的地市级分行（支行）及以上级别银行，且开具前须报发包人核准； </w:t>
      </w:r>
    </w:p>
    <w:p w14:paraId="28026DC4">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 xml:space="preserve">D.按招标文件提供的格式与内容（附件九）。 </w:t>
      </w:r>
    </w:p>
    <w:p w14:paraId="0DC0E6F5">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银行保函的正本由发包人保存，在缺陷责任期满之前一直有效。缺陷责任期满，质量保证金保函原件不予退还承包人，可由发包人出具一份失效证明。</w:t>
      </w:r>
    </w:p>
    <w:p w14:paraId="26B99F58">
      <w:pPr>
        <w:spacing w:before="271" w:line="219" w:lineRule="auto"/>
        <w:ind w:left="495"/>
        <w:outlineLvl w:val="4"/>
        <w:rPr>
          <w:rFonts w:ascii="宋体" w:hAnsi="宋体" w:cs="宋体"/>
          <w:color w:val="auto"/>
          <w:sz w:val="24"/>
        </w:rPr>
      </w:pPr>
      <w:r>
        <w:rPr>
          <w:rFonts w:eastAsia="Times New Roman"/>
          <w:b/>
          <w:bCs/>
          <w:color w:val="auto"/>
          <w:spacing w:val="-3"/>
          <w:sz w:val="24"/>
        </w:rPr>
        <w:t xml:space="preserve">17.7  </w:t>
      </w:r>
      <w:r>
        <w:rPr>
          <w:rFonts w:ascii="宋体" w:hAnsi="宋体" w:cs="宋体"/>
          <w:b/>
          <w:bCs/>
          <w:color w:val="auto"/>
          <w:spacing w:val="-3"/>
          <w:sz w:val="24"/>
        </w:rPr>
        <w:t>财政资金申请与支付</w:t>
      </w:r>
    </w:p>
    <w:p w14:paraId="7D2C9A0C">
      <w:pPr>
        <w:spacing w:before="125" w:line="219" w:lineRule="auto"/>
        <w:ind w:left="490"/>
        <w:rPr>
          <w:color w:val="auto"/>
        </w:rPr>
      </w:pPr>
      <w:r>
        <w:rPr>
          <w:rFonts w:ascii="宋体" w:hAnsi="宋体" w:cs="宋体"/>
          <w:color w:val="auto"/>
          <w:spacing w:val="-1"/>
          <w:sz w:val="24"/>
        </w:rPr>
        <w:t>养护项目资金来源为：</w:t>
      </w:r>
      <w:r>
        <w:rPr>
          <w:rFonts w:hint="eastAsia" w:ascii="宋体" w:hAnsi="宋体" w:cs="宋体"/>
          <w:color w:val="auto"/>
          <w:spacing w:val="-1"/>
          <w:sz w:val="24"/>
          <w:u w:val="single"/>
        </w:rPr>
        <w:t>财政资金</w:t>
      </w:r>
      <w:r>
        <w:rPr>
          <w:rFonts w:ascii="宋体" w:hAnsi="宋体" w:cs="宋体"/>
          <w:color w:val="auto"/>
          <w:spacing w:val="-1"/>
          <w:sz w:val="24"/>
        </w:rPr>
        <w:t>。</w:t>
      </w:r>
    </w:p>
    <w:p w14:paraId="18094C1D">
      <w:pPr>
        <w:spacing w:before="78" w:line="219" w:lineRule="auto"/>
        <w:ind w:left="495"/>
        <w:outlineLvl w:val="3"/>
        <w:rPr>
          <w:rFonts w:ascii="宋体" w:hAnsi="宋体" w:cs="宋体"/>
          <w:color w:val="auto"/>
          <w:sz w:val="24"/>
        </w:rPr>
      </w:pPr>
      <w:bookmarkStart w:id="240" w:name="bookmark102"/>
      <w:bookmarkEnd w:id="240"/>
      <w:bookmarkStart w:id="241" w:name="bookmark101"/>
      <w:bookmarkEnd w:id="241"/>
      <w:r>
        <w:rPr>
          <w:rFonts w:eastAsia="Times New Roman"/>
          <w:b/>
          <w:bCs/>
          <w:color w:val="auto"/>
          <w:spacing w:val="-6"/>
          <w:sz w:val="24"/>
        </w:rPr>
        <w:t>18.</w:t>
      </w:r>
      <w:r>
        <w:rPr>
          <w:rFonts w:ascii="宋体" w:hAnsi="宋体" w:cs="宋体"/>
          <w:b/>
          <w:bCs/>
          <w:color w:val="auto"/>
          <w:spacing w:val="-6"/>
          <w:sz w:val="24"/>
        </w:rPr>
        <w:t>工程验收</w:t>
      </w:r>
    </w:p>
    <w:p w14:paraId="0BF9BB86">
      <w:pPr>
        <w:spacing w:before="116" w:line="219" w:lineRule="auto"/>
        <w:ind w:left="495"/>
        <w:outlineLvl w:val="4"/>
        <w:rPr>
          <w:rFonts w:ascii="宋体" w:hAnsi="宋体" w:cs="宋体"/>
          <w:color w:val="auto"/>
          <w:sz w:val="24"/>
        </w:rPr>
      </w:pPr>
      <w:r>
        <w:rPr>
          <w:rFonts w:eastAsia="Times New Roman"/>
          <w:b/>
          <w:bCs/>
          <w:color w:val="auto"/>
          <w:spacing w:val="-3"/>
          <w:sz w:val="24"/>
        </w:rPr>
        <w:t xml:space="preserve">18.1  </w:t>
      </w:r>
      <w:r>
        <w:rPr>
          <w:rFonts w:ascii="宋体" w:hAnsi="宋体" w:cs="宋体"/>
          <w:b/>
          <w:bCs/>
          <w:color w:val="auto"/>
          <w:spacing w:val="-3"/>
          <w:sz w:val="24"/>
        </w:rPr>
        <w:t>工程验收的含义</w:t>
      </w:r>
    </w:p>
    <w:p w14:paraId="04B36781">
      <w:pPr>
        <w:spacing w:before="122" w:line="211" w:lineRule="auto"/>
        <w:ind w:left="508"/>
        <w:rPr>
          <w:rFonts w:ascii="宋体" w:hAnsi="宋体" w:cs="宋体"/>
          <w:color w:val="auto"/>
          <w:sz w:val="24"/>
        </w:rPr>
      </w:pPr>
      <w:r>
        <w:rPr>
          <w:rFonts w:eastAsia="Times New Roman"/>
          <w:color w:val="auto"/>
          <w:spacing w:val="-3"/>
          <w:sz w:val="24"/>
        </w:rPr>
        <w:t xml:space="preserve">18.1.1  </w:t>
      </w:r>
      <w:r>
        <w:rPr>
          <w:rFonts w:ascii="宋体" w:hAnsi="宋体" w:cs="宋体"/>
          <w:color w:val="auto"/>
          <w:spacing w:val="-3"/>
          <w:sz w:val="24"/>
        </w:rPr>
        <w:t>验收单位：</w:t>
      </w:r>
      <w:r>
        <w:rPr>
          <w:rFonts w:hint="eastAsia" w:ascii="宋体" w:hAnsi="宋体" w:cs="宋体"/>
          <w:color w:val="auto"/>
          <w:sz w:val="24"/>
          <w:u w:val="single"/>
        </w:rPr>
        <w:t>发包人、咨询人（监理人）、质监、设计、施工、管理养护</w:t>
      </w:r>
      <w:r>
        <w:rPr>
          <w:rFonts w:hint="eastAsia" w:ascii="宋体" w:hAnsi="宋体" w:cs="宋体"/>
          <w:color w:val="auto"/>
          <w:sz w:val="24"/>
        </w:rPr>
        <w:t>等有关单位</w:t>
      </w:r>
      <w:r>
        <w:rPr>
          <w:rFonts w:ascii="宋体" w:hAnsi="宋体" w:cs="宋体"/>
          <w:color w:val="auto"/>
          <w:spacing w:val="-3"/>
          <w:sz w:val="24"/>
        </w:rPr>
        <w:t>。</w:t>
      </w:r>
    </w:p>
    <w:p w14:paraId="03DA1780">
      <w:pPr>
        <w:spacing w:before="2" w:line="360" w:lineRule="auto"/>
        <w:ind w:left="8" w:firstLine="502" w:firstLineChars="213"/>
        <w:rPr>
          <w:rFonts w:ascii="宋体" w:hAnsi="宋体" w:cs="宋体"/>
          <w:color w:val="auto"/>
          <w:sz w:val="12"/>
          <w:szCs w:val="12"/>
        </w:rPr>
      </w:pPr>
      <w:r>
        <w:rPr>
          <w:rFonts w:eastAsia="Times New Roman"/>
          <w:color w:val="auto"/>
          <w:spacing w:val="-2"/>
          <w:sz w:val="24"/>
        </w:rPr>
        <w:t xml:space="preserve">18.1.2  </w:t>
      </w:r>
      <w:r>
        <w:rPr>
          <w:rFonts w:ascii="宋体" w:hAnsi="宋体" w:cs="宋体"/>
          <w:color w:val="auto"/>
          <w:spacing w:val="-2"/>
          <w:sz w:val="24"/>
        </w:rPr>
        <w:t>本项目工程验收方式：</w:t>
      </w:r>
      <w:r>
        <w:rPr>
          <w:rFonts w:hint="eastAsia" w:ascii="宋体" w:hAnsi="宋体" w:cs="宋体"/>
          <w:color w:val="auto"/>
          <w:spacing w:val="-2"/>
          <w:sz w:val="24"/>
          <w:u w:val="single"/>
        </w:rPr>
        <w:t>一阶段验收，</w:t>
      </w:r>
      <w:r>
        <w:rPr>
          <w:rFonts w:hint="eastAsia" w:ascii="宋体" w:hAnsi="宋体" w:cs="宋体"/>
          <w:color w:val="auto"/>
          <w:spacing w:val="13"/>
          <w:sz w:val="24"/>
          <w:u w:val="single"/>
        </w:rPr>
        <w:t>按照《交通运输部关于印发〈公路养护工程管理</w:t>
      </w:r>
      <w:r>
        <w:rPr>
          <w:rFonts w:hint="eastAsia" w:ascii="宋体" w:hAnsi="宋体" w:cs="宋体"/>
          <w:color w:val="auto"/>
          <w:spacing w:val="12"/>
          <w:sz w:val="24"/>
          <w:u w:val="single"/>
        </w:rPr>
        <w:t>办法〉的通知》（交公路发</w:t>
      </w:r>
      <w:r>
        <w:rPr>
          <w:rFonts w:hint="eastAsia" w:ascii="宋体" w:hAnsi="宋体" w:cs="宋体"/>
          <w:color w:val="auto"/>
          <w:spacing w:val="5"/>
          <w:sz w:val="24"/>
          <w:u w:val="single"/>
        </w:rPr>
        <w:t>〔2018〕33号）的相关规定执行</w:t>
      </w:r>
      <w:r>
        <w:rPr>
          <w:rFonts w:hint="eastAsia" w:ascii="宋体" w:hAnsi="宋体" w:cs="宋体"/>
          <w:color w:val="auto"/>
          <w:spacing w:val="-2"/>
          <w:sz w:val="24"/>
          <w:u w:val="single"/>
        </w:rPr>
        <w:t>。（</w:t>
      </w:r>
      <w:r>
        <w:rPr>
          <w:rFonts w:hint="eastAsia" w:ascii="宋体" w:hAnsi="宋体" w:cs="宋体"/>
          <w:color w:val="auto"/>
          <w:sz w:val="24"/>
          <w:u w:val="single"/>
        </w:rPr>
        <w:t>在项目实施期间，如主管部门有新的规定，则从其规定</w:t>
      </w:r>
      <w:r>
        <w:rPr>
          <w:rFonts w:hint="eastAsia" w:ascii="宋体" w:hAnsi="宋体" w:cs="宋体"/>
          <w:color w:val="auto"/>
          <w:spacing w:val="-2"/>
          <w:sz w:val="24"/>
          <w:u w:val="single"/>
        </w:rPr>
        <w:t>）</w:t>
      </w:r>
      <w:r>
        <w:rPr>
          <w:rFonts w:ascii="宋体" w:hAnsi="宋体" w:cs="宋体"/>
          <w:color w:val="auto"/>
          <w:spacing w:val="-2"/>
          <w:sz w:val="24"/>
        </w:rPr>
        <w:t>。</w:t>
      </w:r>
      <w:r>
        <w:rPr>
          <w:color w:val="auto"/>
        </w:rPr>
        <w:fldChar w:fldCharType="begin"/>
      </w:r>
      <w:r>
        <w:rPr>
          <w:color w:val="auto"/>
        </w:rPr>
        <w:instrText xml:space="preserve"> HYPERLINK \l "bookmark253" </w:instrText>
      </w:r>
      <w:r>
        <w:rPr>
          <w:color w:val="auto"/>
        </w:rPr>
        <w:fldChar w:fldCharType="separate"/>
      </w:r>
      <w:r>
        <w:rPr>
          <w:rFonts w:ascii="宋体" w:hAnsi="宋体" w:cs="宋体"/>
          <w:color w:val="auto"/>
          <w:spacing w:val="-2"/>
          <w:position w:val="11"/>
          <w:sz w:val="12"/>
          <w:szCs w:val="12"/>
        </w:rPr>
        <w:t>①</w:t>
      </w:r>
      <w:r>
        <w:rPr>
          <w:rFonts w:ascii="宋体" w:hAnsi="宋体" w:cs="宋体"/>
          <w:color w:val="auto"/>
          <w:spacing w:val="-2"/>
          <w:position w:val="11"/>
          <w:sz w:val="12"/>
          <w:szCs w:val="12"/>
        </w:rPr>
        <w:fldChar w:fldCharType="end"/>
      </w:r>
    </w:p>
    <w:p w14:paraId="70C83DA4">
      <w:pPr>
        <w:spacing w:before="81" w:line="219" w:lineRule="auto"/>
        <w:ind w:left="490"/>
        <w:rPr>
          <w:color w:val="auto"/>
        </w:rPr>
      </w:pPr>
      <w:r>
        <w:rPr>
          <w:rFonts w:ascii="宋体" w:hAnsi="宋体" w:cs="宋体"/>
          <w:color w:val="auto"/>
          <w:spacing w:val="-1"/>
          <w:sz w:val="24"/>
        </w:rPr>
        <w:t>本项目工程验收时间：</w:t>
      </w:r>
      <w:r>
        <w:rPr>
          <w:rFonts w:hint="eastAsia" w:ascii="宋体" w:hAnsi="宋体" w:cs="宋体"/>
          <w:color w:val="auto"/>
          <w:spacing w:val="-1"/>
          <w:sz w:val="24"/>
          <w:u w:val="single"/>
        </w:rPr>
        <w:t>完工交付使用后6个月之内</w:t>
      </w:r>
      <w:r>
        <w:rPr>
          <w:rFonts w:ascii="宋体" w:hAnsi="宋体" w:cs="宋体"/>
          <w:color w:val="auto"/>
          <w:spacing w:val="-1"/>
          <w:sz w:val="24"/>
        </w:rPr>
        <w:t>。</w:t>
      </w:r>
    </w:p>
    <w:p w14:paraId="4B4E3486">
      <w:pPr>
        <w:spacing w:before="2" w:line="360" w:lineRule="auto"/>
        <w:ind w:left="8" w:firstLine="566" w:firstLineChars="213"/>
        <w:rPr>
          <w:rFonts w:ascii="宋体" w:hAnsi="宋体" w:cs="宋体"/>
          <w:color w:val="auto"/>
          <w:spacing w:val="13"/>
          <w:sz w:val="24"/>
          <w:u w:val="single"/>
        </w:rPr>
      </w:pPr>
      <w:bookmarkStart w:id="242" w:name="bookmark104"/>
      <w:bookmarkEnd w:id="242"/>
      <w:bookmarkStart w:id="243" w:name="bookmark103"/>
      <w:bookmarkEnd w:id="243"/>
      <w:r>
        <w:rPr>
          <w:rFonts w:ascii="宋体" w:hAnsi="宋体" w:cs="宋体"/>
          <w:color w:val="auto"/>
          <w:spacing w:val="13"/>
          <w:sz w:val="24"/>
          <w:u w:val="single"/>
        </w:rPr>
        <w:t>18.3</w:t>
      </w:r>
      <w:r>
        <w:rPr>
          <w:rFonts w:hint="eastAsia" w:ascii="宋体" w:hAnsi="宋体" w:cs="宋体"/>
          <w:color w:val="auto"/>
          <w:spacing w:val="13"/>
          <w:sz w:val="24"/>
          <w:u w:val="single"/>
        </w:rPr>
        <w:t xml:space="preserve">验收程序 </w:t>
      </w:r>
    </w:p>
    <w:p w14:paraId="58823B77">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第</w:t>
      </w:r>
      <w:r>
        <w:rPr>
          <w:rFonts w:ascii="宋体" w:hAnsi="宋体" w:cs="宋体"/>
          <w:color w:val="auto"/>
          <w:spacing w:val="13"/>
          <w:sz w:val="24"/>
          <w:u w:val="single"/>
        </w:rPr>
        <w:t>18.3.3</w:t>
      </w:r>
      <w:r>
        <w:rPr>
          <w:rFonts w:hint="eastAsia" w:ascii="宋体" w:hAnsi="宋体" w:cs="宋体"/>
          <w:color w:val="auto"/>
          <w:spacing w:val="13"/>
          <w:sz w:val="24"/>
          <w:u w:val="single"/>
        </w:rPr>
        <w:t xml:space="preserve">项补充 </w:t>
      </w:r>
    </w:p>
    <w:p w14:paraId="726170D4">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项目全部完成后，承包单位向发包人提交完工申请，由发包人组织对项目进行完工验收，验收并完成整改后，承包人申请支付最后一期计量工程款。承包人按发包人的要求提交竣工资料，完成交竣工验收准备工作。 </w:t>
      </w:r>
    </w:p>
    <w:p w14:paraId="114843D7">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第</w:t>
      </w:r>
      <w:r>
        <w:rPr>
          <w:rFonts w:ascii="宋体" w:hAnsi="宋体" w:cs="宋体"/>
          <w:color w:val="auto"/>
          <w:spacing w:val="13"/>
          <w:sz w:val="24"/>
          <w:u w:val="single"/>
        </w:rPr>
        <w:t>18.3.7</w:t>
      </w:r>
      <w:r>
        <w:rPr>
          <w:rFonts w:hint="eastAsia" w:ascii="宋体" w:hAnsi="宋体" w:cs="宋体"/>
          <w:color w:val="auto"/>
          <w:spacing w:val="13"/>
          <w:sz w:val="24"/>
          <w:u w:val="single"/>
        </w:rPr>
        <w:t>项修改为：</w:t>
      </w:r>
    </w:p>
    <w:p w14:paraId="5B9410BF">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组织办理交</w:t>
      </w:r>
      <w:r>
        <w:rPr>
          <w:rFonts w:ascii="宋体" w:hAnsi="宋体" w:cs="宋体"/>
          <w:color w:val="auto"/>
          <w:spacing w:val="13"/>
          <w:sz w:val="24"/>
          <w:u w:val="single"/>
        </w:rPr>
        <w:t>(</w:t>
      </w:r>
      <w:r>
        <w:rPr>
          <w:rFonts w:hint="eastAsia" w:ascii="宋体" w:hAnsi="宋体" w:cs="宋体"/>
          <w:color w:val="auto"/>
          <w:spacing w:val="13"/>
          <w:sz w:val="24"/>
          <w:u w:val="single"/>
        </w:rPr>
        <w:t>竣</w:t>
      </w:r>
      <w:r>
        <w:rPr>
          <w:rFonts w:ascii="宋体" w:hAnsi="宋体" w:cs="宋体"/>
          <w:color w:val="auto"/>
          <w:spacing w:val="13"/>
          <w:sz w:val="24"/>
          <w:u w:val="single"/>
        </w:rPr>
        <w:t>)</w:t>
      </w:r>
      <w:r>
        <w:rPr>
          <w:rFonts w:hint="eastAsia" w:ascii="宋体" w:hAnsi="宋体" w:cs="宋体"/>
          <w:color w:val="auto"/>
          <w:spacing w:val="13"/>
          <w:sz w:val="24"/>
          <w:u w:val="single"/>
        </w:rPr>
        <w:t>工验收和签发交</w:t>
      </w:r>
      <w:r>
        <w:rPr>
          <w:rFonts w:ascii="宋体" w:hAnsi="宋体" w:cs="宋体"/>
          <w:color w:val="auto"/>
          <w:spacing w:val="13"/>
          <w:sz w:val="24"/>
          <w:u w:val="single"/>
        </w:rPr>
        <w:t>(</w:t>
      </w:r>
      <w:r>
        <w:rPr>
          <w:rFonts w:hint="eastAsia" w:ascii="宋体" w:hAnsi="宋体" w:cs="宋体"/>
          <w:color w:val="auto"/>
          <w:spacing w:val="13"/>
          <w:sz w:val="24"/>
          <w:u w:val="single"/>
        </w:rPr>
        <w:t>竣</w:t>
      </w:r>
      <w:r>
        <w:rPr>
          <w:rFonts w:ascii="宋体" w:hAnsi="宋体" w:cs="宋体"/>
          <w:color w:val="auto"/>
          <w:spacing w:val="13"/>
          <w:sz w:val="24"/>
          <w:u w:val="single"/>
        </w:rPr>
        <w:t>)</w:t>
      </w:r>
      <w:r>
        <w:rPr>
          <w:rFonts w:hint="eastAsia" w:ascii="宋体" w:hAnsi="宋体" w:cs="宋体"/>
          <w:color w:val="auto"/>
          <w:spacing w:val="13"/>
          <w:sz w:val="24"/>
          <w:u w:val="single"/>
        </w:rPr>
        <w:t xml:space="preserve">工验收证书的费用由承包人承担。 </w:t>
      </w:r>
    </w:p>
    <w:p w14:paraId="51691337">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（增加）</w:t>
      </w:r>
      <w:r>
        <w:rPr>
          <w:rFonts w:ascii="宋体" w:hAnsi="宋体" w:cs="宋体"/>
          <w:color w:val="auto"/>
          <w:spacing w:val="13"/>
          <w:sz w:val="24"/>
          <w:u w:val="single"/>
        </w:rPr>
        <w:t>18.7</w:t>
      </w:r>
      <w:r>
        <w:rPr>
          <w:rFonts w:hint="eastAsia" w:ascii="宋体" w:hAnsi="宋体" w:cs="宋体"/>
          <w:color w:val="auto"/>
          <w:spacing w:val="13"/>
          <w:sz w:val="24"/>
          <w:u w:val="single"/>
        </w:rPr>
        <w:t xml:space="preserve">竣工文件 </w:t>
      </w:r>
    </w:p>
    <w:p w14:paraId="58688DAD">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承包人应按照《公路工程竣（交）工验收办法》的相关规定，在缺陷责任期内为竣工验收补充竣工资料，并在签发缺陷责任期终止证书之前提交。工程竣工文件的立卷归档按交通部《公路工程竣工文件材料立卷归档管理办法》（交办发</w:t>
      </w:r>
      <w:r>
        <w:rPr>
          <w:rFonts w:ascii="宋体" w:hAnsi="宋体" w:cs="宋体"/>
          <w:color w:val="auto"/>
          <w:spacing w:val="13"/>
          <w:sz w:val="24"/>
          <w:u w:val="single"/>
        </w:rPr>
        <w:t>[2010]382</w:t>
      </w:r>
      <w:r>
        <w:rPr>
          <w:rFonts w:hint="eastAsia" w:ascii="宋体" w:hAnsi="宋体" w:cs="宋体"/>
          <w:color w:val="auto"/>
          <w:spacing w:val="13"/>
          <w:sz w:val="24"/>
          <w:u w:val="single"/>
        </w:rPr>
        <w:t>号）和广西壮族自治区公路管理局《广西公路网建设工程档案验收办法》执行。合同段中含多个项目的须每个项目单独立卷归档。在项目实施期间，如主管部门有新的规定，则从其规定。</w:t>
      </w:r>
    </w:p>
    <w:p w14:paraId="69B86059">
      <w:pPr>
        <w:spacing w:before="2" w:line="360" w:lineRule="auto"/>
        <w:ind w:left="8" w:firstLine="569" w:firstLineChars="213"/>
        <w:rPr>
          <w:rFonts w:ascii="宋体" w:hAnsi="宋体" w:cs="宋体"/>
          <w:b/>
          <w:bCs/>
          <w:color w:val="auto"/>
          <w:spacing w:val="13"/>
          <w:sz w:val="24"/>
          <w:u w:val="single"/>
        </w:rPr>
      </w:pPr>
      <w:r>
        <w:rPr>
          <w:rFonts w:hint="eastAsia" w:ascii="宋体" w:hAnsi="宋体" w:cs="宋体"/>
          <w:b/>
          <w:bCs/>
          <w:color w:val="auto"/>
          <w:spacing w:val="13"/>
          <w:sz w:val="24"/>
          <w:u w:val="single"/>
        </w:rPr>
        <w:t>20.保险</w:t>
      </w:r>
    </w:p>
    <w:p w14:paraId="41D0D011">
      <w:pPr>
        <w:spacing w:before="2" w:line="360" w:lineRule="auto"/>
        <w:ind w:left="8" w:firstLine="569" w:firstLineChars="213"/>
        <w:rPr>
          <w:rFonts w:ascii="宋体" w:hAnsi="宋体" w:cs="宋体"/>
          <w:color w:val="auto"/>
          <w:spacing w:val="13"/>
          <w:sz w:val="24"/>
        </w:rPr>
      </w:pPr>
      <w:r>
        <w:rPr>
          <w:rFonts w:hint="eastAsia" w:ascii="宋体" w:hAnsi="宋体" w:cs="宋体"/>
          <w:b/>
          <w:bCs/>
          <w:color w:val="auto"/>
          <w:spacing w:val="13"/>
          <w:sz w:val="24"/>
        </w:rPr>
        <w:t>20.1安全生产责任保险：</w:t>
      </w:r>
      <w:r>
        <w:rPr>
          <w:rFonts w:hint="eastAsia" w:ascii="宋体" w:hAnsi="宋体" w:cs="宋体"/>
          <w:color w:val="auto"/>
          <w:spacing w:val="13"/>
          <w:sz w:val="24"/>
        </w:rPr>
        <w:t xml:space="preserve">承包人须购买安全生产责任险，要求累计责任限额不低于500万元，每次事故限额不低于500万元，每人伤亡责任限额不低于100万元，每人医疗费用责任限额不低于30万元，三者财产损失赔偿限额不低于150万元，保险期限为自施工队伍进场之日起至缺陷责任期终止证书颁发前止。 </w:t>
      </w:r>
    </w:p>
    <w:p w14:paraId="25AAE1AA">
      <w:pPr>
        <w:spacing w:before="2" w:line="360" w:lineRule="auto"/>
        <w:ind w:left="8" w:firstLine="566" w:firstLineChars="213"/>
        <w:rPr>
          <w:rFonts w:ascii="宋体" w:hAnsi="宋体" w:cs="宋体"/>
          <w:color w:val="auto"/>
          <w:spacing w:val="13"/>
          <w:sz w:val="24"/>
        </w:rPr>
      </w:pPr>
      <w:r>
        <w:rPr>
          <w:rFonts w:hint="eastAsia" w:ascii="宋体" w:hAnsi="宋体" w:cs="宋体"/>
          <w:color w:val="auto"/>
          <w:spacing w:val="13"/>
          <w:sz w:val="24"/>
        </w:rPr>
        <w:t xml:space="preserve">施工合同签订后工程开工前15日，承包人必须与保险公司签订安全生产责任险的保险合同。 </w:t>
      </w:r>
    </w:p>
    <w:p w14:paraId="0E8C5C33">
      <w:pPr>
        <w:spacing w:before="2" w:line="360" w:lineRule="auto"/>
        <w:ind w:left="8" w:firstLine="569" w:firstLineChars="213"/>
        <w:rPr>
          <w:rFonts w:ascii="宋体" w:hAnsi="宋体" w:cs="宋体"/>
          <w:b/>
          <w:bCs/>
          <w:color w:val="auto"/>
          <w:spacing w:val="13"/>
          <w:sz w:val="24"/>
        </w:rPr>
      </w:pPr>
      <w:r>
        <w:rPr>
          <w:rFonts w:hint="eastAsia" w:ascii="宋体" w:hAnsi="宋体" w:cs="宋体"/>
          <w:b/>
          <w:bCs/>
          <w:color w:val="auto"/>
          <w:spacing w:val="13"/>
          <w:sz w:val="24"/>
        </w:rPr>
        <w:t xml:space="preserve">20.2工程保险及第三者责任险 </w:t>
      </w:r>
    </w:p>
    <w:p w14:paraId="285D9B1A">
      <w:pPr>
        <w:spacing w:before="2" w:line="360" w:lineRule="auto"/>
        <w:ind w:left="8" w:firstLine="569" w:firstLineChars="213"/>
        <w:rPr>
          <w:rFonts w:ascii="宋体" w:hAnsi="宋体" w:cs="宋体"/>
          <w:b/>
          <w:bCs/>
          <w:color w:val="auto"/>
          <w:spacing w:val="13"/>
          <w:sz w:val="24"/>
        </w:rPr>
      </w:pPr>
      <w:r>
        <w:rPr>
          <w:rFonts w:hint="eastAsia" w:ascii="宋体" w:hAnsi="宋体" w:cs="宋体"/>
          <w:b/>
          <w:bCs/>
          <w:color w:val="auto"/>
          <w:spacing w:val="13"/>
          <w:sz w:val="24"/>
        </w:rPr>
        <w:t xml:space="preserve">20.2.1工程保险 </w:t>
      </w:r>
    </w:p>
    <w:p w14:paraId="0ED7FA6E">
      <w:pPr>
        <w:spacing w:before="2" w:line="360" w:lineRule="auto"/>
        <w:ind w:left="8" w:firstLine="502" w:firstLineChars="213"/>
        <w:rPr>
          <w:rFonts w:hint="eastAsia" w:ascii="宋体" w:hAnsi="宋体" w:eastAsia="宋体" w:cs="宋体"/>
          <w:color w:val="auto"/>
          <w:spacing w:val="-2"/>
          <w:sz w:val="24"/>
          <w:lang w:eastAsia="zh-CN"/>
        </w:rPr>
      </w:pPr>
      <w:r>
        <w:rPr>
          <w:rFonts w:hint="eastAsia" w:ascii="宋体" w:hAnsi="宋体" w:cs="宋体"/>
          <w:color w:val="auto"/>
          <w:spacing w:val="-2"/>
          <w:sz w:val="24"/>
        </w:rPr>
        <w:t>本项目取消建筑工程一切险</w:t>
      </w:r>
      <w:r>
        <w:rPr>
          <w:rFonts w:hint="eastAsia" w:ascii="宋体" w:hAnsi="宋体" w:cs="宋体"/>
          <w:color w:val="auto"/>
          <w:spacing w:val="-2"/>
          <w:sz w:val="24"/>
          <w:lang w:eastAsia="zh-CN"/>
        </w:rPr>
        <w:t>。</w:t>
      </w:r>
    </w:p>
    <w:p w14:paraId="0F30229C">
      <w:pPr>
        <w:spacing w:before="2" w:line="360" w:lineRule="auto"/>
        <w:ind w:left="8" w:firstLine="569" w:firstLineChars="213"/>
        <w:rPr>
          <w:rFonts w:ascii="宋体" w:hAnsi="宋体" w:cs="宋体"/>
          <w:b/>
          <w:bCs/>
          <w:color w:val="auto"/>
          <w:spacing w:val="13"/>
          <w:sz w:val="24"/>
        </w:rPr>
      </w:pPr>
      <w:r>
        <w:rPr>
          <w:rFonts w:hint="eastAsia" w:ascii="宋体" w:hAnsi="宋体" w:cs="宋体"/>
          <w:b/>
          <w:bCs/>
          <w:color w:val="auto"/>
          <w:spacing w:val="13"/>
          <w:sz w:val="24"/>
        </w:rPr>
        <w:t xml:space="preserve">20.2.2第三者责任险 </w:t>
      </w:r>
    </w:p>
    <w:p w14:paraId="60870B09">
      <w:pPr>
        <w:spacing w:before="2" w:line="360" w:lineRule="auto"/>
        <w:ind w:left="8" w:firstLine="566" w:firstLineChars="213"/>
        <w:rPr>
          <w:rFonts w:ascii="宋体" w:hAnsi="宋体" w:cs="宋体"/>
          <w:color w:val="auto"/>
          <w:spacing w:val="13"/>
          <w:sz w:val="24"/>
        </w:rPr>
      </w:pPr>
      <w:r>
        <w:rPr>
          <w:rFonts w:hint="eastAsia" w:ascii="宋体" w:hAnsi="宋体" w:cs="宋体"/>
          <w:color w:val="auto"/>
          <w:spacing w:val="13"/>
          <w:sz w:val="24"/>
        </w:rPr>
        <w:t xml:space="preserve">修改（2）款为：在缺陷责任期终止证书颁发前，第三者责任险由承包人以承包人与项目法人的名义联名投保，保险费由承包人承担并支付，承包人应在所报的单价或总额价中对该保险费予以考虑，发包人不单独进行计量与支付。 </w:t>
      </w:r>
    </w:p>
    <w:p w14:paraId="56CE875B">
      <w:pPr>
        <w:spacing w:before="2" w:line="360" w:lineRule="auto"/>
        <w:ind w:left="8" w:firstLine="569" w:firstLineChars="213"/>
        <w:rPr>
          <w:rFonts w:ascii="宋体" w:hAnsi="宋体" w:cs="宋体"/>
          <w:b/>
          <w:bCs/>
          <w:color w:val="auto"/>
          <w:spacing w:val="13"/>
          <w:sz w:val="24"/>
        </w:rPr>
      </w:pPr>
      <w:r>
        <w:rPr>
          <w:rFonts w:hint="eastAsia" w:ascii="宋体" w:hAnsi="宋体" w:cs="宋体"/>
          <w:b/>
          <w:bCs/>
          <w:color w:val="auto"/>
          <w:spacing w:val="13"/>
          <w:sz w:val="24"/>
        </w:rPr>
        <w:t xml:space="preserve">20.3工伤保险 </w:t>
      </w:r>
    </w:p>
    <w:p w14:paraId="0BEFB437">
      <w:pPr>
        <w:spacing w:before="2" w:line="360" w:lineRule="auto"/>
        <w:ind w:left="8" w:firstLine="566" w:firstLineChars="213"/>
        <w:rPr>
          <w:rFonts w:ascii="宋体" w:hAnsi="宋体" w:cs="宋体"/>
          <w:color w:val="auto"/>
          <w:spacing w:val="13"/>
          <w:sz w:val="24"/>
        </w:rPr>
      </w:pPr>
      <w:r>
        <w:rPr>
          <w:rFonts w:hint="eastAsia" w:ascii="宋体" w:hAnsi="宋体" w:cs="宋体"/>
          <w:color w:val="auto"/>
          <w:spacing w:val="13"/>
          <w:sz w:val="24"/>
        </w:rPr>
        <w:t xml:space="preserve">20.3.1增加内容： </w:t>
      </w:r>
    </w:p>
    <w:p w14:paraId="2518C012">
      <w:pPr>
        <w:spacing w:before="2" w:line="360" w:lineRule="auto"/>
        <w:ind w:left="8" w:firstLine="566" w:firstLineChars="213"/>
        <w:rPr>
          <w:rFonts w:ascii="宋体" w:hAnsi="宋体" w:cs="宋体"/>
          <w:color w:val="auto"/>
          <w:spacing w:val="13"/>
          <w:sz w:val="24"/>
        </w:rPr>
      </w:pPr>
      <w:r>
        <w:rPr>
          <w:rFonts w:hint="eastAsia" w:ascii="宋体" w:hAnsi="宋体" w:cs="宋体"/>
          <w:color w:val="auto"/>
          <w:spacing w:val="13"/>
          <w:sz w:val="24"/>
        </w:rPr>
        <w:t xml:space="preserve">办理保险的一切费用均由承包人承担，并包括在工程量清单的单价及总额价中，发包人不单独支付。 </w:t>
      </w:r>
    </w:p>
    <w:p w14:paraId="1EEF830B">
      <w:pPr>
        <w:spacing w:before="2" w:line="360" w:lineRule="auto"/>
        <w:ind w:left="8" w:firstLine="569" w:firstLineChars="213"/>
        <w:rPr>
          <w:rFonts w:ascii="宋体" w:hAnsi="宋体" w:cs="宋体"/>
          <w:color w:val="auto"/>
          <w:spacing w:val="13"/>
          <w:sz w:val="24"/>
        </w:rPr>
      </w:pPr>
      <w:r>
        <w:rPr>
          <w:rFonts w:hint="eastAsia" w:ascii="宋体" w:hAnsi="宋体" w:cs="宋体"/>
          <w:b/>
          <w:bCs/>
          <w:color w:val="auto"/>
          <w:spacing w:val="13"/>
          <w:sz w:val="24"/>
        </w:rPr>
        <w:t>20.4人身意外伤害险</w:t>
      </w:r>
    </w:p>
    <w:p w14:paraId="68D7F6B6">
      <w:pPr>
        <w:spacing w:before="2" w:line="360" w:lineRule="auto"/>
        <w:ind w:left="8" w:firstLine="566" w:firstLineChars="213"/>
        <w:rPr>
          <w:rFonts w:ascii="宋体" w:hAnsi="宋体" w:cs="宋体"/>
          <w:color w:val="auto"/>
          <w:spacing w:val="13"/>
          <w:sz w:val="24"/>
        </w:rPr>
      </w:pPr>
      <w:r>
        <w:rPr>
          <w:rFonts w:hint="eastAsia" w:ascii="宋体" w:hAnsi="宋体" w:cs="宋体"/>
          <w:color w:val="auto"/>
          <w:spacing w:val="13"/>
          <w:sz w:val="24"/>
        </w:rPr>
        <w:t xml:space="preserve">20.4.1承包人应在整个施工期间为其现场机构雇用的全部人员，投保人身意外伤害险， 缴纳保险费，并要求其分包人也进行此项保险。办理保险的一切费用均由承包人承担，并包括在工程量清单的单价及总额价中，发包人不单独支付。 </w:t>
      </w:r>
    </w:p>
    <w:p w14:paraId="00D192C8">
      <w:pPr>
        <w:spacing w:before="2" w:line="360" w:lineRule="auto"/>
        <w:ind w:left="8" w:firstLine="566" w:firstLineChars="213"/>
        <w:rPr>
          <w:rFonts w:ascii="宋体" w:hAnsi="宋体" w:cs="宋体"/>
          <w:color w:val="auto"/>
          <w:spacing w:val="13"/>
          <w:sz w:val="24"/>
        </w:rPr>
      </w:pPr>
      <w:r>
        <w:rPr>
          <w:rFonts w:hint="eastAsia" w:ascii="宋体" w:hAnsi="宋体" w:cs="宋体"/>
          <w:color w:val="auto"/>
          <w:spacing w:val="13"/>
          <w:sz w:val="24"/>
        </w:rPr>
        <w:t xml:space="preserve">其中：人身意外伤害险每位被保险人的最低保险金额为10万元人民币，附加意外伤害险医疗险的保险金额为2万元人民币，每合同段的人身意外伤害险和附加意外伤害医疗险保险费按合同价（不含该保险费）的3‰计列。人身意外伤害险和附加意外伤害医疗险的保险对象为建筑施工企业参加基建项目建设施工现场从事施工作业和管理的人员。时间上涵盖施工全过程的任一时段，在保险范围上覆盖所有参加工程建设的管理人员、施工人员（含农民工）。 </w:t>
      </w:r>
    </w:p>
    <w:p w14:paraId="2FC708BE">
      <w:pPr>
        <w:spacing w:before="2" w:line="360" w:lineRule="auto"/>
        <w:ind w:left="8" w:firstLine="566" w:firstLineChars="213"/>
        <w:rPr>
          <w:rFonts w:ascii="宋体" w:hAnsi="宋体" w:cs="宋体"/>
          <w:color w:val="auto"/>
          <w:spacing w:val="13"/>
          <w:sz w:val="24"/>
        </w:rPr>
      </w:pPr>
      <w:r>
        <w:rPr>
          <w:rFonts w:hint="eastAsia" w:ascii="宋体" w:hAnsi="宋体" w:cs="宋体"/>
          <w:color w:val="auto"/>
          <w:spacing w:val="13"/>
          <w:sz w:val="24"/>
        </w:rPr>
        <w:t xml:space="preserve">保险期限为自施工队伍进场之日起至工程通过竣工验收时止。 </w:t>
      </w:r>
    </w:p>
    <w:p w14:paraId="4E9A7FF6">
      <w:pPr>
        <w:spacing w:before="2" w:line="360" w:lineRule="auto"/>
        <w:ind w:left="8" w:firstLine="566" w:firstLineChars="213"/>
        <w:rPr>
          <w:rFonts w:ascii="宋体" w:hAnsi="宋体" w:cs="宋体"/>
          <w:color w:val="auto"/>
          <w:spacing w:val="13"/>
          <w:sz w:val="24"/>
        </w:rPr>
      </w:pPr>
      <w:r>
        <w:rPr>
          <w:rFonts w:hint="eastAsia" w:ascii="宋体" w:hAnsi="宋体" w:cs="宋体"/>
          <w:color w:val="auto"/>
          <w:spacing w:val="13"/>
          <w:sz w:val="24"/>
        </w:rPr>
        <w:t xml:space="preserve">施工合同签订后工程开工前15日，承包人必须按有关规定与保险公司签订人身意外伤害险和附加意外伤害医疗险以及其他需要投保的保险合同。 </w:t>
      </w:r>
    </w:p>
    <w:p w14:paraId="22997A5C">
      <w:pPr>
        <w:spacing w:before="2" w:line="360" w:lineRule="auto"/>
        <w:ind w:left="8" w:firstLine="569" w:firstLineChars="213"/>
        <w:rPr>
          <w:rFonts w:ascii="宋体" w:hAnsi="宋体" w:cs="宋体"/>
          <w:b/>
          <w:bCs/>
          <w:color w:val="auto"/>
          <w:spacing w:val="13"/>
          <w:sz w:val="24"/>
        </w:rPr>
      </w:pPr>
      <w:r>
        <w:rPr>
          <w:rFonts w:hint="eastAsia" w:ascii="宋体" w:hAnsi="宋体" w:cs="宋体"/>
          <w:b/>
          <w:bCs/>
          <w:color w:val="auto"/>
          <w:spacing w:val="13"/>
          <w:sz w:val="24"/>
        </w:rPr>
        <w:t xml:space="preserve">20.5其他保险 </w:t>
      </w:r>
    </w:p>
    <w:p w14:paraId="7B5FF230">
      <w:pPr>
        <w:spacing w:before="2" w:line="360" w:lineRule="auto"/>
        <w:ind w:left="8" w:firstLine="566" w:firstLineChars="213"/>
        <w:rPr>
          <w:rFonts w:ascii="宋体" w:hAnsi="宋体" w:cs="宋体"/>
          <w:color w:val="auto"/>
          <w:spacing w:val="13"/>
          <w:sz w:val="24"/>
        </w:rPr>
      </w:pPr>
      <w:r>
        <w:rPr>
          <w:rFonts w:hint="eastAsia" w:ascii="宋体" w:hAnsi="宋体" w:cs="宋体"/>
          <w:color w:val="auto"/>
          <w:spacing w:val="13"/>
          <w:sz w:val="24"/>
        </w:rPr>
        <w:t xml:space="preserve">本款约定为： </w:t>
      </w:r>
    </w:p>
    <w:p w14:paraId="11FFD1A5">
      <w:pPr>
        <w:spacing w:before="2" w:line="360" w:lineRule="auto"/>
        <w:ind w:left="8" w:firstLine="566" w:firstLineChars="213"/>
        <w:rPr>
          <w:rFonts w:ascii="宋体" w:hAnsi="宋体" w:cs="宋体"/>
          <w:color w:val="auto"/>
          <w:spacing w:val="13"/>
          <w:sz w:val="24"/>
        </w:rPr>
      </w:pPr>
      <w:r>
        <w:rPr>
          <w:rFonts w:hint="eastAsia" w:ascii="宋体" w:hAnsi="宋体" w:cs="宋体"/>
          <w:color w:val="auto"/>
          <w:spacing w:val="13"/>
          <w:sz w:val="24"/>
        </w:rPr>
        <w:t xml:space="preserve">承包人应为其施工设备等办理保险，其投保金额应足以现场重置。办理本款保险的一切费用均由承包人承担，并包括在工程量清单的单价及总额价中，发包人不单独支付。 </w:t>
      </w:r>
    </w:p>
    <w:p w14:paraId="62B2E941">
      <w:pPr>
        <w:spacing w:before="2" w:line="360" w:lineRule="auto"/>
        <w:ind w:left="8" w:firstLine="569" w:firstLineChars="213"/>
        <w:rPr>
          <w:rFonts w:ascii="宋体" w:hAnsi="宋体" w:cs="宋体"/>
          <w:color w:val="auto"/>
          <w:spacing w:val="13"/>
          <w:sz w:val="24"/>
        </w:rPr>
      </w:pPr>
      <w:r>
        <w:rPr>
          <w:rFonts w:hint="eastAsia" w:ascii="宋体" w:hAnsi="宋体" w:cs="宋体"/>
          <w:b/>
          <w:bCs/>
          <w:color w:val="auto"/>
          <w:spacing w:val="13"/>
          <w:sz w:val="24"/>
        </w:rPr>
        <w:t>20.6对各项保险的一般要求</w:t>
      </w:r>
    </w:p>
    <w:p w14:paraId="320E2F56">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rPr>
        <w:t>20.6.1承包人向发包人提交各项保险生效的证据和保险单副本的期限：</w:t>
      </w:r>
      <w:r>
        <w:rPr>
          <w:rFonts w:hint="eastAsia" w:ascii="宋体" w:hAnsi="宋体" w:cs="宋体"/>
          <w:color w:val="auto"/>
          <w:spacing w:val="13"/>
          <w:sz w:val="24"/>
          <w:u w:val="single"/>
        </w:rPr>
        <w:t>施工合同签订后工程开工前14日。</w:t>
      </w:r>
    </w:p>
    <w:p w14:paraId="23313C16">
      <w:pPr>
        <w:spacing w:before="2" w:line="360" w:lineRule="auto"/>
        <w:ind w:left="8" w:firstLine="566" w:firstLineChars="213"/>
        <w:rPr>
          <w:rFonts w:ascii="宋体" w:hAnsi="宋体" w:cs="宋体"/>
          <w:color w:val="auto"/>
          <w:spacing w:val="13"/>
          <w:sz w:val="24"/>
        </w:rPr>
      </w:pPr>
      <w:bookmarkStart w:id="244" w:name="bookmark106"/>
      <w:bookmarkEnd w:id="244"/>
      <w:bookmarkStart w:id="245" w:name="bookmark105"/>
      <w:bookmarkEnd w:id="245"/>
      <w:r>
        <w:rPr>
          <w:rFonts w:hint="eastAsia" w:ascii="宋体" w:hAnsi="宋体" w:cs="宋体"/>
          <w:color w:val="auto"/>
          <w:spacing w:val="13"/>
          <w:sz w:val="24"/>
        </w:rPr>
        <w:t>21.  不可抗力</w:t>
      </w:r>
    </w:p>
    <w:p w14:paraId="6ECEC2B0">
      <w:pPr>
        <w:spacing w:before="2" w:line="360" w:lineRule="auto"/>
        <w:ind w:left="8" w:firstLine="566" w:firstLineChars="213"/>
        <w:rPr>
          <w:rFonts w:ascii="宋体" w:hAnsi="宋体" w:cs="宋体"/>
          <w:color w:val="auto"/>
          <w:spacing w:val="13"/>
          <w:sz w:val="24"/>
        </w:rPr>
      </w:pPr>
      <w:r>
        <w:rPr>
          <w:rFonts w:hint="eastAsia" w:ascii="宋体" w:hAnsi="宋体" w:cs="宋体"/>
          <w:color w:val="auto"/>
          <w:spacing w:val="13"/>
          <w:sz w:val="24"/>
        </w:rPr>
        <w:t>21.1  不可抗力的确认</w:t>
      </w:r>
    </w:p>
    <w:p w14:paraId="63C5FC12">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rPr>
        <w:t>21.1.1  （5）不可抗力的其他情形：</w:t>
      </w:r>
      <w:r>
        <w:rPr>
          <w:rFonts w:hint="eastAsia" w:ascii="宋体" w:hAnsi="宋体" w:cs="宋体"/>
          <w:color w:val="auto"/>
          <w:spacing w:val="13"/>
          <w:sz w:val="24"/>
          <w:u w:val="single"/>
        </w:rPr>
        <w:t>/      。</w:t>
      </w:r>
    </w:p>
    <w:p w14:paraId="589BBCA6">
      <w:pPr>
        <w:spacing w:before="2" w:line="360" w:lineRule="auto"/>
        <w:ind w:left="8" w:firstLine="569" w:firstLineChars="213"/>
        <w:rPr>
          <w:rFonts w:ascii="宋体" w:hAnsi="宋体" w:cs="宋体"/>
          <w:b/>
          <w:bCs/>
          <w:color w:val="auto"/>
          <w:spacing w:val="13"/>
          <w:sz w:val="24"/>
        </w:rPr>
      </w:pPr>
      <w:bookmarkStart w:id="246" w:name="bookmark107"/>
      <w:bookmarkEnd w:id="246"/>
      <w:bookmarkStart w:id="247" w:name="bookmark108"/>
      <w:bookmarkEnd w:id="247"/>
      <w:r>
        <w:rPr>
          <w:rFonts w:hint="eastAsia" w:ascii="宋体" w:hAnsi="宋体" w:cs="宋体"/>
          <w:b/>
          <w:bCs/>
          <w:color w:val="auto"/>
          <w:spacing w:val="13"/>
          <w:sz w:val="24"/>
        </w:rPr>
        <w:t>22. 违约</w:t>
      </w:r>
    </w:p>
    <w:p w14:paraId="2D38EF95">
      <w:pPr>
        <w:spacing w:before="2" w:line="360" w:lineRule="auto"/>
        <w:ind w:left="8" w:firstLine="569" w:firstLineChars="213"/>
        <w:rPr>
          <w:rFonts w:ascii="宋体" w:hAnsi="宋体" w:cs="宋体"/>
          <w:b/>
          <w:bCs/>
          <w:color w:val="auto"/>
          <w:spacing w:val="13"/>
          <w:sz w:val="24"/>
        </w:rPr>
      </w:pPr>
      <w:r>
        <w:rPr>
          <w:rFonts w:ascii="宋体" w:hAnsi="宋体" w:cs="宋体"/>
          <w:b/>
          <w:bCs/>
          <w:color w:val="auto"/>
          <w:spacing w:val="13"/>
          <w:sz w:val="24"/>
        </w:rPr>
        <w:t xml:space="preserve">22.1 </w:t>
      </w:r>
      <w:r>
        <w:rPr>
          <w:rFonts w:hint="eastAsia" w:ascii="宋体" w:hAnsi="宋体" w:cs="宋体"/>
          <w:b/>
          <w:bCs/>
          <w:color w:val="auto"/>
          <w:spacing w:val="13"/>
          <w:sz w:val="24"/>
        </w:rPr>
        <w:t xml:space="preserve">承包人违约 </w:t>
      </w:r>
    </w:p>
    <w:p w14:paraId="0D8D4128">
      <w:pPr>
        <w:spacing w:before="2" w:line="360" w:lineRule="auto"/>
        <w:ind w:left="8" w:firstLine="569" w:firstLineChars="213"/>
        <w:rPr>
          <w:rFonts w:ascii="宋体" w:hAnsi="宋体" w:cs="宋体"/>
          <w:b/>
          <w:bCs/>
          <w:color w:val="auto"/>
          <w:spacing w:val="13"/>
          <w:sz w:val="24"/>
        </w:rPr>
      </w:pPr>
      <w:r>
        <w:rPr>
          <w:rFonts w:hint="eastAsia" w:ascii="宋体" w:hAnsi="宋体" w:cs="宋体"/>
          <w:b/>
          <w:bCs/>
          <w:color w:val="auto"/>
          <w:spacing w:val="13"/>
          <w:sz w:val="24"/>
        </w:rPr>
        <w:t xml:space="preserve">22.1.1承包人违约的情形 </w:t>
      </w:r>
    </w:p>
    <w:p w14:paraId="6D19257C">
      <w:pPr>
        <w:spacing w:before="2" w:line="360" w:lineRule="auto"/>
        <w:ind w:left="8" w:firstLine="569" w:firstLineChars="213"/>
        <w:rPr>
          <w:rFonts w:ascii="宋体" w:hAnsi="宋体" w:cs="宋体"/>
          <w:color w:val="auto"/>
          <w:spacing w:val="13"/>
          <w:sz w:val="24"/>
        </w:rPr>
      </w:pPr>
      <w:r>
        <w:rPr>
          <w:rFonts w:hint="eastAsia" w:ascii="宋体" w:hAnsi="宋体" w:cs="宋体"/>
          <w:b/>
          <w:bCs/>
          <w:color w:val="auto"/>
          <w:spacing w:val="13"/>
          <w:sz w:val="24"/>
        </w:rPr>
        <w:t>22.1.1承包人违约的情形</w:t>
      </w:r>
    </w:p>
    <w:p w14:paraId="6DA49AFB">
      <w:pPr>
        <w:spacing w:before="2" w:line="360" w:lineRule="auto"/>
        <w:ind w:left="8" w:firstLine="566" w:firstLineChars="213"/>
        <w:rPr>
          <w:rFonts w:ascii="宋体" w:hAnsi="宋体" w:cs="宋体"/>
          <w:color w:val="auto"/>
          <w:spacing w:val="13"/>
          <w:sz w:val="24"/>
        </w:rPr>
      </w:pPr>
      <w:r>
        <w:rPr>
          <w:rFonts w:hint="eastAsia" w:ascii="宋体" w:hAnsi="宋体" w:cs="宋体"/>
          <w:color w:val="auto"/>
          <w:spacing w:val="13"/>
          <w:sz w:val="24"/>
        </w:rPr>
        <w:t xml:space="preserve">在履行合同过程中发生的下列情况属承包人违约： </w:t>
      </w:r>
    </w:p>
    <w:p w14:paraId="242AFFCD">
      <w:pPr>
        <w:spacing w:before="2" w:line="360" w:lineRule="auto"/>
        <w:ind w:left="8" w:firstLine="566" w:firstLineChars="213"/>
        <w:rPr>
          <w:rFonts w:ascii="宋体" w:hAnsi="宋体" w:cs="宋体"/>
          <w:color w:val="auto"/>
          <w:spacing w:val="13"/>
          <w:sz w:val="24"/>
        </w:rPr>
      </w:pPr>
      <w:r>
        <w:rPr>
          <w:rFonts w:hint="eastAsia" w:ascii="宋体" w:hAnsi="宋体" w:cs="宋体"/>
          <w:color w:val="auto"/>
          <w:spacing w:val="13"/>
          <w:sz w:val="24"/>
        </w:rPr>
        <w:t xml:space="preserve">（1）承包人违反第1.7款或第4.3款的约定，私自将合同的全部或部分权利转让给其他人，或私自将合同的全部或部分义务转移给其他人； </w:t>
      </w:r>
    </w:p>
    <w:p w14:paraId="60780B04">
      <w:pPr>
        <w:spacing w:before="2" w:line="360" w:lineRule="auto"/>
        <w:ind w:left="8" w:firstLine="566" w:firstLineChars="213"/>
        <w:rPr>
          <w:rFonts w:ascii="宋体" w:hAnsi="宋体" w:cs="宋体"/>
          <w:color w:val="auto"/>
          <w:spacing w:val="13"/>
          <w:sz w:val="24"/>
        </w:rPr>
      </w:pPr>
      <w:r>
        <w:rPr>
          <w:rFonts w:hint="eastAsia" w:ascii="宋体" w:hAnsi="宋体" w:cs="宋体"/>
          <w:color w:val="auto"/>
          <w:spacing w:val="13"/>
          <w:sz w:val="24"/>
        </w:rPr>
        <w:t xml:space="preserve">（2）承包人违反第5.3款或第6.4款的约定，未经咨询人（监理人）批准，私自将已按合同约定进入养护作业场地的养护作业设备、临时设施、材料或工程设备撤离养护作业场地； </w:t>
      </w:r>
    </w:p>
    <w:p w14:paraId="768D4D9C">
      <w:pPr>
        <w:spacing w:before="2" w:line="360" w:lineRule="auto"/>
        <w:ind w:left="8" w:firstLine="566" w:firstLineChars="213"/>
        <w:rPr>
          <w:rFonts w:ascii="宋体" w:hAnsi="宋体" w:cs="宋体"/>
          <w:color w:val="auto"/>
          <w:spacing w:val="13"/>
          <w:sz w:val="24"/>
        </w:rPr>
      </w:pPr>
      <w:r>
        <w:rPr>
          <w:rFonts w:hint="eastAsia" w:ascii="宋体" w:hAnsi="宋体" w:cs="宋体"/>
          <w:color w:val="auto"/>
          <w:spacing w:val="13"/>
          <w:sz w:val="24"/>
        </w:rPr>
        <w:t xml:space="preserve">（3）承包人违反第5.4款的约定使用了不合格材料或工程设备，养护质量达不到标准要求，又拒绝清除不合格养护工程； </w:t>
      </w:r>
    </w:p>
    <w:p w14:paraId="55C8B17F">
      <w:pPr>
        <w:spacing w:before="2" w:line="360" w:lineRule="auto"/>
        <w:ind w:left="8" w:firstLine="566" w:firstLineChars="213"/>
        <w:rPr>
          <w:rFonts w:ascii="宋体" w:hAnsi="宋体" w:cs="宋体"/>
          <w:color w:val="auto"/>
          <w:spacing w:val="13"/>
          <w:sz w:val="24"/>
        </w:rPr>
      </w:pPr>
      <w:r>
        <w:rPr>
          <w:rFonts w:hint="eastAsia" w:ascii="宋体" w:hAnsi="宋体" w:cs="宋体"/>
          <w:color w:val="auto"/>
          <w:spacing w:val="13"/>
          <w:sz w:val="24"/>
        </w:rPr>
        <w:t xml:space="preserve">（4）承包人未能按合同进度计划及时完成合同约定的工作，已造成或预期造成工期延误； </w:t>
      </w:r>
    </w:p>
    <w:p w14:paraId="3DC44BEB">
      <w:pPr>
        <w:spacing w:before="2" w:line="360" w:lineRule="auto"/>
        <w:ind w:left="8" w:firstLine="566" w:firstLineChars="213"/>
        <w:rPr>
          <w:rFonts w:ascii="宋体" w:hAnsi="宋体" w:cs="宋体"/>
          <w:color w:val="auto"/>
          <w:spacing w:val="13"/>
          <w:sz w:val="24"/>
        </w:rPr>
      </w:pPr>
      <w:r>
        <w:rPr>
          <w:rFonts w:hint="eastAsia" w:ascii="宋体" w:hAnsi="宋体" w:cs="宋体"/>
          <w:color w:val="auto"/>
          <w:spacing w:val="13"/>
          <w:sz w:val="24"/>
        </w:rPr>
        <w:t xml:space="preserve">（5）承包人在缺陷责任期内，未能对交工验收证书所列的缺陷清单的内容或缺陷责任期内发生的缺陷进行修复，而又拒绝按咨询人（监理人）指示再进行修补； </w:t>
      </w:r>
    </w:p>
    <w:p w14:paraId="46F1F278">
      <w:pPr>
        <w:spacing w:before="2" w:line="360" w:lineRule="auto"/>
        <w:ind w:left="8" w:firstLine="566" w:firstLineChars="213"/>
        <w:rPr>
          <w:rFonts w:ascii="宋体" w:hAnsi="宋体" w:cs="宋体"/>
          <w:color w:val="auto"/>
          <w:spacing w:val="13"/>
          <w:sz w:val="24"/>
        </w:rPr>
      </w:pPr>
      <w:r>
        <w:rPr>
          <w:rFonts w:hint="eastAsia" w:ascii="宋体" w:hAnsi="宋体" w:cs="宋体"/>
          <w:color w:val="auto"/>
          <w:spacing w:val="13"/>
          <w:sz w:val="24"/>
        </w:rPr>
        <w:t xml:space="preserve">（6）承包人无法继续履行或明确表示不履行或实质上已停止履行合同； </w:t>
      </w:r>
    </w:p>
    <w:p w14:paraId="370C9974">
      <w:pPr>
        <w:spacing w:before="2" w:line="360" w:lineRule="auto"/>
        <w:ind w:left="8" w:firstLine="566" w:firstLineChars="213"/>
        <w:rPr>
          <w:rFonts w:ascii="宋体" w:hAnsi="宋体" w:cs="宋体"/>
          <w:color w:val="auto"/>
          <w:spacing w:val="13"/>
          <w:sz w:val="24"/>
        </w:rPr>
      </w:pPr>
      <w:r>
        <w:rPr>
          <w:rFonts w:hint="eastAsia" w:ascii="宋体" w:hAnsi="宋体" w:cs="宋体"/>
          <w:color w:val="auto"/>
          <w:spacing w:val="13"/>
          <w:sz w:val="24"/>
        </w:rPr>
        <w:t xml:space="preserve">（7）承包人未能按期开工； </w:t>
      </w:r>
    </w:p>
    <w:p w14:paraId="3BB4229A">
      <w:pPr>
        <w:spacing w:before="2" w:line="360" w:lineRule="auto"/>
        <w:ind w:left="8" w:firstLine="566" w:firstLineChars="213"/>
        <w:rPr>
          <w:rFonts w:ascii="宋体" w:hAnsi="宋体" w:cs="宋体"/>
          <w:color w:val="auto"/>
          <w:spacing w:val="13"/>
          <w:sz w:val="24"/>
        </w:rPr>
      </w:pPr>
      <w:r>
        <w:rPr>
          <w:rFonts w:hint="eastAsia" w:ascii="宋体" w:hAnsi="宋体" w:cs="宋体"/>
          <w:color w:val="auto"/>
          <w:spacing w:val="13"/>
          <w:sz w:val="24"/>
        </w:rPr>
        <w:t xml:space="preserve">（8）承包人违反第4.6款或第6.3款的约定，未按承诺或未按咨询人（监理人）的要求及时配备称职的主要管理人员、技术骨干、专职安全生产管理人员或关键养护作业设备。 </w:t>
      </w:r>
    </w:p>
    <w:p w14:paraId="0BC0138C">
      <w:pPr>
        <w:spacing w:before="2" w:line="360" w:lineRule="auto"/>
        <w:ind w:left="8" w:firstLine="566" w:firstLineChars="213"/>
        <w:rPr>
          <w:rFonts w:ascii="宋体" w:hAnsi="宋体" w:cs="宋体"/>
          <w:color w:val="auto"/>
          <w:spacing w:val="13"/>
          <w:sz w:val="24"/>
        </w:rPr>
      </w:pPr>
      <w:r>
        <w:rPr>
          <w:rFonts w:hint="eastAsia" w:ascii="宋体" w:hAnsi="宋体" w:cs="宋体"/>
          <w:color w:val="auto"/>
          <w:spacing w:val="13"/>
          <w:sz w:val="24"/>
        </w:rPr>
        <w:t xml:space="preserve">（9）经咨询人（监理人）和发包人检查，发现承包人有安全问题或有违反安全管理规章制度的情况； </w:t>
      </w:r>
    </w:p>
    <w:p w14:paraId="21A23544">
      <w:pPr>
        <w:spacing w:before="2" w:line="360" w:lineRule="auto"/>
        <w:ind w:left="8" w:firstLine="566" w:firstLineChars="213"/>
        <w:rPr>
          <w:rFonts w:ascii="宋体" w:hAnsi="宋体" w:cs="宋体"/>
          <w:color w:val="auto"/>
          <w:spacing w:val="13"/>
          <w:sz w:val="24"/>
        </w:rPr>
      </w:pPr>
      <w:r>
        <w:rPr>
          <w:rFonts w:hint="eastAsia" w:ascii="宋体" w:hAnsi="宋体" w:cs="宋体"/>
          <w:color w:val="auto"/>
          <w:spacing w:val="13"/>
          <w:sz w:val="24"/>
        </w:rPr>
        <w:t xml:space="preserve">修改（10）承包人在签订合同后10日内项目经理和总工未到项目现场开展工作； </w:t>
      </w:r>
    </w:p>
    <w:p w14:paraId="67CAF761">
      <w:pPr>
        <w:spacing w:before="2" w:line="360" w:lineRule="auto"/>
        <w:ind w:left="8" w:firstLine="566" w:firstLineChars="213"/>
        <w:rPr>
          <w:rFonts w:ascii="宋体" w:hAnsi="宋体" w:cs="宋体"/>
          <w:color w:val="auto"/>
          <w:spacing w:val="13"/>
          <w:sz w:val="24"/>
        </w:rPr>
      </w:pPr>
      <w:r>
        <w:rPr>
          <w:rFonts w:hint="eastAsia" w:ascii="宋体" w:hAnsi="宋体" w:cs="宋体"/>
          <w:color w:val="auto"/>
          <w:spacing w:val="13"/>
          <w:sz w:val="24"/>
        </w:rPr>
        <w:t xml:space="preserve">增加（11）承包人不按合同约定履行义务的其他情况。 </w:t>
      </w:r>
    </w:p>
    <w:p w14:paraId="34268E3F">
      <w:pPr>
        <w:spacing w:before="2" w:line="360" w:lineRule="auto"/>
        <w:ind w:left="8" w:firstLine="569" w:firstLineChars="213"/>
        <w:rPr>
          <w:rFonts w:ascii="宋体" w:hAnsi="宋体" w:cs="宋体"/>
          <w:b/>
          <w:bCs/>
          <w:color w:val="auto"/>
          <w:spacing w:val="13"/>
          <w:sz w:val="24"/>
        </w:rPr>
      </w:pPr>
      <w:r>
        <w:rPr>
          <w:rFonts w:hint="eastAsia" w:ascii="宋体" w:hAnsi="宋体" w:cs="宋体"/>
          <w:b/>
          <w:bCs/>
          <w:color w:val="auto"/>
          <w:spacing w:val="13"/>
          <w:sz w:val="24"/>
        </w:rPr>
        <w:t xml:space="preserve">22.1.2对承包人违约的处理 </w:t>
      </w:r>
    </w:p>
    <w:p w14:paraId="67EEB067">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(1)承包人发生第22.1.1⑹目约定的违约情形时，发包人可通知承包人立即解除合同，并按有关法律处理。 </w:t>
      </w:r>
    </w:p>
    <w:p w14:paraId="53D76380">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(2)承包人发生第22.1.1⑹目约定以外的违约情形时，咨询人（监理人）可向承包人发出整改通知，要求其在指定的期限内改正。承包人应承担其违约所引起的费用增加和（或）工期延误。 </w:t>
      </w:r>
    </w:p>
    <w:p w14:paraId="40BE8459">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（3）经检查证明承包人已采取了有效措施纠正违约行为，具备复工条件的，可由咨询人（监理人）签发复工通知复工。 </w:t>
      </w:r>
    </w:p>
    <w:p w14:paraId="43D12901">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（4）当承包人发生第22.1.1项约定的违约情况时，发包人有权向承包人课以违约金，具体约定如下： </w:t>
      </w:r>
    </w:p>
    <w:p w14:paraId="553AF678">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增加： </w:t>
      </w:r>
    </w:p>
    <w:p w14:paraId="596F5182">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（5）承包人发生第22.1.1项约定的违约情况时，无论发包人是否解除合同，发包人均有权将其违约行为上报省级交通主管部门，作为不良记录纳人公路养护工程市场信用信息管理系统。 </w:t>
      </w:r>
    </w:p>
    <w:p w14:paraId="2AACD50A">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（6）承包人发生第22.1.1项（5）目情形，按第19.2.4款规定处理； </w:t>
      </w:r>
    </w:p>
    <w:p w14:paraId="2CABF81C">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（7）承包人发生第22.1.1（7）目的违约情形时，每天向发包人支付逾期开工违约金：5000元/天。逾期超过14天，发包人有权解除合同并追究承包人解除合同的违约责任。 </w:t>
      </w:r>
    </w:p>
    <w:p w14:paraId="29952DF8">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（8）有22.1.1.（8）款行为或以下行为的，视为承包人违约，可对承包人处以以下的违约金： </w:t>
      </w:r>
    </w:p>
    <w:p w14:paraId="5DB3BE10">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a.承包人更换主要人员的（不管是否经项目法人或咨询总负责人同意），项目经理处5万元/人次，总工（或技术负责人）处3万元/人次，其他主要人员（指结构专业工程师、路基路面专业工程师、测量工程师、计量工程师和试验工程师）处2万元/人次； </w:t>
      </w:r>
    </w:p>
    <w:p w14:paraId="55F7C717">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b．项目经理或项目技术负责人未经发包人同意擅自离开工地，每天课以违约金500元／ 人；若虽经批准离开工地但每月在工地天数不足22天（特殊情况经咨询人（监理人）批准报发包人同意例外）的，每不足一天课以违约金500元／人。其它主要技术骨干人员每月在工地天数不足22天（特殊情况经咨询人（监理人）批准报发包人同意例外）的,每不足一天课以违约金300元／人； </w:t>
      </w:r>
    </w:p>
    <w:p w14:paraId="593C93ED">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c．主要设备没有按进度和合同规定承诺进场的处500元/日台。 </w:t>
      </w:r>
    </w:p>
    <w:p w14:paraId="69623930">
      <w:pPr>
        <w:spacing w:before="2" w:line="360" w:lineRule="auto"/>
        <w:ind w:left="8" w:firstLine="569" w:firstLineChars="213"/>
        <w:rPr>
          <w:rFonts w:ascii="宋体" w:hAnsi="宋体" w:cs="宋体"/>
          <w:b/>
          <w:bCs/>
          <w:color w:val="auto"/>
          <w:spacing w:val="13"/>
          <w:sz w:val="24"/>
          <w:u w:val="single"/>
        </w:rPr>
      </w:pPr>
      <w:r>
        <w:rPr>
          <w:rFonts w:hint="eastAsia" w:ascii="宋体" w:hAnsi="宋体" w:cs="宋体"/>
          <w:b/>
          <w:bCs/>
          <w:color w:val="auto"/>
          <w:spacing w:val="13"/>
          <w:sz w:val="24"/>
          <w:u w:val="single"/>
        </w:rPr>
        <w:t xml:space="preserve">（9）有以下情形的，可对承包人处以违约金。 </w:t>
      </w:r>
    </w:p>
    <w:p w14:paraId="40D0BD08">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a.质量管理 </w:t>
      </w:r>
    </w:p>
    <w:p w14:paraId="286C788E">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(a)出现下列行为之一可处200元/（人）次。 </w:t>
      </w:r>
    </w:p>
    <w:p w14:paraId="6877677F">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Ⅰ分项工程（养护单元）施工现场无合格的施工责任牌；或 </w:t>
      </w:r>
    </w:p>
    <w:p w14:paraId="098BEF65">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Ⅱ分项工程（养护单元）施工现场无其相关责任人；或 </w:t>
      </w:r>
    </w:p>
    <w:p w14:paraId="5427B596">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Ⅲ施工现场无基本的检测检验工具；或</w:t>
      </w:r>
    </w:p>
    <w:p w14:paraId="4978E6DC">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Ⅳ施工现场相关责任人无检查检验记录表；或 </w:t>
      </w:r>
    </w:p>
    <w:p w14:paraId="465655EF">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Ⅴ现场已完成工作无检查记录。 </w:t>
      </w:r>
    </w:p>
    <w:p w14:paraId="7313AC3D">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（b）出现以下行为之一，可处1000元/次。 </w:t>
      </w:r>
    </w:p>
    <w:p w14:paraId="3761E979">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Ⅰ 未按工序申请检验进入下一道工序的；或 </w:t>
      </w:r>
    </w:p>
    <w:p w14:paraId="53106062">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Ⅱ 隐蔽工程记录文件不全；或 </w:t>
      </w:r>
    </w:p>
    <w:p w14:paraId="6FE7A941">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Ⅲ 施工试验检验频率不符合施工规范规定；或 </w:t>
      </w:r>
    </w:p>
    <w:p w14:paraId="3E86E17E">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Ⅳ 分项工程（养护单元）质量自检验收检验频率不符合质量评定标准规定的。 </w:t>
      </w:r>
    </w:p>
    <w:p w14:paraId="49F76888">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（c）出现以下行为之一，可处2000元/次。 </w:t>
      </w:r>
    </w:p>
    <w:p w14:paraId="6918738D">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Ⅰ 出现质量问题，且承包人负有直接责任的，或不能证明其履行其职责的； </w:t>
      </w:r>
    </w:p>
    <w:p w14:paraId="23DDB472">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Ⅱ 发生质量事故，未按有关规定和时间向有关部门报告的； </w:t>
      </w:r>
    </w:p>
    <w:p w14:paraId="2C582917">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Ⅲ 已经施工完成的工程没有按竣工文件收集归档管理办法要求依分项工程、工序 </w:t>
      </w:r>
    </w:p>
    <w:p w14:paraId="204C5A1B">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将施工作业记录、测量记录、试验检测记录及工序报验审批记录等收集归档。 </w:t>
      </w:r>
    </w:p>
    <w:p w14:paraId="05FC18AD">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（d）出现以下行为之一，可处5000元/次。 </w:t>
      </w:r>
    </w:p>
    <w:p w14:paraId="713E8315">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Ⅰ 施工单位不接受质监机构监督；或 </w:t>
      </w:r>
    </w:p>
    <w:p w14:paraId="00185D14">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Ⅱ 出现二、三级一般质量事故，且承包人负有直接责任，或不能证明其履行其职责的；或 </w:t>
      </w:r>
    </w:p>
    <w:p w14:paraId="74A6DE04">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Ⅲ 未按规定建立合格的工地试验室（或委托第三方试验室）的；或 </w:t>
      </w:r>
    </w:p>
    <w:p w14:paraId="584D4C43">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Ⅳ 路基土石方，路面各结构层一次单项单点实体抽查合格率为50%—70%的；或 </w:t>
      </w:r>
    </w:p>
    <w:p w14:paraId="111A617C">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Ⅴ 使用主要材料（钢筋、水泥、沥青、碎石、砂、砂砾等）不合格的。或 </w:t>
      </w:r>
    </w:p>
    <w:p w14:paraId="04B0D323">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Ⅷ 已经施工完成的工程无法提供按竣工文件收集归档管理办法要求应收集的分项 </w:t>
      </w:r>
    </w:p>
    <w:p w14:paraId="0283105F">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工程、工序的施工作业记录、测量记录、试验检测记录及工序报验审批记录等质量管理 文件的。 </w:t>
      </w:r>
    </w:p>
    <w:p w14:paraId="21A7E688">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b．安全生产管理 </w:t>
      </w:r>
    </w:p>
    <w:p w14:paraId="4DEEA121">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（a）出现下列行为之一可处200元/（人）次。 </w:t>
      </w:r>
    </w:p>
    <w:p w14:paraId="37FEF578">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Ⅰ 需持证上岗人员无证上岗的；或 </w:t>
      </w:r>
    </w:p>
    <w:p w14:paraId="7DD23959">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Ⅱ 需配戴安全防护用具作业的；或 </w:t>
      </w:r>
    </w:p>
    <w:p w14:paraId="6F743445">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Ⅲ 未经登记、安全培训教育上岗的。 </w:t>
      </w:r>
    </w:p>
    <w:p w14:paraId="5455F992">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（b）出现下列行为之一可处500元/处次。 </w:t>
      </w:r>
    </w:p>
    <w:p w14:paraId="0D49EEEC">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Ⅰ 无专职安全检查人员；或 </w:t>
      </w:r>
    </w:p>
    <w:p w14:paraId="711259FA">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Ⅱ 无安全生产检查日志；或</w:t>
      </w:r>
    </w:p>
    <w:p w14:paraId="2CABA369">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Ⅲ 作业点或危险施工路段安全标志不全；或 </w:t>
      </w:r>
    </w:p>
    <w:p w14:paraId="1BF9F877">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Ⅳ 安全标志（牌）、线（绳）不符国家规定的；或 </w:t>
      </w:r>
    </w:p>
    <w:p w14:paraId="294419EC">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Ⅴ 易燃易爆物品管理不符合管理要求。 </w:t>
      </w:r>
    </w:p>
    <w:p w14:paraId="4E469C2D">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（c）出现下列行为之一可处1000元/处次。 </w:t>
      </w:r>
    </w:p>
    <w:p w14:paraId="474C256A">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Ⅰ 施工作业点或施工形成的危险路段无规定的安全标志；或 </w:t>
      </w:r>
    </w:p>
    <w:p w14:paraId="41022D0C">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Ⅱ 需设安全防护设施的未按规定设置；或 </w:t>
      </w:r>
    </w:p>
    <w:p w14:paraId="5FE7ED1F">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Ⅲ 出现一般安全生事故负有责任的；或 </w:t>
      </w:r>
    </w:p>
    <w:p w14:paraId="67DE76A3">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Ⅳ 发生重大安全事故不按规定报告的。 </w:t>
      </w:r>
    </w:p>
    <w:p w14:paraId="681C0C8B">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（d）出现下列行为之一可处10000元/处次。 </w:t>
      </w:r>
    </w:p>
    <w:p w14:paraId="2B73406F">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出现重大安全生产事故负有责任的。 </w:t>
      </w:r>
    </w:p>
    <w:p w14:paraId="271E3DC9">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c．文明施工与环境保护，交通通畅 </w:t>
      </w:r>
    </w:p>
    <w:p w14:paraId="211740D5">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（a）路基路面施工扬尘影响交通安全的处500元/处天； </w:t>
      </w:r>
    </w:p>
    <w:p w14:paraId="55FF1DA0">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（b）由于施工原因造成污染、破坏被群众向政府、主管单位投诉或被环保、水利部门责令整改的，处1000元/次。 </w:t>
      </w:r>
    </w:p>
    <w:p w14:paraId="10D28312">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（c）由于承包人原因包括不及时处理堵车造成交通堵塞，堵车30分钟至一小时的处3000 元/次，堵车一小时至二小时的处5000元/次，堵车二小时以上的处每小时（不满1小时按1小时计）1万元，并建议上级主管单位进行通报。 </w:t>
      </w:r>
    </w:p>
    <w:p w14:paraId="22B47866">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d．其他重要规定违约处理 </w:t>
      </w:r>
    </w:p>
    <w:p w14:paraId="3DD7EDE5">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有下列行为之一的处500元/人次违约金并责令承包人进行整改。 </w:t>
      </w:r>
    </w:p>
    <w:p w14:paraId="0358B1DF">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(a) 劳务人员未按规定签订聘用合同并向业主、咨询总负责人报备；或 </w:t>
      </w:r>
    </w:p>
    <w:p w14:paraId="76DB7AE6">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(b) 签订的劳务合同不符合劳动法等法规要求；或 </w:t>
      </w:r>
    </w:p>
    <w:p w14:paraId="67DB1B01">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(c) 劳务人员未编入承包人施工班组，并持项目经理签发的劳务上岗证上岗。 </w:t>
      </w:r>
    </w:p>
    <w:p w14:paraId="7F30B4B0">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（10）上述被处的违约金在计量支付时从履约担保金中扣除，当扣除额达履约担保金总额30%时，承包人无条件进行足额补充。 </w:t>
      </w:r>
    </w:p>
    <w:p w14:paraId="44ADF24E">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 xml:space="preserve">（11）业主（发包人）按合同进行违约处理后，并不解除承包人按照国家法规与合同应承担的责任与义务。 </w:t>
      </w:r>
    </w:p>
    <w:p w14:paraId="68CB4088">
      <w:pPr>
        <w:spacing w:before="2" w:line="360" w:lineRule="auto"/>
        <w:ind w:left="8" w:firstLine="566" w:firstLineChars="213"/>
        <w:rPr>
          <w:rFonts w:ascii="宋体" w:hAnsi="宋体" w:cs="宋体"/>
          <w:color w:val="auto"/>
          <w:spacing w:val="13"/>
          <w:sz w:val="24"/>
          <w:u w:val="single"/>
        </w:rPr>
      </w:pPr>
      <w:r>
        <w:rPr>
          <w:rFonts w:ascii="宋体" w:hAnsi="宋体" w:cs="宋体"/>
          <w:color w:val="auto"/>
          <w:spacing w:val="13"/>
          <w:sz w:val="24"/>
          <w:u w:val="single"/>
        </w:rPr>
        <w:t xml:space="preserve">22.2 </w:t>
      </w:r>
      <w:r>
        <w:rPr>
          <w:rFonts w:hint="eastAsia" w:ascii="宋体" w:hAnsi="宋体" w:cs="宋体"/>
          <w:color w:val="auto"/>
          <w:spacing w:val="13"/>
          <w:sz w:val="24"/>
          <w:u w:val="single"/>
        </w:rPr>
        <w:t xml:space="preserve">发包人违约 </w:t>
      </w:r>
    </w:p>
    <w:p w14:paraId="47001B03">
      <w:pPr>
        <w:spacing w:before="2" w:line="360" w:lineRule="auto"/>
        <w:ind w:left="8" w:firstLine="566" w:firstLineChars="213"/>
        <w:rPr>
          <w:rFonts w:ascii="宋体" w:hAnsi="宋体" w:cs="宋体"/>
          <w:color w:val="auto"/>
          <w:spacing w:val="13"/>
          <w:sz w:val="24"/>
          <w:u w:val="single"/>
        </w:rPr>
      </w:pPr>
      <w:r>
        <w:rPr>
          <w:rFonts w:ascii="宋体" w:hAnsi="宋体" w:cs="宋体"/>
          <w:color w:val="auto"/>
          <w:spacing w:val="13"/>
          <w:sz w:val="24"/>
          <w:u w:val="single"/>
        </w:rPr>
        <w:t xml:space="preserve">22.2.2 </w:t>
      </w:r>
      <w:r>
        <w:rPr>
          <w:rFonts w:hint="eastAsia" w:ascii="宋体" w:hAnsi="宋体" w:cs="宋体"/>
          <w:color w:val="auto"/>
          <w:spacing w:val="13"/>
          <w:sz w:val="24"/>
          <w:u w:val="single"/>
        </w:rPr>
        <w:t xml:space="preserve">对发包人违约的处理 </w:t>
      </w:r>
    </w:p>
    <w:p w14:paraId="0EF879F0">
      <w:pPr>
        <w:spacing w:before="2" w:line="360" w:lineRule="auto"/>
        <w:ind w:left="8" w:firstLine="566" w:firstLineChars="213"/>
        <w:rPr>
          <w:rFonts w:ascii="宋体" w:hAnsi="宋体" w:cs="宋体"/>
          <w:color w:val="auto"/>
          <w:spacing w:val="13"/>
          <w:sz w:val="24"/>
          <w:u w:val="single"/>
        </w:rPr>
      </w:pPr>
      <w:r>
        <w:rPr>
          <w:rFonts w:hint="eastAsia" w:ascii="宋体" w:hAnsi="宋体" w:cs="宋体"/>
          <w:color w:val="auto"/>
          <w:spacing w:val="13"/>
          <w:sz w:val="24"/>
          <w:u w:val="single"/>
        </w:rPr>
        <w:t>发包人无正当理由不按时返还履约保证金或质量保证金的，发包人应向承包人支付的违约金如下： / 。</w:t>
      </w:r>
    </w:p>
    <w:p w14:paraId="744D9718">
      <w:pPr>
        <w:pStyle w:val="21"/>
        <w:spacing w:line="268" w:lineRule="auto"/>
        <w:rPr>
          <w:color w:val="auto"/>
        </w:rPr>
      </w:pPr>
    </w:p>
    <w:p w14:paraId="7C174250">
      <w:pPr>
        <w:pStyle w:val="21"/>
        <w:spacing w:line="269" w:lineRule="auto"/>
        <w:rPr>
          <w:color w:val="auto"/>
        </w:rPr>
      </w:pPr>
      <w:r>
        <w:rPr>
          <w:color w:val="auto"/>
        </w:rPr>
        <w:pict>
          <v:shape id="_x0000_s2050" o:spid="_x0000_s2050" o:spt="100" style="position:absolute;left:0pt;margin-left:0pt;margin-top:2pt;height:0pt;width:144pt;z-index:251672576;mso-width-relative:page;mso-height-relative:page;" filled="f" coordsize="2880,1" o:gfxdata="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1F9VA0QAAAAQBAAAPAAAAAAAAAAEAIAAAACIAAABkcnMvZG93bnJldi54bWxQSwECFAAUAAAA&#10;CACHTuJAVK0G9C4CAACXBAAADgAAAAAAAAABACAAAAAgAQAAZHJzL2Uyb0RvYy54bWxQSwUGAAAA&#10;AAYABgBZAQAAwAUAAAAA&#10;" path="m0,0l2880,0e">
            <v:path o:connecttype="segments"/>
            <v:fill on="f" focussize="0,0"/>
            <v:stroke weight="0pt" joinstyle="bevel" endcap="square"/>
            <v:imagedata o:title=""/>
            <o:lock v:ext="edit"/>
          </v:shape>
        </w:pict>
      </w:r>
    </w:p>
    <w:p w14:paraId="15DD3D84">
      <w:pPr>
        <w:spacing w:before="63" w:line="309" w:lineRule="auto"/>
        <w:ind w:left="34" w:right="2" w:firstLine="373"/>
        <w:rPr>
          <w:rFonts w:ascii="黑体" w:hAnsi="黑体" w:eastAsia="黑体" w:cs="黑体"/>
          <w:color w:val="auto"/>
          <w:spacing w:val="8"/>
          <w:sz w:val="35"/>
          <w:szCs w:val="35"/>
        </w:rPr>
      </w:pPr>
      <w:r>
        <w:rPr>
          <w:rFonts w:ascii="宋体" w:hAnsi="宋体" w:cs="宋体"/>
          <w:color w:val="auto"/>
          <w:spacing w:val="13"/>
          <w:sz w:val="19"/>
          <w:szCs w:val="19"/>
        </w:rPr>
        <w:t>① 养护工程验收按照《交通运输部关于印发〈公路养护工程管理</w:t>
      </w:r>
      <w:r>
        <w:rPr>
          <w:rFonts w:ascii="宋体" w:hAnsi="宋体" w:cs="宋体"/>
          <w:color w:val="auto"/>
          <w:spacing w:val="12"/>
          <w:sz w:val="19"/>
          <w:szCs w:val="19"/>
        </w:rPr>
        <w:t>办法〉的通知》（交公路发</w:t>
      </w:r>
      <w:r>
        <w:rPr>
          <w:rFonts w:ascii="宋体" w:hAnsi="宋体" w:cs="宋体"/>
          <w:color w:val="auto"/>
          <w:spacing w:val="5"/>
          <w:sz w:val="19"/>
          <w:szCs w:val="19"/>
        </w:rPr>
        <w:t>〔</w:t>
      </w:r>
      <w:r>
        <w:rPr>
          <w:rFonts w:eastAsia="Times New Roman"/>
          <w:color w:val="auto"/>
          <w:spacing w:val="5"/>
          <w:sz w:val="19"/>
          <w:szCs w:val="19"/>
        </w:rPr>
        <w:t>2018</w:t>
      </w:r>
      <w:r>
        <w:rPr>
          <w:rFonts w:ascii="宋体" w:hAnsi="宋体" w:cs="宋体"/>
          <w:color w:val="auto"/>
          <w:spacing w:val="5"/>
          <w:sz w:val="19"/>
          <w:szCs w:val="19"/>
        </w:rPr>
        <w:t>〕</w:t>
      </w:r>
      <w:r>
        <w:rPr>
          <w:rFonts w:eastAsia="Times New Roman"/>
          <w:color w:val="auto"/>
          <w:spacing w:val="5"/>
          <w:sz w:val="19"/>
          <w:szCs w:val="19"/>
        </w:rPr>
        <w:t>33</w:t>
      </w:r>
      <w:r>
        <w:rPr>
          <w:rFonts w:ascii="宋体" w:hAnsi="宋体" w:cs="宋体"/>
          <w:color w:val="auto"/>
          <w:spacing w:val="5"/>
          <w:sz w:val="19"/>
          <w:szCs w:val="19"/>
        </w:rPr>
        <w:t>号）的相关规定执行。</w:t>
      </w:r>
    </w:p>
    <w:p w14:paraId="7D8DE287">
      <w:pPr>
        <w:rPr>
          <w:color w:val="auto"/>
        </w:rPr>
      </w:pPr>
    </w:p>
    <w:p w14:paraId="261C0824">
      <w:pPr>
        <w:pStyle w:val="253"/>
        <w:tabs>
          <w:tab w:val="left" w:pos="716"/>
        </w:tabs>
        <w:spacing w:after="340" w:line="440" w:lineRule="exact"/>
        <w:ind w:firstLine="0"/>
        <w:rPr>
          <w:color w:val="auto"/>
        </w:rPr>
        <w:sectPr>
          <w:footerReference r:id="rId21" w:type="first"/>
          <w:footerReference r:id="rId20" w:type="default"/>
          <w:pgSz w:w="11906" w:h="16838"/>
          <w:pgMar w:top="1327" w:right="1440" w:bottom="1270" w:left="1587" w:header="851" w:footer="992" w:gutter="0"/>
          <w:cols w:space="720" w:num="1"/>
          <w:titlePg/>
          <w:docGrid w:type="lines" w:linePitch="312" w:charSpace="0"/>
        </w:sectPr>
      </w:pPr>
    </w:p>
    <w:p w14:paraId="5550DA3F">
      <w:pPr>
        <w:pStyle w:val="2"/>
        <w:spacing w:line="440" w:lineRule="exact"/>
        <w:jc w:val="center"/>
        <w:rPr>
          <w:rFonts w:ascii="宋体" w:hAnsi="宋体" w:cs="宋体"/>
          <w:color w:val="auto"/>
          <w:sz w:val="32"/>
          <w:szCs w:val="32"/>
        </w:rPr>
      </w:pPr>
      <w:bookmarkStart w:id="248" w:name="_Toc13734"/>
      <w:r>
        <w:rPr>
          <w:rFonts w:hint="eastAsia" w:ascii="宋体" w:hAnsi="宋体" w:cs="宋体"/>
          <w:color w:val="auto"/>
          <w:sz w:val="32"/>
          <w:szCs w:val="32"/>
        </w:rPr>
        <w:t xml:space="preserve">    第八章  技术标准、规范</w:t>
      </w:r>
      <w:bookmarkEnd w:id="248"/>
    </w:p>
    <w:p w14:paraId="37BFA1F8">
      <w:pPr>
        <w:spacing w:line="440" w:lineRule="exact"/>
        <w:rPr>
          <w:rFonts w:ascii="宋体" w:hAnsi="宋体" w:cs="宋体"/>
          <w:b/>
          <w:bCs/>
          <w:color w:val="auto"/>
          <w:szCs w:val="21"/>
        </w:rPr>
      </w:pPr>
      <w:bookmarkStart w:id="249" w:name="_Toc30724"/>
      <w:bookmarkStart w:id="250" w:name="_Toc8405"/>
      <w:bookmarkStart w:id="251" w:name="_Toc23462"/>
      <w:bookmarkStart w:id="252" w:name="_Toc45437468"/>
      <w:bookmarkStart w:id="253" w:name="_Toc514753310"/>
      <w:bookmarkStart w:id="254" w:name="_Toc8221"/>
      <w:bookmarkStart w:id="255" w:name="_Toc22256"/>
      <w:bookmarkStart w:id="256" w:name="_Toc11230"/>
      <w:bookmarkStart w:id="257" w:name="_Toc14627"/>
      <w:r>
        <w:rPr>
          <w:rFonts w:hint="eastAsia" w:ascii="宋体" w:hAnsi="宋体" w:cs="宋体"/>
          <w:b/>
          <w:bCs/>
          <w:color w:val="auto"/>
          <w:szCs w:val="21"/>
        </w:rPr>
        <w:t>一、工程建设地点的现场条件：</w:t>
      </w:r>
      <w:bookmarkEnd w:id="249"/>
      <w:bookmarkEnd w:id="250"/>
      <w:bookmarkEnd w:id="251"/>
      <w:bookmarkEnd w:id="252"/>
      <w:bookmarkEnd w:id="253"/>
      <w:bookmarkEnd w:id="254"/>
      <w:bookmarkEnd w:id="255"/>
      <w:bookmarkEnd w:id="256"/>
      <w:bookmarkEnd w:id="257"/>
    </w:p>
    <w:p w14:paraId="00B5FB33">
      <w:pPr>
        <w:spacing w:line="440" w:lineRule="exact"/>
        <w:rPr>
          <w:rFonts w:ascii="宋体" w:hAnsi="宋体" w:cs="宋体"/>
          <w:b/>
          <w:bCs/>
          <w:color w:val="auto"/>
          <w:szCs w:val="21"/>
        </w:rPr>
      </w:pPr>
      <w:r>
        <w:rPr>
          <w:rFonts w:hint="eastAsia" w:ascii="宋体" w:hAnsi="宋体" w:cs="宋体"/>
          <w:b/>
          <w:bCs/>
          <w:color w:val="auto"/>
          <w:szCs w:val="21"/>
        </w:rPr>
        <w:t>（一）现场自然条件</w:t>
      </w:r>
    </w:p>
    <w:p w14:paraId="31141069">
      <w:pPr>
        <w:spacing w:line="440" w:lineRule="exact"/>
        <w:ind w:firstLine="420" w:firstLineChars="200"/>
        <w:rPr>
          <w:rFonts w:ascii="宋体" w:hAnsi="宋体" w:cs="宋体"/>
          <w:color w:val="auto"/>
          <w:szCs w:val="21"/>
        </w:rPr>
      </w:pPr>
      <w:r>
        <w:rPr>
          <w:rFonts w:hint="eastAsia" w:ascii="宋体" w:hAnsi="宋体" w:cs="宋体"/>
          <w:color w:val="auto"/>
          <w:szCs w:val="21"/>
        </w:rPr>
        <w:t>满足施工要求。</w:t>
      </w:r>
    </w:p>
    <w:p w14:paraId="5887B6ED">
      <w:pPr>
        <w:spacing w:line="440" w:lineRule="exact"/>
        <w:rPr>
          <w:rFonts w:ascii="宋体" w:hAnsi="宋体" w:cs="宋体"/>
          <w:b/>
          <w:bCs/>
          <w:color w:val="auto"/>
          <w:szCs w:val="21"/>
        </w:rPr>
      </w:pPr>
      <w:r>
        <w:rPr>
          <w:rFonts w:hint="eastAsia" w:ascii="宋体" w:hAnsi="宋体" w:cs="宋体"/>
          <w:b/>
          <w:bCs/>
          <w:color w:val="auto"/>
          <w:szCs w:val="21"/>
        </w:rPr>
        <w:t>（二）现场施工条件</w:t>
      </w:r>
    </w:p>
    <w:p w14:paraId="0A323F60">
      <w:pPr>
        <w:spacing w:line="440" w:lineRule="exact"/>
        <w:ind w:firstLine="420" w:firstLineChars="200"/>
        <w:rPr>
          <w:rFonts w:ascii="宋体" w:hAnsi="宋体" w:cs="宋体"/>
          <w:color w:val="auto"/>
          <w:szCs w:val="21"/>
        </w:rPr>
      </w:pPr>
      <w:r>
        <w:rPr>
          <w:rFonts w:hint="eastAsia" w:ascii="宋体" w:hAnsi="宋体" w:cs="宋体"/>
          <w:color w:val="auto"/>
          <w:szCs w:val="21"/>
        </w:rPr>
        <w:t>符合施工要求。</w:t>
      </w:r>
    </w:p>
    <w:p w14:paraId="238D53E2">
      <w:pPr>
        <w:spacing w:line="440" w:lineRule="exact"/>
        <w:rPr>
          <w:rFonts w:ascii="宋体" w:hAnsi="宋体" w:cs="宋体"/>
          <w:b/>
          <w:bCs/>
          <w:color w:val="auto"/>
          <w:szCs w:val="21"/>
        </w:rPr>
      </w:pPr>
      <w:bookmarkStart w:id="258" w:name="_Toc8222"/>
      <w:bookmarkStart w:id="259" w:name="_Toc11815"/>
      <w:bookmarkStart w:id="260" w:name="_Toc11268"/>
      <w:bookmarkStart w:id="261" w:name="_Toc45437469"/>
      <w:bookmarkStart w:id="262" w:name="_Toc514753311"/>
      <w:bookmarkStart w:id="263" w:name="_Toc806"/>
      <w:bookmarkStart w:id="264" w:name="_Toc10147"/>
      <w:bookmarkStart w:id="265" w:name="_Toc32307"/>
      <w:bookmarkStart w:id="266" w:name="_Toc31549"/>
      <w:r>
        <w:rPr>
          <w:rFonts w:hint="eastAsia" w:ascii="宋体" w:hAnsi="宋体" w:cs="宋体"/>
          <w:b/>
          <w:bCs/>
          <w:color w:val="auto"/>
          <w:szCs w:val="21"/>
        </w:rPr>
        <w:t>二、技术规范</w:t>
      </w:r>
      <w:bookmarkEnd w:id="258"/>
      <w:bookmarkEnd w:id="259"/>
      <w:bookmarkEnd w:id="260"/>
      <w:bookmarkEnd w:id="261"/>
      <w:bookmarkEnd w:id="262"/>
      <w:bookmarkEnd w:id="263"/>
      <w:bookmarkEnd w:id="264"/>
      <w:bookmarkEnd w:id="265"/>
      <w:bookmarkEnd w:id="266"/>
    </w:p>
    <w:p w14:paraId="767225AE">
      <w:pPr>
        <w:spacing w:line="440" w:lineRule="exact"/>
        <w:ind w:firstLine="420" w:firstLineChars="200"/>
        <w:rPr>
          <w:rFonts w:ascii="宋体" w:hAnsi="宋体" w:cs="宋体"/>
          <w:color w:val="auto"/>
          <w:szCs w:val="21"/>
        </w:rPr>
      </w:pPr>
      <w:r>
        <w:rPr>
          <w:rFonts w:hint="eastAsia" w:ascii="宋体" w:hAnsi="宋体" w:cs="宋体"/>
          <w:color w:val="auto"/>
          <w:szCs w:val="21"/>
        </w:rPr>
        <w:t>技术规范各条款见中华人民共和国交通部《公路工程标准施工招标文件》（2018年版）中符合本采购工程的相应条款，</w:t>
      </w:r>
      <w:r>
        <w:rPr>
          <w:rFonts w:hint="eastAsia" w:ascii="宋体" w:hAnsi="宋体" w:cs="宋体"/>
          <w:b/>
          <w:color w:val="auto"/>
          <w:szCs w:val="21"/>
        </w:rPr>
        <w:t>并增加技术规范专用条款。</w:t>
      </w:r>
    </w:p>
    <w:p w14:paraId="64049E12">
      <w:pPr>
        <w:spacing w:line="440" w:lineRule="exact"/>
        <w:ind w:firstLine="422" w:firstLineChars="200"/>
        <w:rPr>
          <w:rFonts w:ascii="宋体" w:hAnsi="宋体" w:cs="宋体"/>
          <w:b/>
          <w:color w:val="auto"/>
          <w:szCs w:val="21"/>
        </w:rPr>
      </w:pPr>
    </w:p>
    <w:p w14:paraId="548B6C35">
      <w:pPr>
        <w:pStyle w:val="31"/>
        <w:ind w:left="0" w:leftChars="0"/>
        <w:rPr>
          <w:rFonts w:ascii="宋体" w:hAnsi="宋体" w:cs="宋体"/>
          <w:color w:val="auto"/>
          <w:sz w:val="36"/>
          <w:szCs w:val="36"/>
        </w:rPr>
      </w:pPr>
    </w:p>
    <w:p w14:paraId="74C23882">
      <w:pPr>
        <w:spacing w:line="440" w:lineRule="exact"/>
        <w:ind w:firstLine="723" w:firstLineChars="200"/>
        <w:jc w:val="center"/>
        <w:outlineLvl w:val="1"/>
        <w:rPr>
          <w:rFonts w:ascii="宋体" w:hAnsi="宋体" w:cs="宋体"/>
          <w:color w:val="auto"/>
          <w:sz w:val="36"/>
          <w:szCs w:val="36"/>
        </w:rPr>
      </w:pPr>
      <w:bookmarkStart w:id="267" w:name="_Toc21216"/>
      <w:bookmarkStart w:id="268" w:name="_Toc2747"/>
      <w:bookmarkStart w:id="269" w:name="_Toc24520"/>
      <w:bookmarkStart w:id="270" w:name="_Toc3466"/>
      <w:bookmarkStart w:id="271" w:name="_Toc21699"/>
      <w:bookmarkStart w:id="272" w:name="_Toc29528"/>
      <w:bookmarkStart w:id="273" w:name="_Toc19995"/>
      <w:bookmarkStart w:id="274" w:name="_Toc9265"/>
      <w:bookmarkStart w:id="275" w:name="_Toc19661"/>
      <w:bookmarkStart w:id="276" w:name="_Toc15897"/>
      <w:bookmarkStart w:id="277" w:name="_Toc3835"/>
      <w:bookmarkStart w:id="278" w:name="_Toc2041"/>
      <w:bookmarkStart w:id="279" w:name="_Toc32721"/>
      <w:bookmarkStart w:id="280" w:name="_Toc24174"/>
      <w:bookmarkStart w:id="281" w:name="OLE_LINK8"/>
      <w:bookmarkStart w:id="282" w:name="OLE_LINK7"/>
      <w:r>
        <w:rPr>
          <w:rFonts w:hint="eastAsia" w:ascii="宋体" w:hAnsi="宋体" w:cs="宋体"/>
          <w:b/>
          <w:color w:val="auto"/>
          <w:sz w:val="36"/>
          <w:szCs w:val="36"/>
        </w:rPr>
        <w:t>技术规范专用条款</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bookmarkEnd w:id="281"/>
    <w:bookmarkEnd w:id="282"/>
    <w:p w14:paraId="45AAD0A6">
      <w:pPr>
        <w:spacing w:line="440" w:lineRule="exact"/>
        <w:ind w:firstLine="422" w:firstLineChars="200"/>
        <w:rPr>
          <w:rFonts w:ascii="宋体" w:hAnsi="宋体" w:cs="宋体"/>
          <w:b/>
          <w:color w:val="auto"/>
          <w:szCs w:val="21"/>
        </w:rPr>
      </w:pPr>
    </w:p>
    <w:p w14:paraId="743AF14F">
      <w:pPr>
        <w:spacing w:line="440" w:lineRule="exact"/>
        <w:ind w:firstLine="643" w:firstLineChars="200"/>
        <w:jc w:val="center"/>
        <w:rPr>
          <w:rFonts w:ascii="宋体" w:hAnsi="宋体" w:cs="宋体"/>
          <w:b/>
          <w:color w:val="auto"/>
          <w:sz w:val="32"/>
          <w:szCs w:val="32"/>
        </w:rPr>
      </w:pPr>
      <w:r>
        <w:rPr>
          <w:rFonts w:hint="eastAsia" w:ascii="宋体" w:hAnsi="宋体" w:cs="宋体"/>
          <w:b/>
          <w:color w:val="auto"/>
          <w:sz w:val="32"/>
          <w:szCs w:val="32"/>
        </w:rPr>
        <w:t>一、技术规范专用条款说明</w:t>
      </w:r>
    </w:p>
    <w:p w14:paraId="7DA93398">
      <w:pPr>
        <w:spacing w:line="440" w:lineRule="exact"/>
        <w:ind w:firstLine="420" w:firstLineChars="200"/>
        <w:rPr>
          <w:rFonts w:ascii="宋体" w:hAnsi="宋体" w:cs="宋体"/>
          <w:color w:val="auto"/>
          <w:szCs w:val="21"/>
        </w:rPr>
      </w:pPr>
      <w:r>
        <w:rPr>
          <w:rFonts w:hint="eastAsia" w:ascii="宋体" w:hAnsi="宋体" w:cs="宋体"/>
          <w:color w:val="auto"/>
          <w:szCs w:val="21"/>
        </w:rPr>
        <w:t>1、技术规范专用条款是《技术规范》条款中明确指出要在技术规范专用条款中予以具体规定的信息或与工程所在地具体情况有关的规定，是必备的配套条款。</w:t>
      </w:r>
    </w:p>
    <w:p w14:paraId="409A2F37">
      <w:pPr>
        <w:spacing w:line="440" w:lineRule="exact"/>
        <w:ind w:firstLine="420" w:firstLineChars="200"/>
        <w:rPr>
          <w:rFonts w:ascii="宋体" w:hAnsi="宋体" w:cs="宋体"/>
          <w:color w:val="auto"/>
          <w:szCs w:val="21"/>
        </w:rPr>
      </w:pPr>
      <w:r>
        <w:rPr>
          <w:rFonts w:hint="eastAsia" w:ascii="宋体" w:hAnsi="宋体" w:cs="宋体"/>
          <w:color w:val="auto"/>
          <w:szCs w:val="21"/>
        </w:rPr>
        <w:t>2、技术规范专用条款是根据广西公路大中修工程具体情况对《技术规范》条款的补充、删改或具体化，阅读时应与交通运输部《公路工程标准施工招标文件》（2018年版）同时阅读。</w:t>
      </w:r>
    </w:p>
    <w:p w14:paraId="5CC60039">
      <w:pPr>
        <w:spacing w:line="440" w:lineRule="exact"/>
        <w:ind w:firstLine="420" w:firstLineChars="200"/>
        <w:rPr>
          <w:rFonts w:ascii="宋体" w:hAnsi="宋体" w:cs="宋体"/>
          <w:color w:val="auto"/>
          <w:szCs w:val="21"/>
        </w:rPr>
      </w:pPr>
      <w:r>
        <w:rPr>
          <w:rFonts w:hint="eastAsia" w:ascii="宋体" w:hAnsi="宋体" w:cs="宋体"/>
          <w:color w:val="auto"/>
          <w:szCs w:val="21"/>
        </w:rPr>
        <w:t>3、如果技术规范专用条款与《技术规范》条款之间有不符之处，以技术规范专用条款为准</w:t>
      </w:r>
    </w:p>
    <w:p w14:paraId="4A3980F2">
      <w:pPr>
        <w:spacing w:line="440" w:lineRule="exact"/>
        <w:ind w:firstLine="420" w:firstLineChars="200"/>
        <w:rPr>
          <w:rFonts w:ascii="宋体" w:hAnsi="宋体" w:cs="宋体"/>
          <w:color w:val="auto"/>
          <w:szCs w:val="21"/>
        </w:rPr>
      </w:pPr>
    </w:p>
    <w:p w14:paraId="5CD9D574">
      <w:pPr>
        <w:spacing w:line="440" w:lineRule="exact"/>
        <w:ind w:firstLine="422" w:firstLineChars="200"/>
        <w:rPr>
          <w:rFonts w:ascii="宋体" w:hAnsi="宋体" w:cs="宋体"/>
          <w:b/>
          <w:color w:val="auto"/>
          <w:szCs w:val="21"/>
        </w:rPr>
      </w:pPr>
    </w:p>
    <w:p w14:paraId="2C11E61B">
      <w:pPr>
        <w:spacing w:line="440" w:lineRule="exact"/>
        <w:ind w:firstLine="422" w:firstLineChars="200"/>
        <w:rPr>
          <w:rFonts w:ascii="宋体" w:hAnsi="宋体" w:cs="宋体"/>
          <w:b/>
          <w:color w:val="auto"/>
          <w:szCs w:val="21"/>
        </w:rPr>
      </w:pPr>
    </w:p>
    <w:p w14:paraId="39395444">
      <w:pPr>
        <w:spacing w:line="440" w:lineRule="exact"/>
        <w:ind w:firstLine="422" w:firstLineChars="200"/>
        <w:rPr>
          <w:rFonts w:ascii="宋体" w:hAnsi="宋体" w:cs="宋体"/>
          <w:b/>
          <w:color w:val="auto"/>
          <w:szCs w:val="21"/>
        </w:rPr>
      </w:pPr>
    </w:p>
    <w:p w14:paraId="260CD987">
      <w:pPr>
        <w:spacing w:line="440" w:lineRule="exact"/>
        <w:ind w:firstLine="422" w:firstLineChars="200"/>
        <w:rPr>
          <w:rFonts w:ascii="宋体" w:hAnsi="宋体" w:cs="宋体"/>
          <w:b/>
          <w:color w:val="auto"/>
          <w:szCs w:val="21"/>
        </w:rPr>
      </w:pPr>
    </w:p>
    <w:p w14:paraId="123DD6E5">
      <w:pPr>
        <w:spacing w:line="440" w:lineRule="exact"/>
        <w:ind w:firstLine="422" w:firstLineChars="200"/>
        <w:rPr>
          <w:rFonts w:ascii="宋体" w:hAnsi="宋体" w:cs="宋体"/>
          <w:b/>
          <w:color w:val="auto"/>
          <w:szCs w:val="21"/>
        </w:rPr>
      </w:pPr>
    </w:p>
    <w:p w14:paraId="007873BA">
      <w:pPr>
        <w:spacing w:line="440" w:lineRule="exact"/>
        <w:ind w:firstLine="422" w:firstLineChars="200"/>
        <w:rPr>
          <w:rFonts w:ascii="宋体" w:hAnsi="宋体" w:cs="宋体"/>
          <w:b/>
          <w:color w:val="auto"/>
          <w:szCs w:val="21"/>
        </w:rPr>
      </w:pPr>
    </w:p>
    <w:p w14:paraId="6C73C982">
      <w:pPr>
        <w:spacing w:line="440" w:lineRule="exact"/>
        <w:ind w:firstLine="422" w:firstLineChars="200"/>
        <w:rPr>
          <w:rFonts w:ascii="宋体" w:hAnsi="宋体" w:cs="宋体"/>
          <w:b/>
          <w:color w:val="auto"/>
          <w:szCs w:val="21"/>
        </w:rPr>
      </w:pPr>
    </w:p>
    <w:p w14:paraId="38D8CC86">
      <w:pPr>
        <w:spacing w:line="440" w:lineRule="exact"/>
        <w:ind w:firstLine="422" w:firstLineChars="200"/>
        <w:rPr>
          <w:rFonts w:ascii="宋体" w:hAnsi="宋体" w:cs="宋体"/>
          <w:b/>
          <w:color w:val="auto"/>
          <w:szCs w:val="21"/>
        </w:rPr>
      </w:pPr>
    </w:p>
    <w:p w14:paraId="58AC5693">
      <w:pPr>
        <w:spacing w:line="440" w:lineRule="exact"/>
        <w:ind w:firstLine="422" w:firstLineChars="200"/>
        <w:rPr>
          <w:rFonts w:ascii="宋体" w:hAnsi="宋体" w:cs="宋体"/>
          <w:b/>
          <w:color w:val="auto"/>
          <w:szCs w:val="21"/>
        </w:rPr>
      </w:pPr>
    </w:p>
    <w:p w14:paraId="52B00C0D">
      <w:pPr>
        <w:spacing w:line="440" w:lineRule="exact"/>
        <w:ind w:firstLine="422" w:firstLineChars="200"/>
        <w:rPr>
          <w:rFonts w:ascii="宋体" w:hAnsi="宋体" w:cs="宋体"/>
          <w:b/>
          <w:color w:val="auto"/>
          <w:szCs w:val="21"/>
        </w:rPr>
      </w:pPr>
    </w:p>
    <w:p w14:paraId="3C1FAF1F">
      <w:pPr>
        <w:spacing w:line="440" w:lineRule="exact"/>
        <w:ind w:firstLine="723" w:firstLineChars="200"/>
        <w:jc w:val="center"/>
        <w:rPr>
          <w:rFonts w:ascii="宋体" w:hAnsi="宋体" w:cs="宋体"/>
          <w:b/>
          <w:color w:val="auto"/>
          <w:sz w:val="36"/>
          <w:szCs w:val="36"/>
        </w:rPr>
      </w:pPr>
      <w:r>
        <w:rPr>
          <w:rFonts w:hint="eastAsia" w:ascii="宋体" w:hAnsi="宋体" w:cs="宋体"/>
          <w:b/>
          <w:color w:val="auto"/>
          <w:sz w:val="36"/>
          <w:szCs w:val="36"/>
        </w:rPr>
        <w:t>二、技术规范专用条款</w:t>
      </w:r>
    </w:p>
    <w:p w14:paraId="5B8F472D">
      <w:pPr>
        <w:spacing w:line="440" w:lineRule="exact"/>
        <w:ind w:firstLine="422" w:firstLineChars="200"/>
        <w:rPr>
          <w:rFonts w:ascii="宋体" w:hAnsi="宋体" w:cs="宋体"/>
          <w:b/>
          <w:bCs/>
          <w:color w:val="auto"/>
          <w:szCs w:val="21"/>
        </w:rPr>
      </w:pPr>
    </w:p>
    <w:p w14:paraId="23C3CBB1">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第101节  通则</w:t>
      </w:r>
    </w:p>
    <w:p w14:paraId="5DE9AD4C">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101.01  范围</w:t>
      </w:r>
    </w:p>
    <w:p w14:paraId="41B891C9">
      <w:pPr>
        <w:numPr>
          <w:ilvl w:val="0"/>
          <w:numId w:val="5"/>
        </w:numPr>
        <w:spacing w:line="440" w:lineRule="exact"/>
        <w:ind w:firstLine="420" w:firstLineChars="200"/>
        <w:rPr>
          <w:rFonts w:ascii="宋体" w:hAnsi="宋体" w:cs="宋体"/>
          <w:color w:val="auto"/>
          <w:szCs w:val="21"/>
        </w:rPr>
      </w:pPr>
      <w:r>
        <w:rPr>
          <w:rFonts w:hint="eastAsia" w:ascii="宋体" w:hAnsi="宋体" w:cs="宋体"/>
          <w:color w:val="auto"/>
          <w:szCs w:val="21"/>
        </w:rPr>
        <w:t>（增加）本规范的规定如与现行规范有不符之处，以现行规范为准。</w:t>
      </w:r>
    </w:p>
    <w:p w14:paraId="2F04523C">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101.08  税金和保险 </w:t>
      </w:r>
    </w:p>
    <w:p w14:paraId="346E873F">
      <w:pPr>
        <w:spacing w:line="440" w:lineRule="exact"/>
        <w:ind w:firstLine="420" w:firstLineChars="200"/>
        <w:rPr>
          <w:rFonts w:ascii="宋体" w:hAnsi="宋体" w:cs="宋体"/>
          <w:color w:val="auto"/>
          <w:szCs w:val="21"/>
        </w:rPr>
      </w:pPr>
      <w:r>
        <w:rPr>
          <w:rFonts w:hint="eastAsia" w:ascii="宋体" w:hAnsi="宋体" w:cs="宋体"/>
          <w:color w:val="auto"/>
          <w:szCs w:val="21"/>
        </w:rPr>
        <w:t>2. 在施工期及缺陷责任期内，承包人应按照合同条款要求办理保险，包括安全生产责任保险。</w:t>
      </w:r>
    </w:p>
    <w:p w14:paraId="46109A11">
      <w:pPr>
        <w:spacing w:line="440" w:lineRule="exact"/>
        <w:ind w:firstLine="420" w:firstLineChars="200"/>
        <w:rPr>
          <w:rFonts w:ascii="宋体" w:hAnsi="宋体" w:cs="宋体"/>
          <w:color w:val="auto"/>
          <w:szCs w:val="21"/>
        </w:rPr>
      </w:pPr>
      <w:r>
        <w:rPr>
          <w:rFonts w:hint="eastAsia" w:ascii="宋体" w:hAnsi="宋体" w:cs="宋体"/>
          <w:color w:val="auto"/>
          <w:szCs w:val="21"/>
        </w:rPr>
        <w:t>3．承包人应按照合同条款要求办理相关保险，保险费用由承包人承担，并报项目法人备案。</w:t>
      </w:r>
    </w:p>
    <w:p w14:paraId="1401A36F">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102.13 安全保护与事故报告</w:t>
      </w:r>
    </w:p>
    <w:p w14:paraId="38048CEB">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3.安全标志（标线、警示牌等）（修改）</w:t>
      </w:r>
    </w:p>
    <w:p w14:paraId="2661EF76">
      <w:pPr>
        <w:spacing w:line="440" w:lineRule="exact"/>
        <w:ind w:firstLine="420" w:firstLineChars="200"/>
        <w:rPr>
          <w:rFonts w:ascii="宋体" w:hAnsi="宋体" w:cs="宋体"/>
          <w:color w:val="auto"/>
          <w:szCs w:val="21"/>
        </w:rPr>
      </w:pPr>
      <w:r>
        <w:rPr>
          <w:rFonts w:hint="eastAsia" w:ascii="宋体" w:hAnsi="宋体" w:cs="宋体"/>
          <w:color w:val="auto"/>
          <w:szCs w:val="21"/>
        </w:rPr>
        <w:t>（1）承包人应在本工程现场周围配备、架立必要的标志牌，以为其他雇员和公众提供安全和方便。当工程施工可能会对道路交通产生干扰时，承包人应设置必要的路障、警告信号等。</w:t>
      </w:r>
    </w:p>
    <w:p w14:paraId="38989ED8">
      <w:pPr>
        <w:spacing w:line="440" w:lineRule="exact"/>
        <w:ind w:firstLine="420" w:firstLineChars="200"/>
        <w:rPr>
          <w:rFonts w:ascii="宋体" w:hAnsi="宋体" w:cs="宋体"/>
          <w:color w:val="auto"/>
          <w:szCs w:val="21"/>
        </w:rPr>
      </w:pPr>
      <w:r>
        <w:rPr>
          <w:rFonts w:hint="eastAsia" w:ascii="宋体" w:hAnsi="宋体" w:cs="宋体"/>
          <w:color w:val="auto"/>
          <w:szCs w:val="21"/>
        </w:rPr>
        <w:t>（2）标志牌应包括：</w:t>
      </w:r>
    </w:p>
    <w:p w14:paraId="2A3E1F20">
      <w:pPr>
        <w:spacing w:line="440" w:lineRule="exact"/>
        <w:ind w:firstLine="420" w:firstLineChars="200"/>
        <w:rPr>
          <w:rFonts w:ascii="宋体" w:hAnsi="宋体" w:cs="宋体"/>
          <w:color w:val="auto"/>
          <w:szCs w:val="21"/>
        </w:rPr>
      </w:pPr>
      <w:r>
        <w:rPr>
          <w:rFonts w:hint="eastAsia" w:ascii="宋体" w:hAnsi="宋体" w:cs="宋体"/>
          <w:color w:val="auto"/>
          <w:szCs w:val="21"/>
        </w:rPr>
        <w:t>a．施工作业控制区应由警告区、上游过渡区、缓冲区、工作区、下游过渡区及终止区组成，其布置规定参见《公路养护安全作业规程（JTG H30-2015）》相关附录。</w:t>
      </w:r>
    </w:p>
    <w:p w14:paraId="29461BFC">
      <w:pPr>
        <w:spacing w:line="440" w:lineRule="exact"/>
        <w:ind w:firstLine="420" w:firstLineChars="200"/>
        <w:rPr>
          <w:rFonts w:ascii="宋体" w:hAnsi="宋体" w:cs="宋体"/>
          <w:color w:val="auto"/>
          <w:szCs w:val="21"/>
        </w:rPr>
      </w:pPr>
      <w:r>
        <w:rPr>
          <w:rFonts w:hint="eastAsia" w:ascii="宋体" w:hAnsi="宋体" w:cs="宋体"/>
          <w:color w:val="auto"/>
          <w:szCs w:val="21"/>
        </w:rPr>
        <w:t>b．在警告区域前设置施工标志、限制速度标志和可变标志牌或线形诱导标等；在上游过渡区起点至下游过渡区终点之间应放置锥形交通路标；在缓冲区与工作区交界处应布设路栏。其他安全设施可视具体情况而定。</w:t>
      </w:r>
    </w:p>
    <w:p w14:paraId="651D3D32">
      <w:pPr>
        <w:spacing w:line="440" w:lineRule="exact"/>
        <w:ind w:firstLine="420" w:firstLineChars="200"/>
        <w:rPr>
          <w:rFonts w:ascii="宋体" w:hAnsi="宋体" w:cs="宋体"/>
          <w:color w:val="auto"/>
          <w:szCs w:val="21"/>
        </w:rPr>
      </w:pPr>
      <w:r>
        <w:rPr>
          <w:rFonts w:hint="eastAsia" w:ascii="宋体" w:hAnsi="宋体" w:cs="宋体"/>
          <w:color w:val="auto"/>
          <w:szCs w:val="21"/>
        </w:rPr>
        <w:t>c．当工作区位置处于视距不良的路段时，应在控制区内增加施工标志。</w:t>
      </w:r>
    </w:p>
    <w:p w14:paraId="75C29865">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第104节  承包人驻地建设</w:t>
      </w:r>
    </w:p>
    <w:p w14:paraId="3C6CD94E">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104.01  一般要求</w:t>
      </w:r>
    </w:p>
    <w:p w14:paraId="5B67AAD0">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6.驻地建设要求（增加）</w:t>
      </w:r>
    </w:p>
    <w:p w14:paraId="5BE12733">
      <w:pPr>
        <w:spacing w:line="440" w:lineRule="exact"/>
        <w:ind w:firstLine="420" w:firstLineChars="200"/>
        <w:rPr>
          <w:rFonts w:ascii="宋体" w:hAnsi="宋体" w:cs="宋体"/>
          <w:color w:val="auto"/>
          <w:szCs w:val="21"/>
        </w:rPr>
      </w:pPr>
      <w:r>
        <w:rPr>
          <w:rFonts w:hint="eastAsia" w:ascii="宋体" w:hAnsi="宋体" w:cs="宋体"/>
          <w:color w:val="auto"/>
          <w:szCs w:val="21"/>
        </w:rPr>
        <w:t>项目部选址由项目经理部负责在进场前组织相关人员按照安全和管理的要求进行调查，确定选址方案后，报项目法人备案。</w:t>
      </w:r>
    </w:p>
    <w:p w14:paraId="498AC1B7">
      <w:pPr>
        <w:spacing w:line="440" w:lineRule="exact"/>
        <w:ind w:firstLine="420" w:firstLineChars="200"/>
        <w:rPr>
          <w:rFonts w:ascii="宋体" w:hAnsi="宋体" w:cs="宋体"/>
          <w:color w:val="auto"/>
          <w:szCs w:val="21"/>
        </w:rPr>
      </w:pPr>
      <w:r>
        <w:rPr>
          <w:rFonts w:hint="eastAsia" w:ascii="宋体" w:hAnsi="宋体" w:cs="宋体"/>
          <w:color w:val="auto"/>
          <w:szCs w:val="21"/>
        </w:rPr>
        <w:t>（1）总体要求：承包人应合理选定项目经理部地点。项目经理部办公和生活用房与施工机具停放场地适当分开。项目经理部办公和生活用地建筑面积必须满足使用需要，场地必须硬化处理，房屋进行基本粉饰，并应有围墙，设置有明显大门，做好排水设施，配备足够的消防设施。大门悬挂项目经理部铭牌。楼体明显处有项目经理部标志。</w:t>
      </w:r>
    </w:p>
    <w:p w14:paraId="6639203B">
      <w:pPr>
        <w:spacing w:line="440" w:lineRule="exact"/>
        <w:ind w:firstLine="420" w:firstLineChars="200"/>
        <w:rPr>
          <w:rFonts w:ascii="宋体" w:hAnsi="宋体" w:cs="宋体"/>
          <w:color w:val="auto"/>
          <w:szCs w:val="21"/>
        </w:rPr>
      </w:pPr>
      <w:r>
        <w:rPr>
          <w:rFonts w:hint="eastAsia" w:ascii="宋体" w:hAnsi="宋体" w:cs="宋体"/>
          <w:color w:val="auto"/>
          <w:szCs w:val="21"/>
        </w:rPr>
        <w:t>（2）安全要求</w:t>
      </w:r>
    </w:p>
    <w:p w14:paraId="72714556">
      <w:pPr>
        <w:spacing w:line="440" w:lineRule="exact"/>
        <w:ind w:firstLine="420" w:firstLineChars="200"/>
        <w:rPr>
          <w:rFonts w:ascii="宋体" w:hAnsi="宋体" w:cs="宋体"/>
          <w:color w:val="auto"/>
          <w:szCs w:val="21"/>
        </w:rPr>
      </w:pPr>
      <w:r>
        <w:rPr>
          <w:rFonts w:hint="eastAsia" w:ascii="宋体" w:hAnsi="宋体" w:cs="宋体"/>
          <w:color w:val="auto"/>
          <w:szCs w:val="21"/>
        </w:rPr>
        <w:t>a.不受洪水、泥石流和台风威胁，避开塌方、落石、滑坡、危岩等危险路段。</w:t>
      </w:r>
    </w:p>
    <w:p w14:paraId="6D79619F">
      <w:pPr>
        <w:spacing w:line="440" w:lineRule="exact"/>
        <w:ind w:firstLine="420" w:firstLineChars="200"/>
        <w:rPr>
          <w:rFonts w:ascii="宋体" w:hAnsi="宋体" w:cs="宋体"/>
          <w:color w:val="auto"/>
          <w:szCs w:val="21"/>
        </w:rPr>
      </w:pPr>
      <w:r>
        <w:rPr>
          <w:rFonts w:hint="eastAsia" w:ascii="宋体" w:hAnsi="宋体" w:cs="宋体"/>
          <w:color w:val="auto"/>
          <w:szCs w:val="21"/>
        </w:rPr>
        <w:t>b.避开取土、弃土场地。项目经理部严禁在高危、临边、悬崖、低洼、通道、涵洞等地搭建、安置办公住所，项目经理部办公和生活用房与施工机具停放场地应适当分开。</w:t>
      </w:r>
    </w:p>
    <w:p w14:paraId="042BB6A8">
      <w:pPr>
        <w:spacing w:line="440" w:lineRule="exact"/>
        <w:ind w:firstLine="420" w:firstLineChars="200"/>
        <w:rPr>
          <w:rFonts w:ascii="宋体" w:hAnsi="宋体" w:cs="宋体"/>
          <w:color w:val="auto"/>
          <w:szCs w:val="21"/>
        </w:rPr>
      </w:pPr>
      <w:r>
        <w:rPr>
          <w:rFonts w:hint="eastAsia" w:ascii="宋体" w:hAnsi="宋体" w:cs="宋体"/>
          <w:color w:val="auto"/>
          <w:szCs w:val="21"/>
        </w:rPr>
        <w:t>c.与当地民居保持一定距离，避免扰民。避开高压线路及高大树木，与通信线路保持一定距离。</w:t>
      </w:r>
    </w:p>
    <w:p w14:paraId="74A30911">
      <w:pPr>
        <w:spacing w:line="440" w:lineRule="exact"/>
        <w:ind w:firstLine="420" w:firstLineChars="200"/>
        <w:rPr>
          <w:rFonts w:ascii="宋体" w:hAnsi="宋体" w:cs="宋体"/>
          <w:color w:val="auto"/>
          <w:szCs w:val="21"/>
        </w:rPr>
      </w:pPr>
      <w:r>
        <w:rPr>
          <w:rFonts w:hint="eastAsia" w:ascii="宋体" w:hAnsi="宋体" w:cs="宋体"/>
          <w:color w:val="auto"/>
          <w:szCs w:val="21"/>
        </w:rPr>
        <w:t>d.必须离集中爆破区500m以上。</w:t>
      </w:r>
    </w:p>
    <w:p w14:paraId="298B60BF">
      <w:pPr>
        <w:spacing w:line="440" w:lineRule="exact"/>
        <w:ind w:firstLine="420" w:firstLineChars="200"/>
        <w:rPr>
          <w:rFonts w:ascii="宋体" w:hAnsi="宋体" w:cs="宋体"/>
          <w:color w:val="auto"/>
          <w:szCs w:val="21"/>
        </w:rPr>
      </w:pPr>
      <w:r>
        <w:rPr>
          <w:rFonts w:hint="eastAsia" w:ascii="宋体" w:hAnsi="宋体" w:cs="宋体"/>
          <w:color w:val="auto"/>
          <w:szCs w:val="21"/>
        </w:rPr>
        <w:t>e.租赁地方房屋作为项目部的，租赁的房屋必须符合安全要求，房屋的面积必须达到办公和生活要求。</w:t>
      </w:r>
    </w:p>
    <w:p w14:paraId="6A749E85">
      <w:pPr>
        <w:spacing w:line="440" w:lineRule="exact"/>
        <w:ind w:firstLine="420" w:firstLineChars="200"/>
        <w:rPr>
          <w:rFonts w:ascii="宋体" w:hAnsi="宋体" w:cs="宋体"/>
          <w:color w:val="auto"/>
          <w:szCs w:val="21"/>
        </w:rPr>
      </w:pPr>
      <w:r>
        <w:rPr>
          <w:rFonts w:hint="eastAsia" w:ascii="宋体" w:hAnsi="宋体" w:cs="宋体"/>
          <w:color w:val="auto"/>
          <w:szCs w:val="21"/>
        </w:rPr>
        <w:t>f.项目部要完善消防措施，配备必要的消防器材。</w:t>
      </w:r>
    </w:p>
    <w:p w14:paraId="68972342">
      <w:pPr>
        <w:spacing w:line="440" w:lineRule="exact"/>
        <w:ind w:firstLine="420" w:firstLineChars="200"/>
        <w:rPr>
          <w:rFonts w:ascii="宋体" w:hAnsi="宋体" w:cs="宋体"/>
          <w:color w:val="auto"/>
          <w:szCs w:val="21"/>
        </w:rPr>
      </w:pPr>
      <w:r>
        <w:rPr>
          <w:rFonts w:hint="eastAsia" w:ascii="宋体" w:hAnsi="宋体" w:cs="宋体"/>
          <w:color w:val="auto"/>
          <w:szCs w:val="21"/>
        </w:rPr>
        <w:t>g.必须按照《建筑物防雷设计规范》(GB50057-2010)相关要求做好防雷、避雷设施。</w:t>
      </w:r>
    </w:p>
    <w:p w14:paraId="0BDE5169">
      <w:pPr>
        <w:spacing w:line="440" w:lineRule="exact"/>
        <w:ind w:firstLine="420" w:firstLineChars="200"/>
        <w:rPr>
          <w:rFonts w:ascii="宋体" w:hAnsi="宋体" w:cs="宋体"/>
          <w:color w:val="auto"/>
          <w:szCs w:val="21"/>
        </w:rPr>
      </w:pPr>
      <w:r>
        <w:rPr>
          <w:rFonts w:hint="eastAsia" w:ascii="宋体" w:hAnsi="宋体" w:cs="宋体"/>
          <w:color w:val="auto"/>
          <w:szCs w:val="21"/>
        </w:rPr>
        <w:t>（3）管理要求</w:t>
      </w:r>
    </w:p>
    <w:p w14:paraId="1FA9FAF2">
      <w:pPr>
        <w:spacing w:line="440" w:lineRule="exact"/>
        <w:ind w:firstLine="420" w:firstLineChars="200"/>
        <w:rPr>
          <w:rFonts w:ascii="宋体" w:hAnsi="宋体" w:cs="宋体"/>
          <w:color w:val="auto"/>
          <w:szCs w:val="21"/>
        </w:rPr>
      </w:pPr>
      <w:r>
        <w:rPr>
          <w:rFonts w:hint="eastAsia" w:ascii="宋体" w:hAnsi="宋体" w:cs="宋体"/>
          <w:color w:val="auto"/>
          <w:szCs w:val="21"/>
        </w:rPr>
        <w:t>a.靠近现场，方便管理，不受施工干扰。</w:t>
      </w:r>
    </w:p>
    <w:p w14:paraId="5D24930E">
      <w:pPr>
        <w:spacing w:line="440" w:lineRule="exact"/>
        <w:ind w:firstLine="420" w:firstLineChars="200"/>
        <w:rPr>
          <w:rFonts w:ascii="宋体" w:hAnsi="宋体" w:cs="宋体"/>
          <w:color w:val="auto"/>
          <w:szCs w:val="21"/>
        </w:rPr>
      </w:pPr>
      <w:r>
        <w:rPr>
          <w:rFonts w:hint="eastAsia" w:ascii="宋体" w:hAnsi="宋体" w:cs="宋体"/>
          <w:color w:val="auto"/>
          <w:szCs w:val="21"/>
        </w:rPr>
        <w:t>b.交通便利，尽量靠近公路，缩短引入线。</w:t>
      </w:r>
    </w:p>
    <w:p w14:paraId="051F2A81">
      <w:pPr>
        <w:spacing w:line="440" w:lineRule="exact"/>
        <w:ind w:firstLine="420" w:firstLineChars="200"/>
        <w:rPr>
          <w:rFonts w:ascii="宋体" w:hAnsi="宋体" w:cs="宋体"/>
          <w:color w:val="auto"/>
          <w:szCs w:val="21"/>
        </w:rPr>
      </w:pPr>
      <w:r>
        <w:rPr>
          <w:rFonts w:hint="eastAsia" w:ascii="宋体" w:hAnsi="宋体" w:cs="宋体"/>
          <w:color w:val="auto"/>
          <w:szCs w:val="21"/>
        </w:rPr>
        <w:t>c.通信方便，邮路便捷，满足项目法人单位办公的自动化要求。</w:t>
      </w:r>
    </w:p>
    <w:p w14:paraId="08DE2201">
      <w:pPr>
        <w:keepNext/>
        <w:keepLines/>
        <w:spacing w:before="120" w:after="120" w:line="400" w:lineRule="atLeast"/>
        <w:ind w:firstLine="482"/>
        <w:outlineLvl w:val="3"/>
        <w:rPr>
          <w:rFonts w:ascii="宋体" w:hAnsi="宋体" w:cs="宋体"/>
          <w:b/>
          <w:bCs/>
          <w:color w:val="auto"/>
          <w:sz w:val="24"/>
        </w:rPr>
      </w:pPr>
      <w:bookmarkStart w:id="283" w:name="OLE_LINK2"/>
      <w:r>
        <w:rPr>
          <w:rFonts w:hint="eastAsia" w:ascii="宋体" w:hAnsi="宋体" w:cs="宋体"/>
          <w:b/>
          <w:bCs/>
          <w:color w:val="auto"/>
          <w:sz w:val="24"/>
        </w:rPr>
        <w:t>第202节</w:t>
      </w:r>
      <w:bookmarkStart w:id="284" w:name="OLE_LINK1"/>
      <w:r>
        <w:rPr>
          <w:rFonts w:hint="eastAsia" w:ascii="宋体" w:hAnsi="宋体" w:cs="宋体"/>
          <w:b/>
          <w:bCs/>
          <w:color w:val="auto"/>
          <w:sz w:val="24"/>
        </w:rPr>
        <w:t xml:space="preserve">  场地清</w:t>
      </w:r>
      <w:bookmarkEnd w:id="284"/>
      <w:r>
        <w:rPr>
          <w:rFonts w:hint="eastAsia" w:ascii="宋体" w:hAnsi="宋体" w:cs="宋体"/>
          <w:b/>
          <w:bCs/>
          <w:color w:val="auto"/>
          <w:sz w:val="24"/>
        </w:rPr>
        <w:t>理</w:t>
      </w:r>
    </w:p>
    <w:p w14:paraId="0D788C95">
      <w:pPr>
        <w:spacing w:line="440" w:lineRule="exact"/>
        <w:ind w:firstLine="482" w:firstLineChars="200"/>
        <w:rPr>
          <w:rFonts w:ascii="宋体" w:hAnsi="宋体" w:cs="宋体"/>
          <w:b/>
          <w:bCs/>
          <w:color w:val="auto"/>
          <w:sz w:val="24"/>
        </w:rPr>
      </w:pPr>
      <w:r>
        <w:rPr>
          <w:rFonts w:hint="eastAsia" w:ascii="宋体" w:hAnsi="宋体" w:cs="宋体"/>
          <w:b/>
          <w:bCs/>
          <w:color w:val="auto"/>
          <w:sz w:val="24"/>
        </w:rPr>
        <w:t>增加202.04拆除结构物</w:t>
      </w:r>
    </w:p>
    <w:p w14:paraId="5910F3C9">
      <w:pPr>
        <w:spacing w:line="440" w:lineRule="exact"/>
        <w:ind w:firstLine="422" w:firstLineChars="200"/>
        <w:rPr>
          <w:rFonts w:ascii="宋体" w:hAnsi="宋体" w:cs="宋体"/>
          <w:color w:val="auto"/>
          <w:szCs w:val="21"/>
        </w:rPr>
      </w:pPr>
      <w:bookmarkStart w:id="285" w:name="OLE_LINK3"/>
      <w:r>
        <w:rPr>
          <w:rFonts w:hint="eastAsia" w:ascii="宋体" w:hAnsi="宋体" w:cs="宋体"/>
          <w:b/>
          <w:bCs/>
          <w:color w:val="auto"/>
          <w:szCs w:val="21"/>
        </w:rPr>
        <w:t>1.前期准备</w:t>
      </w:r>
      <w:r>
        <w:rPr>
          <w:rFonts w:hint="eastAsia" w:ascii="宋体" w:hAnsi="宋体" w:cs="宋体"/>
          <w:color w:val="auto"/>
          <w:szCs w:val="21"/>
        </w:rPr>
        <w:t>：施工前对周边环境进行详细勘察，清理拆除区域内的障碍物，如杂物、堆积物等，确保施工场地开阔。同时，搭建必要的警示标识和围挡设施，警示标识应符合相关交通法规标准，以保障过往行人和车辆的安全。</w:t>
      </w:r>
    </w:p>
    <w:p w14:paraId="10C04034">
      <w:pPr>
        <w:spacing w:line="440" w:lineRule="exact"/>
        <w:ind w:firstLine="422" w:firstLineChars="200"/>
        <w:rPr>
          <w:rFonts w:ascii="宋体" w:hAnsi="宋体" w:cs="宋体"/>
          <w:color w:val="auto"/>
          <w:szCs w:val="21"/>
        </w:rPr>
      </w:pPr>
      <w:r>
        <w:rPr>
          <w:rFonts w:hint="eastAsia" w:ascii="宋体" w:hAnsi="宋体" w:cs="宋体"/>
          <w:b/>
          <w:bCs/>
          <w:color w:val="auto"/>
          <w:szCs w:val="21"/>
        </w:rPr>
        <w:t>2.拆除作业</w:t>
      </w:r>
      <w:r>
        <w:rPr>
          <w:rFonts w:hint="eastAsia" w:ascii="宋体" w:hAnsi="宋体" w:cs="宋体"/>
          <w:color w:val="auto"/>
          <w:szCs w:val="21"/>
        </w:rPr>
        <w:t>：采用人工配合机械的方式进行拆除。先用专业工具如扳手、撬棍等拆除连接部件，再使用吊车、叉车或其他机械设备将拆除的护栏部件吊运至指定存放区域。对于高空或复杂地形处的护栏拆除，应制定专项施工方案，配备登高设备和安全防护装备，严禁违规操作。</w:t>
      </w:r>
    </w:p>
    <w:p w14:paraId="75188730">
      <w:pPr>
        <w:spacing w:line="440" w:lineRule="exact"/>
        <w:ind w:firstLine="422" w:firstLineChars="200"/>
        <w:rPr>
          <w:rFonts w:ascii="宋体" w:hAnsi="宋体" w:cs="宋体"/>
          <w:color w:val="auto"/>
          <w:szCs w:val="21"/>
        </w:rPr>
      </w:pPr>
      <w:r>
        <w:rPr>
          <w:rFonts w:hint="eastAsia" w:ascii="宋体" w:hAnsi="宋体" w:cs="宋体"/>
          <w:b/>
          <w:bCs/>
          <w:color w:val="auto"/>
          <w:szCs w:val="21"/>
        </w:rPr>
        <w:t>3.材料清理与运输</w:t>
      </w:r>
      <w:r>
        <w:rPr>
          <w:rFonts w:hint="eastAsia" w:ascii="宋体" w:hAnsi="宋体" w:cs="宋体"/>
          <w:color w:val="auto"/>
          <w:szCs w:val="21"/>
        </w:rPr>
        <w:t>：拆除后的护栏材料应及时清理，按照不同材质、规格分类存放。运输过程中要采取防护措施，防止材料损坏和散落，运输车辆需符合相关载重和安全标准，确保材料安全运抵采购人指定地点。</w:t>
      </w:r>
    </w:p>
    <w:p w14:paraId="7060477F">
      <w:pPr>
        <w:spacing w:line="440" w:lineRule="exact"/>
        <w:ind w:firstLine="422" w:firstLineChars="200"/>
        <w:rPr>
          <w:rFonts w:ascii="宋体" w:hAnsi="宋体" w:cs="宋体"/>
          <w:color w:val="auto"/>
          <w:szCs w:val="21"/>
        </w:rPr>
      </w:pPr>
      <w:r>
        <w:rPr>
          <w:rFonts w:hint="eastAsia" w:ascii="宋体" w:hAnsi="宋体" w:cs="宋体"/>
          <w:b/>
          <w:bCs/>
          <w:color w:val="auto"/>
          <w:szCs w:val="21"/>
        </w:rPr>
        <w:t>4.人员防护</w:t>
      </w:r>
      <w:r>
        <w:rPr>
          <w:rFonts w:hint="eastAsia" w:ascii="宋体" w:hAnsi="宋体" w:cs="宋体"/>
          <w:color w:val="auto"/>
          <w:szCs w:val="21"/>
        </w:rPr>
        <w:t>：施工人员必须佩戴安全帽、安全带、安全鞋等个人防护装备，高处作业人员还需系好安全绳，并定期对防护装备进行检查和更换，确保其性能可靠。</w:t>
      </w:r>
    </w:p>
    <w:p w14:paraId="7D73D9D2">
      <w:pPr>
        <w:spacing w:line="440" w:lineRule="exact"/>
        <w:ind w:firstLine="422" w:firstLineChars="200"/>
        <w:rPr>
          <w:rFonts w:ascii="宋体" w:hAnsi="宋体" w:cs="宋体"/>
          <w:color w:val="auto"/>
          <w:szCs w:val="21"/>
        </w:rPr>
      </w:pPr>
      <w:r>
        <w:rPr>
          <w:rFonts w:hint="eastAsia" w:ascii="宋体" w:hAnsi="宋体" w:cs="宋体"/>
          <w:b/>
          <w:bCs/>
          <w:color w:val="auto"/>
          <w:szCs w:val="21"/>
        </w:rPr>
        <w:t>5.安全监测</w:t>
      </w:r>
      <w:r>
        <w:rPr>
          <w:rFonts w:hint="eastAsia" w:ascii="宋体" w:hAnsi="宋体" w:cs="宋体"/>
          <w:color w:val="auto"/>
          <w:szCs w:val="21"/>
        </w:rPr>
        <w:t>：在拆除作业过程中，安排专人进行安全监测，密切关注拆除现场的动态，如发现异常情况（如结构松动、坍塌迹象等），应立即停止作业，组织人员撤离现场，并采取相应的应急措施。</w:t>
      </w:r>
      <w:bookmarkEnd w:id="283"/>
    </w:p>
    <w:bookmarkEnd w:id="285"/>
    <w:p w14:paraId="4B52525A">
      <w:pPr>
        <w:keepNext/>
        <w:keepLines/>
        <w:spacing w:before="120" w:after="120" w:line="440" w:lineRule="exact"/>
        <w:ind w:firstLine="482"/>
        <w:outlineLvl w:val="3"/>
        <w:rPr>
          <w:rFonts w:ascii="宋体" w:hAnsi="宋体" w:cs="宋体"/>
          <w:color w:val="auto"/>
          <w:szCs w:val="21"/>
        </w:rPr>
      </w:pPr>
      <w:bookmarkStart w:id="286" w:name="_Toc34838416"/>
      <w:r>
        <w:rPr>
          <w:rFonts w:hint="eastAsia" w:ascii="宋体" w:hAnsi="宋体" w:cs="宋体"/>
          <w:b/>
          <w:bCs/>
          <w:color w:val="auto"/>
          <w:szCs w:val="21"/>
        </w:rPr>
        <w:t>6.施工要求：</w:t>
      </w:r>
      <w:r>
        <w:rPr>
          <w:rFonts w:hint="eastAsia" w:ascii="宋体" w:hAnsi="宋体" w:cs="宋体"/>
          <w:color w:val="auto"/>
          <w:szCs w:val="21"/>
        </w:rPr>
        <w:t>拆除后的波形梁护栏材料，清理干净（如附着物水泥砼），按业主要求运至指点地点，分类码发整齐。</w:t>
      </w:r>
    </w:p>
    <w:p w14:paraId="491C9F5D">
      <w:pPr>
        <w:keepNext/>
        <w:keepLines/>
        <w:spacing w:before="120" w:after="120" w:line="440" w:lineRule="exact"/>
        <w:ind w:firstLine="482"/>
        <w:outlineLvl w:val="3"/>
        <w:rPr>
          <w:rFonts w:ascii="宋体" w:hAnsi="宋体" w:cs="宋体"/>
          <w:color w:val="auto"/>
          <w:szCs w:val="21"/>
          <w:lang w:val="zh-CN"/>
        </w:rPr>
      </w:pPr>
      <w:r>
        <w:rPr>
          <w:rFonts w:hint="eastAsia" w:ascii="宋体" w:hAnsi="宋体" w:cs="宋体"/>
          <w:b/>
          <w:bCs/>
          <w:color w:val="auto"/>
          <w:szCs w:val="21"/>
        </w:rPr>
        <w:t>第605节道路交通标线（修改）</w:t>
      </w:r>
    </w:p>
    <w:p w14:paraId="1456FE9E">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1  材 料</w:t>
      </w:r>
    </w:p>
    <w:p w14:paraId="2D94E69C">
      <w:pPr>
        <w:spacing w:line="440" w:lineRule="exact"/>
        <w:rPr>
          <w:rFonts w:ascii="宋体" w:hAnsi="宋体" w:cs="宋体"/>
          <w:color w:val="auto"/>
          <w:szCs w:val="21"/>
        </w:rPr>
      </w:pPr>
      <w:r>
        <w:rPr>
          <w:rFonts w:hint="eastAsia" w:ascii="宋体" w:hAnsi="宋体" w:cs="宋体"/>
          <w:color w:val="auto"/>
          <w:szCs w:val="21"/>
        </w:rPr>
        <w:t xml:space="preserve">  1.1  路面标线所用涂料应符合《路面标线涂料》（JT/T 280-2004）的规定，应能满足在沥青混凝土、水泥混凝土路面上耐久使用的要求，且应有合适的施工机械与之配套。</w:t>
      </w:r>
    </w:p>
    <w:p w14:paraId="1B209BF0">
      <w:pPr>
        <w:spacing w:line="440" w:lineRule="exact"/>
        <w:rPr>
          <w:rFonts w:ascii="宋体" w:hAnsi="宋体" w:cs="宋体"/>
          <w:color w:val="auto"/>
          <w:szCs w:val="21"/>
        </w:rPr>
      </w:pPr>
      <w:r>
        <w:rPr>
          <w:rFonts w:hint="eastAsia" w:ascii="宋体" w:hAnsi="宋体" w:cs="宋体"/>
          <w:color w:val="auto"/>
          <w:szCs w:val="21"/>
        </w:rPr>
        <w:t>1.2  路面标线涂料的色度性能应符合《安全色》（GB 2893-2008）的要求，其色品坐标应符合《路面标线涂料》（JT/T 280-2004）表6和图1中规定的范围。</w:t>
      </w:r>
    </w:p>
    <w:p w14:paraId="48B55FE2">
      <w:pPr>
        <w:spacing w:line="440" w:lineRule="exact"/>
        <w:rPr>
          <w:rFonts w:ascii="宋体" w:hAnsi="宋体" w:cs="宋体"/>
          <w:color w:val="auto"/>
          <w:szCs w:val="21"/>
        </w:rPr>
      </w:pPr>
      <w:r>
        <w:rPr>
          <w:rFonts w:hint="eastAsia" w:ascii="宋体" w:hAnsi="宋体" w:cs="宋体"/>
          <w:color w:val="auto"/>
          <w:szCs w:val="21"/>
        </w:rPr>
        <w:t>1.3  宜用1号玻璃珠作为面撒玻璃珠、2号玻璃珠作为预混玻璃珠，玻璃珠的各项指标应满足《路面标线用玻璃珠》（GB/T 24722-2009）的相关要求。</w:t>
      </w:r>
    </w:p>
    <w:p w14:paraId="141D9D74">
      <w:pPr>
        <w:spacing w:line="440" w:lineRule="exact"/>
        <w:rPr>
          <w:rFonts w:ascii="宋体" w:hAnsi="宋体" w:cs="宋体"/>
          <w:color w:val="auto"/>
          <w:szCs w:val="21"/>
        </w:rPr>
      </w:pPr>
      <w:r>
        <w:rPr>
          <w:rFonts w:hint="eastAsia" w:ascii="宋体" w:hAnsi="宋体" w:cs="宋体"/>
          <w:color w:val="auto"/>
          <w:szCs w:val="21"/>
        </w:rPr>
        <w:t>1.4  所采用的热熔涂料及玻璃珠材料，在满足《路面标线涂料》（JT/T 280）、《路面标线用玻璃珠》（GB/T 24722）和《安全色》（GB 2893）标准的全部要求外，还应满足表1、表2规定的关键技术指标要求：</w:t>
      </w:r>
    </w:p>
    <w:p w14:paraId="1A1B042E">
      <w:pPr>
        <w:spacing w:line="440" w:lineRule="exact"/>
        <w:rPr>
          <w:rFonts w:ascii="宋体" w:hAnsi="宋体" w:cs="宋体"/>
          <w:color w:val="auto"/>
          <w:szCs w:val="21"/>
        </w:rPr>
      </w:pPr>
      <w:r>
        <w:rPr>
          <w:rFonts w:hint="eastAsia" w:ascii="宋体" w:hAnsi="宋体" w:cs="宋体"/>
          <w:color w:val="auto"/>
          <w:szCs w:val="21"/>
        </w:rPr>
        <w:t>表1  热熔型涂料原材料关键技术指标</w:t>
      </w:r>
    </w:p>
    <w:tbl>
      <w:tblPr>
        <w:tblStyle w:val="47"/>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778"/>
        <w:gridCol w:w="2050"/>
        <w:gridCol w:w="5053"/>
      </w:tblGrid>
      <w:tr w14:paraId="2FD4B2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74" w:hRule="atLeast"/>
          <w:jc w:val="center"/>
        </w:trPr>
        <w:tc>
          <w:tcPr>
            <w:tcW w:w="1778" w:type="dxa"/>
            <w:noWrap/>
            <w:vAlign w:val="center"/>
          </w:tcPr>
          <w:p w14:paraId="2A0F892A">
            <w:pPr>
              <w:spacing w:line="440" w:lineRule="exact"/>
              <w:rPr>
                <w:rFonts w:ascii="宋体" w:hAnsi="宋体" w:cs="宋体"/>
                <w:color w:val="auto"/>
                <w:szCs w:val="21"/>
              </w:rPr>
            </w:pPr>
            <w:r>
              <w:rPr>
                <w:rFonts w:hint="eastAsia" w:ascii="宋体" w:hAnsi="宋体" w:cs="宋体"/>
                <w:color w:val="auto"/>
                <w:szCs w:val="21"/>
              </w:rPr>
              <w:t>材料名称</w:t>
            </w:r>
          </w:p>
        </w:tc>
        <w:tc>
          <w:tcPr>
            <w:tcW w:w="2050" w:type="dxa"/>
            <w:noWrap/>
            <w:vAlign w:val="center"/>
          </w:tcPr>
          <w:p w14:paraId="32E35700">
            <w:pPr>
              <w:spacing w:line="440" w:lineRule="exact"/>
              <w:rPr>
                <w:rFonts w:ascii="宋体" w:hAnsi="宋体" w:cs="宋体"/>
                <w:color w:val="auto"/>
                <w:szCs w:val="21"/>
              </w:rPr>
            </w:pPr>
            <w:r>
              <w:rPr>
                <w:rFonts w:hint="eastAsia" w:ascii="宋体" w:hAnsi="宋体" w:cs="宋体"/>
                <w:color w:val="auto"/>
                <w:szCs w:val="21"/>
              </w:rPr>
              <w:t>技术指标</w:t>
            </w:r>
          </w:p>
        </w:tc>
        <w:tc>
          <w:tcPr>
            <w:tcW w:w="5053" w:type="dxa"/>
            <w:noWrap/>
            <w:vAlign w:val="center"/>
          </w:tcPr>
          <w:p w14:paraId="5FBD5409">
            <w:pPr>
              <w:spacing w:line="440" w:lineRule="exact"/>
              <w:rPr>
                <w:rFonts w:ascii="宋体" w:hAnsi="宋体" w:cs="宋体"/>
                <w:color w:val="auto"/>
                <w:szCs w:val="21"/>
              </w:rPr>
            </w:pPr>
            <w:r>
              <w:rPr>
                <w:rFonts w:hint="eastAsia" w:ascii="宋体" w:hAnsi="宋体" w:cs="宋体"/>
                <w:color w:val="auto"/>
                <w:szCs w:val="21"/>
              </w:rPr>
              <w:t>技术要求</w:t>
            </w:r>
          </w:p>
        </w:tc>
      </w:tr>
      <w:tr w14:paraId="256BC3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3" w:hRule="atLeast"/>
          <w:jc w:val="center"/>
        </w:trPr>
        <w:tc>
          <w:tcPr>
            <w:tcW w:w="1778" w:type="dxa"/>
            <w:vMerge w:val="restart"/>
            <w:noWrap/>
            <w:vAlign w:val="center"/>
          </w:tcPr>
          <w:p w14:paraId="68FE2B3E">
            <w:pPr>
              <w:spacing w:line="440" w:lineRule="exact"/>
              <w:rPr>
                <w:rFonts w:ascii="宋体" w:hAnsi="宋体" w:cs="宋体"/>
                <w:color w:val="auto"/>
                <w:szCs w:val="21"/>
              </w:rPr>
            </w:pPr>
            <w:r>
              <w:rPr>
                <w:rFonts w:hint="eastAsia" w:ascii="宋体" w:hAnsi="宋体" w:cs="宋体"/>
                <w:color w:val="auto"/>
                <w:szCs w:val="21"/>
              </w:rPr>
              <w:t>标线涂料</w:t>
            </w:r>
          </w:p>
        </w:tc>
        <w:tc>
          <w:tcPr>
            <w:tcW w:w="2050" w:type="dxa"/>
            <w:noWrap/>
            <w:vAlign w:val="center"/>
          </w:tcPr>
          <w:p w14:paraId="65F621EF">
            <w:pPr>
              <w:spacing w:line="440" w:lineRule="exact"/>
              <w:rPr>
                <w:rFonts w:ascii="宋体" w:hAnsi="宋体" w:cs="宋体"/>
                <w:color w:val="auto"/>
                <w:szCs w:val="21"/>
              </w:rPr>
            </w:pPr>
            <w:r>
              <w:rPr>
                <w:rFonts w:hint="eastAsia" w:ascii="宋体" w:hAnsi="宋体" w:cs="宋体"/>
                <w:color w:val="auto"/>
                <w:szCs w:val="21"/>
              </w:rPr>
              <w:t>总有机物含量</w:t>
            </w:r>
          </w:p>
        </w:tc>
        <w:tc>
          <w:tcPr>
            <w:tcW w:w="5053" w:type="dxa"/>
            <w:noWrap/>
            <w:vAlign w:val="center"/>
          </w:tcPr>
          <w:p w14:paraId="58B840D9">
            <w:pPr>
              <w:spacing w:line="440" w:lineRule="exact"/>
              <w:rPr>
                <w:rFonts w:ascii="宋体" w:hAnsi="宋体" w:cs="宋体"/>
                <w:color w:val="auto"/>
                <w:szCs w:val="21"/>
              </w:rPr>
            </w:pPr>
            <w:r>
              <w:rPr>
                <w:rFonts w:hint="eastAsia" w:ascii="宋体" w:hAnsi="宋体" w:cs="宋体"/>
                <w:color w:val="auto"/>
                <w:szCs w:val="21"/>
              </w:rPr>
              <w:t>≥19%</w:t>
            </w:r>
          </w:p>
        </w:tc>
      </w:tr>
      <w:tr w14:paraId="212159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9" w:hRule="atLeast"/>
          <w:jc w:val="center"/>
        </w:trPr>
        <w:tc>
          <w:tcPr>
            <w:tcW w:w="1778" w:type="dxa"/>
            <w:vMerge w:val="continue"/>
            <w:noWrap/>
            <w:vAlign w:val="center"/>
          </w:tcPr>
          <w:p w14:paraId="2CEABDC0">
            <w:pPr>
              <w:spacing w:line="440" w:lineRule="exact"/>
              <w:rPr>
                <w:rFonts w:ascii="宋体" w:hAnsi="宋体" w:cs="宋体"/>
                <w:color w:val="auto"/>
                <w:szCs w:val="21"/>
              </w:rPr>
            </w:pPr>
          </w:p>
        </w:tc>
        <w:tc>
          <w:tcPr>
            <w:tcW w:w="2050" w:type="dxa"/>
            <w:noWrap/>
            <w:vAlign w:val="center"/>
          </w:tcPr>
          <w:p w14:paraId="702E9FD7">
            <w:pPr>
              <w:spacing w:line="440" w:lineRule="exact"/>
              <w:rPr>
                <w:rFonts w:ascii="宋体" w:hAnsi="宋体" w:cs="宋体"/>
                <w:color w:val="auto"/>
                <w:szCs w:val="21"/>
              </w:rPr>
            </w:pPr>
            <w:r>
              <w:rPr>
                <w:rFonts w:hint="eastAsia" w:ascii="宋体" w:hAnsi="宋体" w:cs="宋体"/>
                <w:color w:val="auto"/>
                <w:szCs w:val="21"/>
              </w:rPr>
              <w:t>钛白粉含量</w:t>
            </w:r>
          </w:p>
        </w:tc>
        <w:tc>
          <w:tcPr>
            <w:tcW w:w="5053" w:type="dxa"/>
            <w:noWrap/>
            <w:vAlign w:val="center"/>
          </w:tcPr>
          <w:p w14:paraId="2A5DF0CA">
            <w:pPr>
              <w:spacing w:line="440" w:lineRule="exact"/>
              <w:rPr>
                <w:rFonts w:ascii="宋体" w:hAnsi="宋体" w:cs="宋体"/>
                <w:color w:val="auto"/>
                <w:szCs w:val="21"/>
              </w:rPr>
            </w:pPr>
            <w:r>
              <w:rPr>
                <w:rFonts w:hint="eastAsia" w:ascii="宋体" w:hAnsi="宋体" w:cs="宋体"/>
                <w:color w:val="auto"/>
                <w:szCs w:val="21"/>
              </w:rPr>
              <w:t>≥7%（重量比）</w:t>
            </w:r>
          </w:p>
        </w:tc>
      </w:tr>
      <w:tr w14:paraId="172A97C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78" w:type="dxa"/>
            <w:noWrap/>
            <w:vAlign w:val="center"/>
          </w:tcPr>
          <w:p w14:paraId="781BBDDD">
            <w:pPr>
              <w:spacing w:line="440" w:lineRule="exact"/>
              <w:rPr>
                <w:rFonts w:ascii="宋体" w:hAnsi="宋体" w:cs="宋体"/>
                <w:color w:val="auto"/>
                <w:szCs w:val="21"/>
              </w:rPr>
            </w:pPr>
            <w:r>
              <w:rPr>
                <w:rFonts w:hint="eastAsia" w:ascii="宋体" w:hAnsi="宋体" w:cs="宋体"/>
                <w:color w:val="auto"/>
                <w:szCs w:val="21"/>
              </w:rPr>
              <w:t>面撒及内混玻璃珠</w:t>
            </w:r>
          </w:p>
        </w:tc>
        <w:tc>
          <w:tcPr>
            <w:tcW w:w="2050" w:type="dxa"/>
            <w:noWrap/>
            <w:vAlign w:val="center"/>
          </w:tcPr>
          <w:p w14:paraId="440BE70F">
            <w:pPr>
              <w:spacing w:line="440" w:lineRule="exact"/>
              <w:rPr>
                <w:rFonts w:ascii="宋体" w:hAnsi="宋体" w:cs="宋体"/>
                <w:color w:val="auto"/>
                <w:szCs w:val="21"/>
              </w:rPr>
            </w:pPr>
            <w:r>
              <w:rPr>
                <w:rFonts w:hint="eastAsia" w:ascii="宋体" w:hAnsi="宋体" w:cs="宋体"/>
                <w:color w:val="auto"/>
                <w:szCs w:val="21"/>
              </w:rPr>
              <w:t>成圆率</w:t>
            </w:r>
          </w:p>
        </w:tc>
        <w:tc>
          <w:tcPr>
            <w:tcW w:w="5053" w:type="dxa"/>
            <w:noWrap/>
            <w:vAlign w:val="center"/>
          </w:tcPr>
          <w:p w14:paraId="009A0807">
            <w:pPr>
              <w:spacing w:line="440" w:lineRule="exact"/>
              <w:rPr>
                <w:rFonts w:ascii="宋体" w:hAnsi="宋体" w:cs="宋体"/>
                <w:color w:val="auto"/>
                <w:szCs w:val="21"/>
              </w:rPr>
            </w:pPr>
            <w:r>
              <w:rPr>
                <w:rFonts w:hint="eastAsia" w:ascii="宋体" w:hAnsi="宋体" w:cs="宋体"/>
                <w:color w:val="auto"/>
                <w:szCs w:val="21"/>
              </w:rPr>
              <w:t>≥90%（面撒玻璃珠）、≥80%（内混玻璃珠）</w:t>
            </w:r>
          </w:p>
        </w:tc>
      </w:tr>
    </w:tbl>
    <w:p w14:paraId="065C67AD">
      <w:pPr>
        <w:spacing w:line="440" w:lineRule="exact"/>
        <w:rPr>
          <w:rFonts w:ascii="宋体" w:hAnsi="宋体" w:cs="宋体"/>
          <w:color w:val="auto"/>
          <w:szCs w:val="21"/>
        </w:rPr>
      </w:pPr>
      <w:r>
        <w:rPr>
          <w:rFonts w:hint="eastAsia" w:ascii="宋体" w:hAnsi="宋体" w:cs="宋体"/>
          <w:color w:val="auto"/>
          <w:szCs w:val="21"/>
        </w:rPr>
        <w:t>表2  热熔型涂料混合料的性能</w:t>
      </w:r>
    </w:p>
    <w:tbl>
      <w:tblPr>
        <w:tblStyle w:val="47"/>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261"/>
        <w:gridCol w:w="1419"/>
        <w:gridCol w:w="3015"/>
        <w:gridCol w:w="242"/>
        <w:gridCol w:w="2972"/>
      </w:tblGrid>
      <w:tr w14:paraId="11497C5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2680" w:type="dxa"/>
            <w:gridSpan w:val="2"/>
            <w:vMerge w:val="restart"/>
            <w:noWrap/>
            <w:vAlign w:val="center"/>
          </w:tcPr>
          <w:p w14:paraId="1F31DEE9">
            <w:pPr>
              <w:spacing w:line="440" w:lineRule="exact"/>
              <w:rPr>
                <w:rFonts w:ascii="宋体" w:hAnsi="宋体" w:cs="宋体"/>
                <w:color w:val="auto"/>
                <w:szCs w:val="21"/>
              </w:rPr>
            </w:pPr>
            <w:r>
              <w:rPr>
                <w:rFonts w:hint="eastAsia" w:ascii="宋体" w:hAnsi="宋体" w:cs="宋体"/>
                <w:color w:val="auto"/>
                <w:szCs w:val="21"/>
              </w:rPr>
              <w:t>项目</w:t>
            </w:r>
          </w:p>
        </w:tc>
        <w:tc>
          <w:tcPr>
            <w:tcW w:w="6229" w:type="dxa"/>
            <w:gridSpan w:val="3"/>
            <w:noWrap/>
            <w:vAlign w:val="center"/>
          </w:tcPr>
          <w:p w14:paraId="65838972">
            <w:pPr>
              <w:spacing w:line="440" w:lineRule="exact"/>
              <w:rPr>
                <w:rFonts w:ascii="宋体" w:hAnsi="宋体" w:cs="宋体"/>
                <w:color w:val="auto"/>
                <w:szCs w:val="21"/>
              </w:rPr>
            </w:pPr>
            <w:r>
              <w:rPr>
                <w:rFonts w:hint="eastAsia" w:ascii="宋体" w:hAnsi="宋体" w:cs="宋体"/>
                <w:color w:val="auto"/>
                <w:szCs w:val="21"/>
              </w:rPr>
              <w:t xml:space="preserve">      热熔型</w:t>
            </w:r>
          </w:p>
        </w:tc>
      </w:tr>
      <w:tr w14:paraId="6F9377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2680" w:type="dxa"/>
            <w:gridSpan w:val="2"/>
            <w:vMerge w:val="continue"/>
            <w:noWrap/>
            <w:vAlign w:val="center"/>
          </w:tcPr>
          <w:p w14:paraId="74095278">
            <w:pPr>
              <w:spacing w:line="440" w:lineRule="exact"/>
              <w:rPr>
                <w:rFonts w:ascii="宋体" w:hAnsi="宋体" w:cs="宋体"/>
                <w:color w:val="auto"/>
                <w:szCs w:val="21"/>
              </w:rPr>
            </w:pPr>
          </w:p>
        </w:tc>
        <w:tc>
          <w:tcPr>
            <w:tcW w:w="3257" w:type="dxa"/>
            <w:gridSpan w:val="2"/>
            <w:tcBorders>
              <w:right w:val="single" w:color="auto" w:sz="4" w:space="0"/>
            </w:tcBorders>
            <w:noWrap/>
            <w:vAlign w:val="center"/>
          </w:tcPr>
          <w:p w14:paraId="3551E86C">
            <w:pPr>
              <w:spacing w:line="440" w:lineRule="exact"/>
              <w:rPr>
                <w:rFonts w:ascii="宋体" w:hAnsi="宋体" w:cs="宋体"/>
                <w:color w:val="auto"/>
                <w:szCs w:val="21"/>
              </w:rPr>
            </w:pPr>
            <w:r>
              <w:rPr>
                <w:rFonts w:hint="eastAsia" w:ascii="宋体" w:hAnsi="宋体" w:cs="宋体"/>
                <w:color w:val="auto"/>
                <w:szCs w:val="21"/>
              </w:rPr>
              <w:t>反光型</w:t>
            </w:r>
          </w:p>
        </w:tc>
        <w:tc>
          <w:tcPr>
            <w:tcW w:w="2972" w:type="dxa"/>
            <w:tcBorders>
              <w:left w:val="single" w:color="auto" w:sz="4" w:space="0"/>
            </w:tcBorders>
            <w:noWrap/>
            <w:vAlign w:val="center"/>
          </w:tcPr>
          <w:p w14:paraId="1B51E454">
            <w:pPr>
              <w:spacing w:line="440" w:lineRule="exact"/>
              <w:rPr>
                <w:rFonts w:ascii="宋体" w:hAnsi="宋体" w:cs="宋体"/>
                <w:color w:val="auto"/>
                <w:szCs w:val="21"/>
              </w:rPr>
            </w:pPr>
            <w:r>
              <w:rPr>
                <w:rFonts w:hint="eastAsia" w:ascii="宋体" w:hAnsi="宋体" w:cs="宋体"/>
                <w:color w:val="auto"/>
                <w:szCs w:val="21"/>
              </w:rPr>
              <w:t>突起型</w:t>
            </w:r>
          </w:p>
        </w:tc>
      </w:tr>
      <w:tr w14:paraId="33CD27B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2680" w:type="dxa"/>
            <w:gridSpan w:val="2"/>
            <w:noWrap/>
            <w:vAlign w:val="center"/>
          </w:tcPr>
          <w:p w14:paraId="0DBF693C">
            <w:pPr>
              <w:spacing w:line="440" w:lineRule="exact"/>
              <w:rPr>
                <w:rFonts w:ascii="宋体" w:hAnsi="宋体" w:cs="宋体"/>
                <w:color w:val="auto"/>
                <w:szCs w:val="21"/>
              </w:rPr>
            </w:pPr>
            <w:r>
              <w:rPr>
                <w:rFonts w:hint="eastAsia" w:ascii="宋体" w:hAnsi="宋体" w:cs="宋体"/>
                <w:color w:val="auto"/>
                <w:szCs w:val="21"/>
              </w:rPr>
              <w:t>软化点(℃)</w:t>
            </w:r>
          </w:p>
        </w:tc>
        <w:tc>
          <w:tcPr>
            <w:tcW w:w="6229" w:type="dxa"/>
            <w:gridSpan w:val="3"/>
            <w:noWrap/>
            <w:vAlign w:val="center"/>
          </w:tcPr>
          <w:p w14:paraId="4E9657AB">
            <w:pPr>
              <w:spacing w:line="440" w:lineRule="exact"/>
              <w:rPr>
                <w:rFonts w:ascii="宋体" w:hAnsi="宋体" w:cs="宋体"/>
                <w:color w:val="auto"/>
                <w:szCs w:val="21"/>
              </w:rPr>
            </w:pPr>
            <w:r>
              <w:rPr>
                <w:rFonts w:hint="eastAsia" w:ascii="宋体" w:hAnsi="宋体" w:cs="宋体"/>
                <w:color w:val="auto"/>
                <w:szCs w:val="21"/>
              </w:rPr>
              <w:t>100～125</w:t>
            </w:r>
          </w:p>
          <w:p w14:paraId="198F8416">
            <w:pPr>
              <w:spacing w:line="440" w:lineRule="exact"/>
              <w:rPr>
                <w:rFonts w:ascii="宋体" w:hAnsi="宋体" w:cs="宋体"/>
                <w:color w:val="auto"/>
                <w:szCs w:val="21"/>
              </w:rPr>
            </w:pPr>
            <w:r>
              <w:rPr>
                <w:rFonts w:hint="eastAsia" w:ascii="宋体" w:hAnsi="宋体" w:cs="宋体"/>
                <w:color w:val="auto"/>
                <w:szCs w:val="21"/>
              </w:rPr>
              <w:t>100</w:t>
            </w:r>
          </w:p>
        </w:tc>
      </w:tr>
      <w:tr w14:paraId="0A9BE2B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2680" w:type="dxa"/>
            <w:gridSpan w:val="2"/>
            <w:noWrap/>
            <w:vAlign w:val="center"/>
          </w:tcPr>
          <w:p w14:paraId="53F0BDF4">
            <w:pPr>
              <w:spacing w:line="440" w:lineRule="exact"/>
              <w:rPr>
                <w:rFonts w:ascii="宋体" w:hAnsi="宋体" w:cs="宋体"/>
                <w:color w:val="auto"/>
                <w:szCs w:val="21"/>
              </w:rPr>
            </w:pPr>
            <w:r>
              <w:rPr>
                <w:rFonts w:hint="eastAsia" w:ascii="宋体" w:hAnsi="宋体" w:cs="宋体"/>
                <w:color w:val="auto"/>
                <w:szCs w:val="21"/>
              </w:rPr>
              <w:t>内混玻璃珠含量(%)</w:t>
            </w:r>
          </w:p>
        </w:tc>
        <w:tc>
          <w:tcPr>
            <w:tcW w:w="6229" w:type="dxa"/>
            <w:gridSpan w:val="3"/>
            <w:noWrap/>
            <w:vAlign w:val="center"/>
          </w:tcPr>
          <w:p w14:paraId="734B7C76">
            <w:pPr>
              <w:spacing w:line="440" w:lineRule="exact"/>
              <w:rPr>
                <w:rFonts w:ascii="宋体" w:hAnsi="宋体" w:cs="宋体"/>
                <w:color w:val="auto"/>
                <w:szCs w:val="21"/>
              </w:rPr>
            </w:pPr>
            <w:r>
              <w:rPr>
                <w:rFonts w:hint="eastAsia" w:ascii="宋体" w:hAnsi="宋体" w:cs="宋体"/>
                <w:color w:val="auto"/>
                <w:szCs w:val="21"/>
              </w:rPr>
              <w:t>≥18</w:t>
            </w:r>
          </w:p>
        </w:tc>
      </w:tr>
      <w:tr w14:paraId="38762F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1261" w:type="dxa"/>
            <w:vMerge w:val="restart"/>
            <w:noWrap/>
            <w:vAlign w:val="center"/>
          </w:tcPr>
          <w:p w14:paraId="76E8F5B4">
            <w:pPr>
              <w:spacing w:line="440" w:lineRule="exact"/>
              <w:rPr>
                <w:rFonts w:ascii="宋体" w:hAnsi="宋体" w:cs="宋体"/>
                <w:color w:val="auto"/>
                <w:szCs w:val="21"/>
              </w:rPr>
            </w:pPr>
            <w:r>
              <w:rPr>
                <w:rFonts w:hint="eastAsia" w:ascii="宋体" w:hAnsi="宋体" w:cs="宋体"/>
                <w:color w:val="auto"/>
                <w:szCs w:val="21"/>
              </w:rPr>
              <w:t>亮度因素</w:t>
            </w:r>
          </w:p>
        </w:tc>
        <w:tc>
          <w:tcPr>
            <w:tcW w:w="1419" w:type="dxa"/>
            <w:noWrap/>
            <w:vAlign w:val="center"/>
          </w:tcPr>
          <w:p w14:paraId="0E32881A">
            <w:pPr>
              <w:spacing w:line="440" w:lineRule="exact"/>
              <w:rPr>
                <w:rFonts w:ascii="宋体" w:hAnsi="宋体" w:cs="宋体"/>
                <w:color w:val="auto"/>
                <w:szCs w:val="21"/>
              </w:rPr>
            </w:pPr>
            <w:r>
              <w:rPr>
                <w:rFonts w:hint="eastAsia" w:ascii="宋体" w:hAnsi="宋体" w:cs="宋体"/>
                <w:color w:val="auto"/>
                <w:szCs w:val="21"/>
              </w:rPr>
              <w:t>白色</w:t>
            </w:r>
          </w:p>
        </w:tc>
        <w:tc>
          <w:tcPr>
            <w:tcW w:w="3015" w:type="dxa"/>
            <w:tcBorders>
              <w:right w:val="single" w:color="auto" w:sz="4" w:space="0"/>
            </w:tcBorders>
            <w:noWrap/>
            <w:vAlign w:val="center"/>
          </w:tcPr>
          <w:p w14:paraId="1C6B6147">
            <w:pPr>
              <w:spacing w:line="440" w:lineRule="exact"/>
              <w:rPr>
                <w:rFonts w:ascii="宋体" w:hAnsi="宋体" w:cs="宋体"/>
                <w:color w:val="auto"/>
                <w:szCs w:val="21"/>
              </w:rPr>
            </w:pPr>
            <w:r>
              <w:rPr>
                <w:rFonts w:hint="eastAsia" w:ascii="宋体" w:hAnsi="宋体" w:cs="宋体"/>
                <w:color w:val="auto"/>
                <w:szCs w:val="21"/>
              </w:rPr>
              <w:t>≥0.82</w:t>
            </w:r>
          </w:p>
        </w:tc>
        <w:tc>
          <w:tcPr>
            <w:tcW w:w="3214" w:type="dxa"/>
            <w:gridSpan w:val="2"/>
            <w:tcBorders>
              <w:left w:val="single" w:color="auto" w:sz="4" w:space="0"/>
              <w:bottom w:val="single" w:color="auto" w:sz="4" w:space="0"/>
            </w:tcBorders>
            <w:noWrap/>
            <w:vAlign w:val="center"/>
          </w:tcPr>
          <w:p w14:paraId="3A6CC63E">
            <w:pPr>
              <w:spacing w:line="440" w:lineRule="exact"/>
              <w:rPr>
                <w:rFonts w:ascii="宋体" w:hAnsi="宋体" w:cs="宋体"/>
                <w:color w:val="auto"/>
                <w:szCs w:val="21"/>
              </w:rPr>
            </w:pPr>
            <w:r>
              <w:rPr>
                <w:rFonts w:hint="eastAsia" w:ascii="宋体" w:hAnsi="宋体" w:cs="宋体"/>
                <w:color w:val="auto"/>
                <w:szCs w:val="21"/>
              </w:rPr>
              <w:t>≥0.80</w:t>
            </w:r>
          </w:p>
        </w:tc>
      </w:tr>
      <w:tr w14:paraId="58BBF1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1261" w:type="dxa"/>
            <w:vMerge w:val="continue"/>
            <w:noWrap/>
            <w:vAlign w:val="center"/>
          </w:tcPr>
          <w:p w14:paraId="3E8A9F11">
            <w:pPr>
              <w:spacing w:line="440" w:lineRule="exact"/>
              <w:rPr>
                <w:rFonts w:ascii="宋体" w:hAnsi="宋体" w:cs="宋体"/>
                <w:color w:val="auto"/>
                <w:szCs w:val="21"/>
              </w:rPr>
            </w:pPr>
          </w:p>
        </w:tc>
        <w:tc>
          <w:tcPr>
            <w:tcW w:w="1419" w:type="dxa"/>
            <w:noWrap/>
            <w:vAlign w:val="center"/>
          </w:tcPr>
          <w:p w14:paraId="61FD0C18">
            <w:pPr>
              <w:spacing w:line="440" w:lineRule="exact"/>
              <w:rPr>
                <w:rFonts w:ascii="宋体" w:hAnsi="宋体" w:cs="宋体"/>
                <w:color w:val="auto"/>
                <w:szCs w:val="21"/>
              </w:rPr>
            </w:pPr>
            <w:r>
              <w:rPr>
                <w:rFonts w:hint="eastAsia" w:ascii="宋体" w:hAnsi="宋体" w:cs="宋体"/>
                <w:color w:val="auto"/>
                <w:szCs w:val="21"/>
              </w:rPr>
              <w:t>黄色</w:t>
            </w:r>
          </w:p>
        </w:tc>
        <w:tc>
          <w:tcPr>
            <w:tcW w:w="3015" w:type="dxa"/>
            <w:tcBorders>
              <w:right w:val="single" w:color="auto" w:sz="4" w:space="0"/>
            </w:tcBorders>
            <w:noWrap/>
            <w:vAlign w:val="center"/>
          </w:tcPr>
          <w:p w14:paraId="6C6ECB54">
            <w:pPr>
              <w:spacing w:line="440" w:lineRule="exact"/>
              <w:rPr>
                <w:rFonts w:ascii="宋体" w:hAnsi="宋体" w:cs="宋体"/>
                <w:color w:val="auto"/>
                <w:szCs w:val="21"/>
              </w:rPr>
            </w:pPr>
            <w:r>
              <w:rPr>
                <w:rFonts w:hint="eastAsia" w:ascii="宋体" w:hAnsi="宋体" w:cs="宋体"/>
                <w:color w:val="auto"/>
                <w:szCs w:val="21"/>
              </w:rPr>
              <w:t xml:space="preserve">≥0.45  </w:t>
            </w:r>
          </w:p>
        </w:tc>
        <w:tc>
          <w:tcPr>
            <w:tcW w:w="3214" w:type="dxa"/>
            <w:gridSpan w:val="2"/>
            <w:tcBorders>
              <w:top w:val="single" w:color="auto" w:sz="4" w:space="0"/>
              <w:left w:val="single" w:color="auto" w:sz="4" w:space="0"/>
            </w:tcBorders>
            <w:noWrap/>
            <w:vAlign w:val="center"/>
          </w:tcPr>
          <w:p w14:paraId="126D161A">
            <w:pPr>
              <w:spacing w:line="440" w:lineRule="exact"/>
              <w:rPr>
                <w:rFonts w:ascii="宋体" w:hAnsi="宋体" w:cs="宋体"/>
                <w:color w:val="auto"/>
                <w:szCs w:val="21"/>
              </w:rPr>
            </w:pPr>
            <w:r>
              <w:rPr>
                <w:rFonts w:hint="eastAsia" w:ascii="宋体" w:hAnsi="宋体" w:cs="宋体"/>
                <w:color w:val="auto"/>
                <w:szCs w:val="21"/>
              </w:rPr>
              <w:t>≥0.45</w:t>
            </w:r>
          </w:p>
        </w:tc>
      </w:tr>
      <w:tr w14:paraId="7E263EF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90" w:hRule="exact"/>
          <w:jc w:val="center"/>
        </w:trPr>
        <w:tc>
          <w:tcPr>
            <w:tcW w:w="2680" w:type="dxa"/>
            <w:gridSpan w:val="2"/>
            <w:noWrap/>
            <w:vAlign w:val="center"/>
          </w:tcPr>
          <w:p w14:paraId="165E680F">
            <w:pPr>
              <w:spacing w:line="440" w:lineRule="exact"/>
              <w:rPr>
                <w:rFonts w:ascii="宋体" w:hAnsi="宋体" w:cs="宋体"/>
                <w:color w:val="auto"/>
                <w:szCs w:val="21"/>
              </w:rPr>
            </w:pPr>
            <w:r>
              <w:rPr>
                <w:rFonts w:hint="eastAsia" w:ascii="宋体" w:hAnsi="宋体" w:cs="宋体"/>
                <w:color w:val="auto"/>
                <w:szCs w:val="21"/>
              </w:rPr>
              <w:t>抗压强度(MPa)</w:t>
            </w:r>
          </w:p>
        </w:tc>
        <w:tc>
          <w:tcPr>
            <w:tcW w:w="3257" w:type="dxa"/>
            <w:gridSpan w:val="2"/>
            <w:noWrap/>
            <w:vAlign w:val="center"/>
          </w:tcPr>
          <w:p w14:paraId="7566659E">
            <w:pPr>
              <w:spacing w:line="440" w:lineRule="exact"/>
              <w:rPr>
                <w:rFonts w:ascii="宋体" w:hAnsi="宋体" w:cs="宋体"/>
                <w:color w:val="auto"/>
                <w:szCs w:val="21"/>
              </w:rPr>
            </w:pPr>
            <w:r>
              <w:rPr>
                <w:rFonts w:hint="eastAsia" w:ascii="宋体" w:hAnsi="宋体" w:cs="宋体"/>
                <w:color w:val="auto"/>
                <w:szCs w:val="21"/>
              </w:rPr>
              <w:t>≥15.0</w:t>
            </w:r>
          </w:p>
        </w:tc>
        <w:tc>
          <w:tcPr>
            <w:tcW w:w="2972" w:type="dxa"/>
            <w:noWrap/>
            <w:vAlign w:val="center"/>
          </w:tcPr>
          <w:p w14:paraId="27EDB6B1">
            <w:pPr>
              <w:spacing w:line="440" w:lineRule="exact"/>
              <w:rPr>
                <w:rFonts w:ascii="宋体" w:hAnsi="宋体" w:cs="宋体"/>
                <w:color w:val="auto"/>
                <w:szCs w:val="21"/>
                <w:vertAlign w:val="superscript"/>
              </w:rPr>
            </w:pPr>
            <w:r>
              <w:rPr>
                <w:rFonts w:hint="eastAsia" w:ascii="宋体" w:hAnsi="宋体" w:cs="宋体"/>
                <w:color w:val="auto"/>
                <w:szCs w:val="21"/>
              </w:rPr>
              <w:t>23℃±1℃时，≥15.0</w:t>
            </w:r>
          </w:p>
          <w:p w14:paraId="41D9A62E">
            <w:pPr>
              <w:spacing w:line="440" w:lineRule="exact"/>
              <w:rPr>
                <w:rFonts w:ascii="宋体" w:hAnsi="宋体" w:cs="宋体"/>
                <w:color w:val="auto"/>
                <w:szCs w:val="21"/>
              </w:rPr>
            </w:pPr>
            <w:r>
              <w:rPr>
                <w:rFonts w:hint="eastAsia" w:ascii="宋体" w:hAnsi="宋体" w:cs="宋体"/>
                <w:color w:val="auto"/>
                <w:szCs w:val="21"/>
              </w:rPr>
              <w:t>50℃±2℃时，≥2.0（压下试块高度  的20%）</w:t>
            </w:r>
          </w:p>
        </w:tc>
      </w:tr>
      <w:tr w14:paraId="1E52A2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00" w:hRule="exact"/>
          <w:jc w:val="center"/>
        </w:trPr>
        <w:tc>
          <w:tcPr>
            <w:tcW w:w="2680" w:type="dxa"/>
            <w:gridSpan w:val="2"/>
            <w:noWrap/>
            <w:vAlign w:val="center"/>
          </w:tcPr>
          <w:p w14:paraId="3BB2B4FE">
            <w:pPr>
              <w:spacing w:line="440" w:lineRule="exact"/>
              <w:rPr>
                <w:rFonts w:ascii="宋体" w:hAnsi="宋体" w:cs="宋体"/>
                <w:color w:val="auto"/>
                <w:szCs w:val="21"/>
              </w:rPr>
            </w:pPr>
            <w:r>
              <w:rPr>
                <w:rFonts w:hint="eastAsia" w:ascii="宋体" w:hAnsi="宋体" w:cs="宋体"/>
                <w:color w:val="auto"/>
                <w:szCs w:val="21"/>
              </w:rPr>
              <w:t>耐磨性（mg）</w:t>
            </w:r>
          </w:p>
          <w:p w14:paraId="2280F9E7">
            <w:pPr>
              <w:spacing w:line="440" w:lineRule="exact"/>
              <w:rPr>
                <w:rFonts w:ascii="宋体" w:hAnsi="宋体" w:cs="宋体"/>
                <w:color w:val="auto"/>
                <w:szCs w:val="21"/>
              </w:rPr>
            </w:pPr>
            <w:r>
              <w:rPr>
                <w:rFonts w:hint="eastAsia" w:ascii="宋体" w:hAnsi="宋体" w:cs="宋体"/>
                <w:color w:val="auto"/>
                <w:szCs w:val="21"/>
              </w:rPr>
              <w:t>(200转/1000g后减重)</w:t>
            </w:r>
          </w:p>
        </w:tc>
        <w:tc>
          <w:tcPr>
            <w:tcW w:w="3257" w:type="dxa"/>
            <w:gridSpan w:val="2"/>
            <w:noWrap/>
            <w:vAlign w:val="center"/>
          </w:tcPr>
          <w:p w14:paraId="41E0E15A">
            <w:pPr>
              <w:spacing w:line="440" w:lineRule="exact"/>
              <w:rPr>
                <w:rFonts w:ascii="宋体" w:hAnsi="宋体" w:cs="宋体"/>
                <w:color w:val="auto"/>
                <w:szCs w:val="21"/>
              </w:rPr>
            </w:pPr>
            <w:r>
              <w:rPr>
                <w:rFonts w:hint="eastAsia" w:ascii="宋体" w:hAnsi="宋体" w:cs="宋体"/>
                <w:color w:val="auto"/>
                <w:szCs w:val="21"/>
              </w:rPr>
              <w:t>≤60（JM-100橡胶砂轮）</w:t>
            </w:r>
          </w:p>
        </w:tc>
        <w:tc>
          <w:tcPr>
            <w:tcW w:w="2972" w:type="dxa"/>
            <w:noWrap/>
            <w:vAlign w:val="center"/>
          </w:tcPr>
          <w:p w14:paraId="41FA2CE8">
            <w:pPr>
              <w:spacing w:line="440" w:lineRule="exact"/>
              <w:rPr>
                <w:rFonts w:ascii="宋体" w:hAnsi="宋体" w:cs="宋体"/>
                <w:color w:val="auto"/>
                <w:szCs w:val="21"/>
              </w:rPr>
            </w:pPr>
            <w:r>
              <w:rPr>
                <w:rFonts w:hint="eastAsia" w:ascii="宋体" w:hAnsi="宋体" w:cs="宋体"/>
                <w:color w:val="auto"/>
                <w:szCs w:val="21"/>
              </w:rPr>
              <w:t>—</w:t>
            </w:r>
          </w:p>
        </w:tc>
      </w:tr>
    </w:tbl>
    <w:p w14:paraId="70A03426">
      <w:pPr>
        <w:spacing w:line="440" w:lineRule="exact"/>
        <w:rPr>
          <w:rFonts w:ascii="宋体" w:hAnsi="宋体" w:cs="宋体"/>
          <w:color w:val="auto"/>
          <w:szCs w:val="21"/>
        </w:rPr>
      </w:pPr>
      <w:r>
        <w:rPr>
          <w:rFonts w:hint="eastAsia" w:ascii="宋体" w:hAnsi="宋体" w:cs="宋体"/>
          <w:color w:val="auto"/>
          <w:szCs w:val="21"/>
        </w:rPr>
        <w:t xml:space="preserve">  1.5  材料的检验、包装、运输和储存以及涂料的试验应满足《公路工程标准施工招标文件》（2018年版）的有关要求。</w:t>
      </w:r>
    </w:p>
    <w:p w14:paraId="6FB63E86">
      <w:pPr>
        <w:spacing w:line="440" w:lineRule="exact"/>
        <w:rPr>
          <w:rFonts w:ascii="宋体" w:hAnsi="宋体" w:cs="宋体"/>
          <w:color w:val="auto"/>
          <w:szCs w:val="21"/>
          <w:u w:val="double"/>
        </w:rPr>
      </w:pPr>
      <w:r>
        <w:rPr>
          <w:rFonts w:hint="eastAsia" w:ascii="宋体" w:hAnsi="宋体" w:cs="宋体"/>
          <w:color w:val="auto"/>
          <w:szCs w:val="21"/>
          <w:u w:val="double"/>
        </w:rPr>
        <w:t xml:space="preserve"> 1.6  应对运至工地的涂料和玻璃珠等材料进行抽样检验，不合格产品，严禁使用。</w:t>
      </w:r>
    </w:p>
    <w:p w14:paraId="7C435A89">
      <w:pPr>
        <w:spacing w:line="440" w:lineRule="exact"/>
        <w:rPr>
          <w:rFonts w:ascii="宋体" w:hAnsi="宋体" w:cs="宋体"/>
          <w:color w:val="auto"/>
          <w:szCs w:val="21"/>
        </w:rPr>
      </w:pPr>
      <w:r>
        <w:rPr>
          <w:rFonts w:hint="eastAsia" w:ascii="宋体" w:hAnsi="宋体" w:cs="宋体"/>
          <w:b/>
          <w:bCs/>
          <w:color w:val="auto"/>
          <w:szCs w:val="21"/>
        </w:rPr>
        <w:t>2  施工要求</w:t>
      </w:r>
    </w:p>
    <w:p w14:paraId="03E412FF">
      <w:pPr>
        <w:spacing w:line="440" w:lineRule="exact"/>
        <w:rPr>
          <w:rFonts w:ascii="宋体" w:hAnsi="宋体" w:cs="宋体"/>
          <w:color w:val="auto"/>
          <w:szCs w:val="21"/>
        </w:rPr>
      </w:pPr>
      <w:r>
        <w:rPr>
          <w:rFonts w:hint="eastAsia" w:ascii="宋体" w:hAnsi="宋体" w:cs="宋体"/>
          <w:color w:val="auto"/>
          <w:szCs w:val="21"/>
        </w:rPr>
        <w:t>2.1  旧标线清除（如有）</w:t>
      </w:r>
    </w:p>
    <w:p w14:paraId="22FC11EB">
      <w:pPr>
        <w:spacing w:line="440" w:lineRule="exact"/>
        <w:rPr>
          <w:rFonts w:ascii="宋体" w:hAnsi="宋体" w:cs="宋体"/>
          <w:color w:val="auto"/>
          <w:szCs w:val="21"/>
          <w:u w:val="double"/>
        </w:rPr>
      </w:pPr>
      <w:r>
        <w:rPr>
          <w:rFonts w:hint="eastAsia" w:ascii="宋体" w:hAnsi="宋体" w:cs="宋体"/>
          <w:color w:val="auto"/>
          <w:szCs w:val="21"/>
          <w:u w:val="double"/>
        </w:rPr>
        <w:t>2.1.1 旧标线应采用除线机清除。除线机应运转正常，磨头损坏后应及时更换，以免在除线过程中损伤路面；</w:t>
      </w:r>
    </w:p>
    <w:p w14:paraId="08D33925">
      <w:pPr>
        <w:spacing w:line="440" w:lineRule="exact"/>
        <w:rPr>
          <w:rFonts w:ascii="宋体" w:hAnsi="宋体" w:cs="宋体"/>
          <w:color w:val="auto"/>
          <w:szCs w:val="21"/>
          <w:u w:val="double"/>
        </w:rPr>
      </w:pPr>
      <w:r>
        <w:rPr>
          <w:rFonts w:hint="eastAsia" w:ascii="宋体" w:hAnsi="宋体" w:cs="宋体"/>
          <w:color w:val="auto"/>
          <w:szCs w:val="21"/>
          <w:u w:val="double"/>
        </w:rPr>
        <w:t>2.1.2 清除旧标线时，每处以打磨两遍为宜，清除掉的旧标线废弃物应及时回收不得随意丢弃，避免污染环境；</w:t>
      </w:r>
    </w:p>
    <w:p w14:paraId="31396E12">
      <w:pPr>
        <w:spacing w:line="440" w:lineRule="exact"/>
        <w:rPr>
          <w:rFonts w:ascii="宋体" w:hAnsi="宋体" w:cs="宋体"/>
          <w:color w:val="auto"/>
          <w:szCs w:val="21"/>
          <w:u w:val="double"/>
        </w:rPr>
      </w:pPr>
      <w:r>
        <w:rPr>
          <w:rFonts w:hint="eastAsia" w:ascii="宋体" w:hAnsi="宋体" w:cs="宋体"/>
          <w:color w:val="auto"/>
          <w:szCs w:val="21"/>
          <w:u w:val="double"/>
        </w:rPr>
        <w:t>2.1.3 旧标线清除后，应使用带钢丝刷的扫地机清扫已除标线部位，然后采用吹风机将路面上的标线废弃物、沙石、尘埃等清扫干净；</w:t>
      </w:r>
    </w:p>
    <w:p w14:paraId="6EE23A17">
      <w:pPr>
        <w:spacing w:line="440" w:lineRule="exact"/>
        <w:rPr>
          <w:rFonts w:ascii="宋体" w:hAnsi="宋体" w:cs="宋体"/>
          <w:color w:val="auto"/>
          <w:szCs w:val="21"/>
          <w:u w:val="double"/>
        </w:rPr>
      </w:pPr>
      <w:r>
        <w:rPr>
          <w:rFonts w:hint="eastAsia" w:ascii="宋体" w:hAnsi="宋体" w:cs="宋体"/>
          <w:color w:val="auto"/>
          <w:szCs w:val="21"/>
          <w:u w:val="double"/>
        </w:rPr>
        <w:t>2.1.4 清除旧标线时应以保护原路面不受损坏为前提，清除面应保持与原路面相平，沥青路面清除面积应尽可能达到80%以上，水泥路面清除面积应尽可能达到95%以上，清除的旧标线应清扫干净。</w:t>
      </w:r>
    </w:p>
    <w:p w14:paraId="236BBEAB">
      <w:pPr>
        <w:spacing w:line="440" w:lineRule="exact"/>
        <w:rPr>
          <w:rFonts w:ascii="宋体" w:hAnsi="宋体" w:cs="宋体"/>
          <w:color w:val="auto"/>
          <w:szCs w:val="21"/>
        </w:rPr>
      </w:pPr>
      <w:r>
        <w:rPr>
          <w:rFonts w:hint="eastAsia" w:ascii="宋体" w:hAnsi="宋体" w:cs="宋体"/>
          <w:color w:val="auto"/>
          <w:szCs w:val="21"/>
        </w:rPr>
        <w:t xml:space="preserve">    2.2  路面标线施划</w:t>
      </w:r>
    </w:p>
    <w:p w14:paraId="41408325">
      <w:pPr>
        <w:spacing w:line="440" w:lineRule="exact"/>
        <w:rPr>
          <w:rFonts w:ascii="宋体" w:hAnsi="宋体" w:cs="宋体"/>
          <w:color w:val="auto"/>
          <w:szCs w:val="21"/>
        </w:rPr>
      </w:pPr>
      <w:r>
        <w:rPr>
          <w:rFonts w:hint="eastAsia" w:ascii="宋体" w:hAnsi="宋体" w:cs="宋体"/>
          <w:color w:val="auto"/>
          <w:szCs w:val="21"/>
        </w:rPr>
        <w:t>2.2.1  标线施划前的准备</w:t>
      </w:r>
    </w:p>
    <w:p w14:paraId="18A8C82D">
      <w:pPr>
        <w:spacing w:line="440" w:lineRule="exact"/>
        <w:rPr>
          <w:rFonts w:ascii="宋体" w:hAnsi="宋体" w:cs="宋体"/>
          <w:color w:val="auto"/>
          <w:szCs w:val="21"/>
        </w:rPr>
      </w:pPr>
      <w:r>
        <w:rPr>
          <w:rFonts w:hint="eastAsia" w:ascii="宋体" w:hAnsi="宋体" w:cs="宋体"/>
          <w:color w:val="auto"/>
          <w:szCs w:val="21"/>
        </w:rPr>
        <w:t>2.2.1.1设置标线的路面表面应清洁干燥，无松散颗粒、灰尘、沥青、油污或其他有害物质。</w:t>
      </w:r>
    </w:p>
    <w:p w14:paraId="653C35A8">
      <w:pPr>
        <w:spacing w:line="440" w:lineRule="exact"/>
        <w:rPr>
          <w:rFonts w:ascii="宋体" w:hAnsi="宋体" w:cs="宋体"/>
          <w:color w:val="auto"/>
          <w:szCs w:val="21"/>
        </w:rPr>
      </w:pPr>
      <w:r>
        <w:rPr>
          <w:rFonts w:hint="eastAsia" w:ascii="宋体" w:hAnsi="宋体" w:cs="宋体"/>
          <w:color w:val="auto"/>
          <w:szCs w:val="21"/>
        </w:rPr>
        <w:t>2.2.1.2 应根据公路横断面的具体尺寸和设计文件的要求确定标线位置和标线宽度、长度，在路面上划出标线位置，</w:t>
      </w:r>
      <w:r>
        <w:rPr>
          <w:rFonts w:hint="eastAsia" w:ascii="宋体" w:hAnsi="宋体" w:cs="宋体"/>
          <w:color w:val="auto"/>
          <w:szCs w:val="21"/>
          <w:u w:val="double"/>
        </w:rPr>
        <w:t>保证线条顺直、流畅 ，线型美观。</w:t>
      </w:r>
    </w:p>
    <w:p w14:paraId="6457279C">
      <w:pPr>
        <w:spacing w:line="440" w:lineRule="exact"/>
        <w:rPr>
          <w:rFonts w:ascii="宋体" w:hAnsi="宋体" w:cs="宋体"/>
          <w:color w:val="auto"/>
          <w:szCs w:val="21"/>
        </w:rPr>
      </w:pPr>
      <w:r>
        <w:rPr>
          <w:rFonts w:hint="eastAsia" w:ascii="宋体" w:hAnsi="宋体" w:cs="宋体"/>
          <w:color w:val="auto"/>
          <w:szCs w:val="21"/>
        </w:rPr>
        <w:t>2.2.2  涂刷底油</w:t>
      </w:r>
    </w:p>
    <w:p w14:paraId="67FD69FA">
      <w:pPr>
        <w:spacing w:line="440" w:lineRule="exact"/>
        <w:rPr>
          <w:rFonts w:ascii="宋体" w:hAnsi="宋体" w:cs="宋体"/>
          <w:color w:val="auto"/>
          <w:szCs w:val="21"/>
        </w:rPr>
      </w:pPr>
      <w:r>
        <w:rPr>
          <w:rFonts w:hint="eastAsia" w:ascii="宋体" w:hAnsi="宋体" w:cs="宋体"/>
          <w:color w:val="auto"/>
          <w:szCs w:val="21"/>
        </w:rPr>
        <w:t>2.2.2.1在水泥路面和旧的沥青路面施加标线需要预涂底油时，应先喷涂热熔底油下涂剂，按试验决定的间隔时间喷涂热熔涂料，以提高其粘结力。</w:t>
      </w:r>
    </w:p>
    <w:p w14:paraId="62B8CB88">
      <w:pPr>
        <w:spacing w:line="440" w:lineRule="exact"/>
        <w:rPr>
          <w:rFonts w:ascii="宋体" w:hAnsi="宋体" w:cs="宋体"/>
          <w:color w:val="auto"/>
          <w:szCs w:val="21"/>
          <w:u w:val="double"/>
        </w:rPr>
      </w:pPr>
      <w:r>
        <w:rPr>
          <w:rFonts w:hint="eastAsia" w:ascii="宋体" w:hAnsi="宋体" w:cs="宋体"/>
          <w:color w:val="auto"/>
          <w:szCs w:val="21"/>
        </w:rPr>
        <w:t>2.2.2.2为了确保标线涂料和路面材料完全相适应，底油的类型和用量应经监理人批准，</w:t>
      </w:r>
      <w:r>
        <w:rPr>
          <w:rFonts w:hint="eastAsia" w:ascii="宋体" w:hAnsi="宋体" w:cs="宋体"/>
          <w:color w:val="auto"/>
          <w:szCs w:val="21"/>
          <w:u w:val="double"/>
        </w:rPr>
        <w:t>原则上，底油用量为0.15kg/㎡～0.20kg/㎡，应使用涂料厂家提供的底油，严禁使用废机油。</w:t>
      </w:r>
    </w:p>
    <w:p w14:paraId="49E812EC">
      <w:pPr>
        <w:spacing w:line="440" w:lineRule="exact"/>
        <w:rPr>
          <w:rFonts w:ascii="宋体" w:hAnsi="宋体" w:cs="宋体"/>
          <w:color w:val="auto"/>
          <w:szCs w:val="21"/>
          <w:u w:val="double"/>
        </w:rPr>
      </w:pPr>
      <w:r>
        <w:rPr>
          <w:rFonts w:hint="eastAsia" w:ascii="宋体" w:hAnsi="宋体" w:cs="宋体"/>
          <w:color w:val="auto"/>
          <w:szCs w:val="21"/>
          <w:u w:val="double"/>
        </w:rPr>
        <w:t>2.2.2.3底油应使用底油喷涂机进行喷涂，喷涂的底油应完全覆盖待划标线部位，且其边缘应较标线宽约1cm。</w:t>
      </w:r>
    </w:p>
    <w:p w14:paraId="7B14BEA4">
      <w:pPr>
        <w:spacing w:line="440" w:lineRule="exact"/>
        <w:rPr>
          <w:rFonts w:ascii="宋体" w:hAnsi="宋体" w:cs="宋体"/>
          <w:color w:val="auto"/>
          <w:szCs w:val="21"/>
        </w:rPr>
      </w:pPr>
      <w:r>
        <w:rPr>
          <w:rFonts w:hint="eastAsia" w:ascii="宋体" w:hAnsi="宋体" w:cs="宋体"/>
          <w:color w:val="auto"/>
          <w:szCs w:val="21"/>
        </w:rPr>
        <w:t>2.2.2.4待底油彻底干燥，不粘附灰尘、沙土时，方可进行标线施划，以避免产生气泡甚至脱落等严重质量问题。</w:t>
      </w:r>
    </w:p>
    <w:p w14:paraId="1F723A6A">
      <w:pPr>
        <w:spacing w:line="440" w:lineRule="exact"/>
        <w:rPr>
          <w:rFonts w:ascii="宋体" w:hAnsi="宋体" w:cs="宋体"/>
          <w:color w:val="auto"/>
          <w:szCs w:val="21"/>
        </w:rPr>
      </w:pPr>
      <w:r>
        <w:rPr>
          <w:rFonts w:hint="eastAsia" w:ascii="宋体" w:hAnsi="宋体" w:cs="宋体"/>
          <w:color w:val="auto"/>
          <w:szCs w:val="21"/>
        </w:rPr>
        <w:t>2.2.3  涂料加热</w:t>
      </w:r>
    </w:p>
    <w:p w14:paraId="10D5CD71">
      <w:pPr>
        <w:spacing w:line="440" w:lineRule="exact"/>
        <w:rPr>
          <w:rFonts w:ascii="宋体" w:hAnsi="宋体" w:cs="宋体"/>
          <w:color w:val="auto"/>
          <w:szCs w:val="21"/>
          <w:u w:val="double"/>
        </w:rPr>
      </w:pPr>
      <w:r>
        <w:rPr>
          <w:rFonts w:hint="eastAsia" w:ascii="宋体" w:hAnsi="宋体" w:cs="宋体"/>
          <w:color w:val="auto"/>
          <w:szCs w:val="21"/>
          <w:u w:val="double"/>
        </w:rPr>
        <w:t>2.2.3.1根据环境气温和涂料特性，涂料熔融温度宜保持在215℃～240℃，涂料应在完全熔化，并搅拌均匀后方可使用，禁止使用烧焦的物料。</w:t>
      </w:r>
    </w:p>
    <w:p w14:paraId="1F27B536">
      <w:pPr>
        <w:spacing w:line="440" w:lineRule="exact"/>
        <w:rPr>
          <w:rFonts w:ascii="宋体" w:hAnsi="宋体" w:cs="宋体"/>
          <w:color w:val="auto"/>
          <w:szCs w:val="21"/>
        </w:rPr>
      </w:pPr>
      <w:r>
        <w:rPr>
          <w:rFonts w:hint="eastAsia" w:ascii="宋体" w:hAnsi="宋体" w:cs="宋体"/>
          <w:color w:val="auto"/>
          <w:szCs w:val="21"/>
        </w:rPr>
        <w:t>2.2.3.2涂料在容器内加热时，温度应控制在涂料生产商的使用说明规定值内，不得超过最高限制温度。烃树脂类材料，保持在熔融状态的时间不得大于6h，树胶树脂类材料，保持在熔融状态的时间不得大于4h。</w:t>
      </w:r>
    </w:p>
    <w:p w14:paraId="1540CC86">
      <w:pPr>
        <w:spacing w:line="440" w:lineRule="exact"/>
        <w:rPr>
          <w:rFonts w:ascii="宋体" w:hAnsi="宋体" w:cs="宋体"/>
          <w:color w:val="auto"/>
          <w:szCs w:val="21"/>
        </w:rPr>
      </w:pPr>
      <w:r>
        <w:rPr>
          <w:rFonts w:hint="eastAsia" w:ascii="宋体" w:hAnsi="宋体" w:cs="宋体"/>
          <w:color w:val="auto"/>
          <w:szCs w:val="21"/>
        </w:rPr>
        <w:t>2.2.4  标线施划</w:t>
      </w:r>
    </w:p>
    <w:p w14:paraId="76ACD500">
      <w:pPr>
        <w:spacing w:line="440" w:lineRule="exact"/>
        <w:rPr>
          <w:rFonts w:ascii="宋体" w:hAnsi="宋体" w:cs="宋体"/>
          <w:color w:val="auto"/>
          <w:szCs w:val="21"/>
        </w:rPr>
      </w:pPr>
      <w:r>
        <w:rPr>
          <w:rFonts w:hint="eastAsia" w:ascii="宋体" w:hAnsi="宋体" w:cs="宋体"/>
          <w:color w:val="auto"/>
          <w:szCs w:val="21"/>
        </w:rPr>
        <w:t>2.2.4.1标线施工应在白天进行，雨天、风大、灰尘大或气温低于10℃时应暂时停止施工。</w:t>
      </w:r>
    </w:p>
    <w:p w14:paraId="64F8D53A">
      <w:pPr>
        <w:spacing w:line="440" w:lineRule="exact"/>
        <w:rPr>
          <w:rFonts w:ascii="宋体" w:hAnsi="宋体" w:cs="宋体"/>
          <w:color w:val="auto"/>
          <w:szCs w:val="21"/>
        </w:rPr>
      </w:pPr>
      <w:r>
        <w:rPr>
          <w:rFonts w:hint="eastAsia" w:ascii="宋体" w:hAnsi="宋体" w:cs="宋体"/>
          <w:color w:val="auto"/>
          <w:szCs w:val="21"/>
        </w:rPr>
        <w:t>2.2.4.2正式施划前应进行试划，以检验划线车的行驶速度、线宽、标线厚度、玻璃珠撒布量等能否满足要求。调试合格后才能开始正式施工。</w:t>
      </w:r>
    </w:p>
    <w:p w14:paraId="28978196">
      <w:pPr>
        <w:spacing w:line="440" w:lineRule="exact"/>
        <w:rPr>
          <w:rFonts w:ascii="宋体" w:hAnsi="宋体" w:cs="宋体"/>
          <w:color w:val="auto"/>
          <w:szCs w:val="21"/>
          <w:u w:val="double"/>
        </w:rPr>
      </w:pPr>
      <w:r>
        <w:rPr>
          <w:rFonts w:hint="eastAsia" w:ascii="宋体" w:hAnsi="宋体" w:cs="宋体"/>
          <w:color w:val="auto"/>
          <w:szCs w:val="21"/>
          <w:u w:val="double"/>
        </w:rPr>
        <w:t>2.2.4.3应使用安装有玻璃珠双撒播器的热熔划线车施划热熔标线，撒布在标线涂层上的玻璃珠应分布均匀，其撒布量应大于0.5kg/㎡，玻璃珠的撒布应经试验确认后方可实施。施工时应根据环境气温和路面状况，将涂料粘度调整到适宜的状态，尽量使面撒的玻璃珠颗粒有约2/3的体积沉入到标线涂层中。</w:t>
      </w:r>
    </w:p>
    <w:p w14:paraId="4C0631C4">
      <w:pPr>
        <w:spacing w:line="440" w:lineRule="exact"/>
        <w:rPr>
          <w:rFonts w:ascii="宋体" w:hAnsi="宋体" w:cs="宋体"/>
          <w:color w:val="auto"/>
          <w:szCs w:val="21"/>
        </w:rPr>
      </w:pPr>
      <w:r>
        <w:rPr>
          <w:rFonts w:hint="eastAsia" w:ascii="宋体" w:hAnsi="宋体" w:cs="宋体"/>
          <w:color w:val="auto"/>
          <w:szCs w:val="21"/>
        </w:rPr>
        <w:t>2.2.4.4连续设置的实线类标线，应每隔15m左右设置排水缝，其他标线有可能阻水时，应沿排水方向设置排水缝。排水缝宽度一般为3cm-5cm。</w:t>
      </w:r>
    </w:p>
    <w:p w14:paraId="651D5E40">
      <w:pPr>
        <w:spacing w:line="440" w:lineRule="exact"/>
        <w:rPr>
          <w:rFonts w:ascii="宋体" w:hAnsi="宋体" w:cs="宋体"/>
          <w:color w:val="auto"/>
          <w:szCs w:val="21"/>
        </w:rPr>
      </w:pPr>
      <w:r>
        <w:rPr>
          <w:rFonts w:hint="eastAsia" w:ascii="宋体" w:hAnsi="宋体" w:cs="宋体"/>
          <w:color w:val="auto"/>
          <w:szCs w:val="21"/>
        </w:rPr>
        <w:t>2.2.4.5有缺陷的、施工不当、尺寸不正确或位置错误的标线均应清除，重新施划。</w:t>
      </w:r>
    </w:p>
    <w:p w14:paraId="6863D9DE">
      <w:pPr>
        <w:spacing w:line="440" w:lineRule="exact"/>
        <w:rPr>
          <w:rFonts w:ascii="宋体" w:hAnsi="宋体" w:cs="宋体"/>
          <w:color w:val="auto"/>
          <w:szCs w:val="21"/>
        </w:rPr>
      </w:pPr>
      <w:r>
        <w:rPr>
          <w:rFonts w:hint="eastAsia" w:ascii="宋体" w:hAnsi="宋体" w:cs="宋体"/>
          <w:color w:val="auto"/>
          <w:szCs w:val="21"/>
        </w:rPr>
        <w:t>2.2.4.6道路施工时，应有交通安全措施，设置适当警告标志，阻止车辆及行人在作业区内通行，防止将涂料带出或形成车辙，直至标线充分干燥，方可开放交通。</w:t>
      </w:r>
    </w:p>
    <w:p w14:paraId="29B146E5">
      <w:pPr>
        <w:spacing w:line="440" w:lineRule="exact"/>
        <w:rPr>
          <w:rFonts w:ascii="宋体" w:hAnsi="宋体" w:cs="宋体"/>
          <w:b/>
          <w:bCs/>
          <w:color w:val="auto"/>
          <w:szCs w:val="21"/>
        </w:rPr>
      </w:pPr>
      <w:r>
        <w:rPr>
          <w:rFonts w:hint="eastAsia" w:ascii="宋体" w:hAnsi="宋体" w:cs="宋体"/>
          <w:b/>
          <w:bCs/>
          <w:color w:val="auto"/>
          <w:szCs w:val="21"/>
        </w:rPr>
        <w:t>3  质量检验</w:t>
      </w:r>
    </w:p>
    <w:p w14:paraId="46537306">
      <w:pPr>
        <w:spacing w:line="440" w:lineRule="exact"/>
        <w:rPr>
          <w:rFonts w:ascii="宋体" w:hAnsi="宋体" w:cs="宋体"/>
          <w:color w:val="auto"/>
          <w:szCs w:val="21"/>
        </w:rPr>
      </w:pPr>
      <w:r>
        <w:rPr>
          <w:rFonts w:hint="eastAsia" w:ascii="宋体" w:hAnsi="宋体" w:cs="宋体"/>
          <w:color w:val="auto"/>
          <w:szCs w:val="21"/>
        </w:rPr>
        <w:t>3.1 基本要求</w:t>
      </w:r>
    </w:p>
    <w:p w14:paraId="187AA6C8">
      <w:pPr>
        <w:spacing w:line="440" w:lineRule="exact"/>
        <w:rPr>
          <w:rFonts w:ascii="宋体" w:hAnsi="宋体" w:cs="宋体"/>
          <w:color w:val="auto"/>
          <w:szCs w:val="21"/>
        </w:rPr>
      </w:pPr>
      <w:r>
        <w:rPr>
          <w:rFonts w:hint="eastAsia" w:ascii="宋体" w:hAnsi="宋体" w:cs="宋体"/>
          <w:color w:val="auto"/>
          <w:szCs w:val="21"/>
        </w:rPr>
        <w:t xml:space="preserve"> 3.1.1  标线的颜色、形状和位置应符合《道路交通标志和标线》（GB 5768-2009 及后续有效修订版）的规定并满足设计要求。</w:t>
      </w:r>
    </w:p>
    <w:p w14:paraId="6BD9D25D">
      <w:pPr>
        <w:spacing w:line="440" w:lineRule="exact"/>
        <w:rPr>
          <w:rFonts w:ascii="宋体" w:hAnsi="宋体" w:cs="宋体"/>
          <w:color w:val="auto"/>
          <w:szCs w:val="21"/>
        </w:rPr>
      </w:pPr>
      <w:r>
        <w:rPr>
          <w:rFonts w:hint="eastAsia" w:ascii="宋体" w:hAnsi="宋体" w:cs="宋体"/>
          <w:color w:val="auto"/>
          <w:szCs w:val="21"/>
        </w:rPr>
        <w:t>3.1.2  施划后的标线应具有良好的全天候视认性，颜色均匀、边缘整齐、线型规则、线条流畅。</w:t>
      </w:r>
    </w:p>
    <w:p w14:paraId="46005A9D">
      <w:pPr>
        <w:spacing w:line="440" w:lineRule="exact"/>
        <w:rPr>
          <w:rFonts w:ascii="宋体" w:hAnsi="宋体" w:cs="宋体"/>
          <w:color w:val="auto"/>
          <w:szCs w:val="21"/>
        </w:rPr>
      </w:pPr>
      <w:r>
        <w:rPr>
          <w:rFonts w:hint="eastAsia" w:ascii="宋体" w:hAnsi="宋体" w:cs="宋体"/>
          <w:color w:val="auto"/>
          <w:szCs w:val="21"/>
        </w:rPr>
        <w:t>3.1.3  标线面撒玻璃珠应撒布均匀。标线无明显起泡、皱纹、开裂、剥落等缺陷。</w:t>
      </w:r>
    </w:p>
    <w:p w14:paraId="5F874240">
      <w:pPr>
        <w:spacing w:line="440" w:lineRule="exact"/>
        <w:rPr>
          <w:rFonts w:ascii="宋体" w:hAnsi="宋体" w:cs="宋体"/>
          <w:color w:val="auto"/>
          <w:szCs w:val="21"/>
          <w:u w:val="double"/>
        </w:rPr>
      </w:pPr>
      <w:r>
        <w:rPr>
          <w:rFonts w:hint="eastAsia" w:ascii="宋体" w:hAnsi="宋体" w:cs="宋体"/>
          <w:color w:val="auto"/>
          <w:szCs w:val="21"/>
          <w:u w:val="double"/>
        </w:rPr>
        <w:t>3.1.4  标线施工污染路面应及时清理。</w:t>
      </w:r>
    </w:p>
    <w:p w14:paraId="1EAAF70E">
      <w:pPr>
        <w:spacing w:line="440" w:lineRule="exact"/>
        <w:rPr>
          <w:rFonts w:ascii="宋体" w:hAnsi="宋体" w:cs="宋体"/>
          <w:color w:val="auto"/>
          <w:szCs w:val="21"/>
        </w:rPr>
      </w:pPr>
      <w:r>
        <w:rPr>
          <w:rFonts w:hint="eastAsia" w:ascii="宋体" w:hAnsi="宋体" w:cs="宋体"/>
          <w:color w:val="auto"/>
          <w:szCs w:val="21"/>
        </w:rPr>
        <w:t>3.2  实测项目</w:t>
      </w:r>
    </w:p>
    <w:p w14:paraId="40D5B31F">
      <w:pPr>
        <w:spacing w:line="440" w:lineRule="exact"/>
        <w:rPr>
          <w:rFonts w:ascii="宋体" w:hAnsi="宋体" w:cs="宋体"/>
          <w:color w:val="auto"/>
          <w:szCs w:val="21"/>
        </w:rPr>
      </w:pPr>
      <w:r>
        <w:rPr>
          <w:rFonts w:hint="eastAsia" w:ascii="宋体" w:hAnsi="宋体" w:cs="宋体"/>
          <w:color w:val="auto"/>
          <w:szCs w:val="21"/>
        </w:rPr>
        <w:t>热熔标线实测项目见表3和表4。</w:t>
      </w:r>
    </w:p>
    <w:p w14:paraId="1DCA7353">
      <w:pPr>
        <w:spacing w:line="440" w:lineRule="exact"/>
        <w:rPr>
          <w:rFonts w:ascii="宋体" w:hAnsi="宋体" w:cs="宋体"/>
          <w:color w:val="auto"/>
          <w:szCs w:val="21"/>
        </w:rPr>
      </w:pPr>
      <w:r>
        <w:rPr>
          <w:rFonts w:hint="eastAsia" w:ascii="宋体" w:hAnsi="宋体" w:cs="宋体"/>
          <w:color w:val="auto"/>
          <w:szCs w:val="21"/>
        </w:rPr>
        <w:t>表3 热熔标线实测项目</w:t>
      </w:r>
    </w:p>
    <w:tbl>
      <w:tblPr>
        <w:tblStyle w:val="47"/>
        <w:tblW w:w="918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29"/>
        <w:gridCol w:w="1580"/>
        <w:gridCol w:w="817"/>
        <w:gridCol w:w="1196"/>
        <w:gridCol w:w="2011"/>
        <w:gridCol w:w="2754"/>
      </w:tblGrid>
      <w:tr w14:paraId="1036E3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44" w:hRule="exact"/>
          <w:jc w:val="center"/>
        </w:trPr>
        <w:tc>
          <w:tcPr>
            <w:tcW w:w="829" w:type="dxa"/>
            <w:noWrap/>
            <w:vAlign w:val="center"/>
          </w:tcPr>
          <w:p w14:paraId="0AB931EC">
            <w:pPr>
              <w:spacing w:line="440" w:lineRule="exact"/>
              <w:rPr>
                <w:rFonts w:ascii="宋体" w:hAnsi="宋体" w:cs="宋体"/>
                <w:color w:val="auto"/>
                <w:szCs w:val="21"/>
              </w:rPr>
            </w:pPr>
            <w:r>
              <w:rPr>
                <w:rFonts w:hint="eastAsia" w:ascii="宋体" w:hAnsi="宋体" w:cs="宋体"/>
                <w:color w:val="auto"/>
                <w:szCs w:val="21"/>
              </w:rPr>
              <w:t>项次</w:t>
            </w:r>
          </w:p>
        </w:tc>
        <w:tc>
          <w:tcPr>
            <w:tcW w:w="3593" w:type="dxa"/>
            <w:gridSpan w:val="3"/>
            <w:noWrap/>
            <w:vAlign w:val="center"/>
          </w:tcPr>
          <w:p w14:paraId="2C81B88C">
            <w:pPr>
              <w:spacing w:line="440" w:lineRule="exact"/>
              <w:rPr>
                <w:rFonts w:ascii="宋体" w:hAnsi="宋体" w:cs="宋体"/>
                <w:color w:val="auto"/>
                <w:szCs w:val="21"/>
              </w:rPr>
            </w:pPr>
            <w:r>
              <w:rPr>
                <w:rFonts w:hint="eastAsia" w:ascii="宋体" w:hAnsi="宋体" w:cs="宋体"/>
                <w:color w:val="auto"/>
                <w:szCs w:val="21"/>
              </w:rPr>
              <w:t>检查项目</w:t>
            </w:r>
          </w:p>
        </w:tc>
        <w:tc>
          <w:tcPr>
            <w:tcW w:w="2011" w:type="dxa"/>
            <w:noWrap/>
            <w:vAlign w:val="center"/>
          </w:tcPr>
          <w:p w14:paraId="79230CDA">
            <w:pPr>
              <w:spacing w:line="440" w:lineRule="exact"/>
              <w:rPr>
                <w:rFonts w:ascii="宋体" w:hAnsi="宋体" w:cs="宋体"/>
                <w:color w:val="auto"/>
                <w:szCs w:val="21"/>
              </w:rPr>
            </w:pPr>
            <w:r>
              <w:rPr>
                <w:rFonts w:hint="eastAsia" w:ascii="宋体" w:hAnsi="宋体" w:cs="宋体"/>
                <w:color w:val="auto"/>
                <w:szCs w:val="21"/>
              </w:rPr>
              <w:t>规定值或允许偏差</w:t>
            </w:r>
          </w:p>
        </w:tc>
        <w:tc>
          <w:tcPr>
            <w:tcW w:w="2754" w:type="dxa"/>
            <w:noWrap/>
            <w:vAlign w:val="center"/>
          </w:tcPr>
          <w:p w14:paraId="72C29F68">
            <w:pPr>
              <w:spacing w:line="440" w:lineRule="exact"/>
              <w:rPr>
                <w:rFonts w:ascii="宋体" w:hAnsi="宋体" w:cs="宋体"/>
                <w:color w:val="auto"/>
                <w:szCs w:val="21"/>
              </w:rPr>
            </w:pPr>
            <w:r>
              <w:rPr>
                <w:rFonts w:hint="eastAsia" w:ascii="宋体" w:hAnsi="宋体" w:cs="宋体"/>
                <w:color w:val="auto"/>
                <w:szCs w:val="21"/>
              </w:rPr>
              <w:t>检查方法和频率</w:t>
            </w:r>
          </w:p>
        </w:tc>
      </w:tr>
      <w:tr w14:paraId="38BC85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6" w:hRule="exact"/>
          <w:jc w:val="center"/>
        </w:trPr>
        <w:tc>
          <w:tcPr>
            <w:tcW w:w="829" w:type="dxa"/>
            <w:vMerge w:val="restart"/>
            <w:noWrap/>
            <w:vAlign w:val="center"/>
          </w:tcPr>
          <w:p w14:paraId="4EEC1D15">
            <w:pPr>
              <w:spacing w:line="440" w:lineRule="exact"/>
              <w:rPr>
                <w:rFonts w:ascii="宋体" w:hAnsi="宋体" w:cs="宋体"/>
                <w:color w:val="auto"/>
                <w:szCs w:val="21"/>
              </w:rPr>
            </w:pPr>
            <w:r>
              <w:rPr>
                <w:rFonts w:hint="eastAsia" w:ascii="宋体" w:hAnsi="宋体" w:cs="宋体"/>
                <w:color w:val="auto"/>
                <w:szCs w:val="21"/>
              </w:rPr>
              <w:t>1</w:t>
            </w:r>
          </w:p>
        </w:tc>
        <w:tc>
          <w:tcPr>
            <w:tcW w:w="1580" w:type="dxa"/>
            <w:vMerge w:val="restart"/>
            <w:noWrap/>
            <w:vAlign w:val="center"/>
          </w:tcPr>
          <w:p w14:paraId="2A25787C">
            <w:pPr>
              <w:spacing w:line="440" w:lineRule="exact"/>
              <w:rPr>
                <w:rFonts w:ascii="宋体" w:hAnsi="宋体" w:cs="宋体"/>
                <w:color w:val="auto"/>
                <w:szCs w:val="21"/>
              </w:rPr>
            </w:pPr>
            <w:r>
              <w:rPr>
                <w:rFonts w:hint="eastAsia" w:ascii="宋体" w:hAnsi="宋体" w:cs="宋体"/>
                <w:color w:val="auto"/>
                <w:szCs w:val="21"/>
              </w:rPr>
              <w:t>标线线段长度</w:t>
            </w:r>
          </w:p>
          <w:p w14:paraId="55579BEC">
            <w:pPr>
              <w:spacing w:line="440" w:lineRule="exact"/>
              <w:rPr>
                <w:rFonts w:ascii="宋体" w:hAnsi="宋体" w:cs="宋体"/>
                <w:color w:val="auto"/>
                <w:szCs w:val="21"/>
              </w:rPr>
            </w:pPr>
            <w:r>
              <w:rPr>
                <w:rFonts w:hint="eastAsia" w:ascii="宋体" w:hAnsi="宋体" w:cs="宋体"/>
                <w:color w:val="auto"/>
                <w:szCs w:val="21"/>
              </w:rPr>
              <w:t>（mm）</w:t>
            </w:r>
          </w:p>
        </w:tc>
        <w:tc>
          <w:tcPr>
            <w:tcW w:w="2013" w:type="dxa"/>
            <w:gridSpan w:val="2"/>
            <w:noWrap/>
            <w:vAlign w:val="center"/>
          </w:tcPr>
          <w:p w14:paraId="3FA6C68A">
            <w:pPr>
              <w:spacing w:line="440" w:lineRule="exact"/>
              <w:rPr>
                <w:rFonts w:ascii="宋体" w:hAnsi="宋体" w:cs="宋体"/>
                <w:color w:val="auto"/>
                <w:szCs w:val="21"/>
              </w:rPr>
            </w:pPr>
            <w:r>
              <w:rPr>
                <w:rFonts w:hint="eastAsia" w:ascii="宋体" w:hAnsi="宋体" w:cs="宋体"/>
                <w:color w:val="auto"/>
                <w:szCs w:val="21"/>
              </w:rPr>
              <w:t>6000</w:t>
            </w:r>
          </w:p>
        </w:tc>
        <w:tc>
          <w:tcPr>
            <w:tcW w:w="2011" w:type="dxa"/>
            <w:noWrap/>
            <w:vAlign w:val="center"/>
          </w:tcPr>
          <w:p w14:paraId="382E4A56">
            <w:pPr>
              <w:spacing w:line="440" w:lineRule="exact"/>
              <w:rPr>
                <w:rFonts w:ascii="宋体" w:hAnsi="宋体" w:cs="宋体"/>
                <w:color w:val="auto"/>
                <w:szCs w:val="21"/>
              </w:rPr>
            </w:pPr>
            <w:r>
              <w:rPr>
                <w:rFonts w:hint="eastAsia" w:ascii="宋体" w:hAnsi="宋体" w:cs="宋体"/>
                <w:color w:val="auto"/>
                <w:szCs w:val="21"/>
              </w:rPr>
              <w:t>±30</w:t>
            </w:r>
          </w:p>
        </w:tc>
        <w:tc>
          <w:tcPr>
            <w:tcW w:w="2754" w:type="dxa"/>
            <w:vMerge w:val="restart"/>
            <w:noWrap/>
            <w:vAlign w:val="center"/>
          </w:tcPr>
          <w:p w14:paraId="11D0735B">
            <w:pPr>
              <w:spacing w:line="440" w:lineRule="exact"/>
              <w:rPr>
                <w:rFonts w:ascii="宋体" w:hAnsi="宋体" w:cs="宋体"/>
                <w:color w:val="auto"/>
                <w:szCs w:val="21"/>
              </w:rPr>
            </w:pPr>
            <w:r>
              <w:rPr>
                <w:rFonts w:hint="eastAsia" w:ascii="宋体" w:hAnsi="宋体" w:cs="宋体"/>
                <w:color w:val="auto"/>
                <w:szCs w:val="21"/>
              </w:rPr>
              <w:t>尺量：每1km测3处，每处测</w:t>
            </w:r>
          </w:p>
          <w:p w14:paraId="60157294">
            <w:pPr>
              <w:spacing w:line="440" w:lineRule="exact"/>
              <w:rPr>
                <w:rFonts w:ascii="宋体" w:hAnsi="宋体" w:cs="宋体"/>
                <w:color w:val="auto"/>
                <w:szCs w:val="21"/>
              </w:rPr>
            </w:pPr>
            <w:r>
              <w:rPr>
                <w:rFonts w:hint="eastAsia" w:ascii="宋体" w:hAnsi="宋体" w:cs="宋体"/>
                <w:color w:val="auto"/>
                <w:szCs w:val="21"/>
              </w:rPr>
              <w:t>3个线段</w:t>
            </w:r>
          </w:p>
        </w:tc>
      </w:tr>
      <w:tr w14:paraId="078055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76" w:hRule="exact"/>
          <w:jc w:val="center"/>
        </w:trPr>
        <w:tc>
          <w:tcPr>
            <w:tcW w:w="829" w:type="dxa"/>
            <w:vMerge w:val="continue"/>
            <w:noWrap/>
            <w:vAlign w:val="center"/>
          </w:tcPr>
          <w:p w14:paraId="713D2523">
            <w:pPr>
              <w:spacing w:line="440" w:lineRule="exact"/>
              <w:rPr>
                <w:rFonts w:ascii="宋体" w:hAnsi="宋体" w:cs="宋体"/>
                <w:color w:val="auto"/>
                <w:szCs w:val="21"/>
              </w:rPr>
            </w:pPr>
          </w:p>
        </w:tc>
        <w:tc>
          <w:tcPr>
            <w:tcW w:w="1580" w:type="dxa"/>
            <w:vMerge w:val="continue"/>
            <w:noWrap/>
            <w:vAlign w:val="center"/>
          </w:tcPr>
          <w:p w14:paraId="7E0794F0">
            <w:pPr>
              <w:spacing w:line="440" w:lineRule="exact"/>
              <w:rPr>
                <w:rFonts w:ascii="宋体" w:hAnsi="宋体" w:cs="宋体"/>
                <w:color w:val="auto"/>
                <w:szCs w:val="21"/>
              </w:rPr>
            </w:pPr>
          </w:p>
        </w:tc>
        <w:tc>
          <w:tcPr>
            <w:tcW w:w="2013" w:type="dxa"/>
            <w:gridSpan w:val="2"/>
            <w:noWrap/>
            <w:vAlign w:val="center"/>
          </w:tcPr>
          <w:p w14:paraId="14035F67">
            <w:pPr>
              <w:spacing w:line="440" w:lineRule="exact"/>
              <w:rPr>
                <w:rFonts w:ascii="宋体" w:hAnsi="宋体" w:cs="宋体"/>
                <w:color w:val="auto"/>
                <w:szCs w:val="21"/>
              </w:rPr>
            </w:pPr>
            <w:r>
              <w:rPr>
                <w:rFonts w:hint="eastAsia" w:ascii="宋体" w:hAnsi="宋体" w:cs="宋体"/>
                <w:color w:val="auto"/>
                <w:szCs w:val="21"/>
              </w:rPr>
              <w:t>4000</w:t>
            </w:r>
          </w:p>
        </w:tc>
        <w:tc>
          <w:tcPr>
            <w:tcW w:w="2011" w:type="dxa"/>
            <w:noWrap/>
            <w:vAlign w:val="center"/>
          </w:tcPr>
          <w:p w14:paraId="431ACA9A">
            <w:pPr>
              <w:spacing w:line="440" w:lineRule="exact"/>
              <w:rPr>
                <w:rFonts w:ascii="宋体" w:hAnsi="宋体" w:cs="宋体"/>
                <w:color w:val="auto"/>
                <w:szCs w:val="21"/>
              </w:rPr>
            </w:pPr>
            <w:r>
              <w:rPr>
                <w:rFonts w:hint="eastAsia" w:ascii="宋体" w:hAnsi="宋体" w:cs="宋体"/>
                <w:color w:val="auto"/>
                <w:szCs w:val="21"/>
              </w:rPr>
              <w:t>±20</w:t>
            </w:r>
          </w:p>
        </w:tc>
        <w:tc>
          <w:tcPr>
            <w:tcW w:w="2754" w:type="dxa"/>
            <w:vMerge w:val="continue"/>
            <w:noWrap/>
            <w:vAlign w:val="center"/>
          </w:tcPr>
          <w:p w14:paraId="686CCF74">
            <w:pPr>
              <w:spacing w:line="440" w:lineRule="exact"/>
              <w:rPr>
                <w:rFonts w:ascii="宋体" w:hAnsi="宋体" w:cs="宋体"/>
                <w:color w:val="auto"/>
                <w:szCs w:val="21"/>
              </w:rPr>
            </w:pPr>
          </w:p>
        </w:tc>
      </w:tr>
      <w:tr w14:paraId="4AADB4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46" w:hRule="exact"/>
          <w:jc w:val="center"/>
        </w:trPr>
        <w:tc>
          <w:tcPr>
            <w:tcW w:w="829" w:type="dxa"/>
            <w:vMerge w:val="continue"/>
            <w:noWrap/>
            <w:vAlign w:val="center"/>
          </w:tcPr>
          <w:p w14:paraId="05EE44A4">
            <w:pPr>
              <w:spacing w:line="440" w:lineRule="exact"/>
              <w:rPr>
                <w:rFonts w:ascii="宋体" w:hAnsi="宋体" w:cs="宋体"/>
                <w:color w:val="auto"/>
                <w:szCs w:val="21"/>
              </w:rPr>
            </w:pPr>
          </w:p>
        </w:tc>
        <w:tc>
          <w:tcPr>
            <w:tcW w:w="1580" w:type="dxa"/>
            <w:vMerge w:val="continue"/>
            <w:noWrap/>
            <w:vAlign w:val="center"/>
          </w:tcPr>
          <w:p w14:paraId="214E04A6">
            <w:pPr>
              <w:spacing w:line="440" w:lineRule="exact"/>
              <w:rPr>
                <w:rFonts w:ascii="宋体" w:hAnsi="宋体" w:cs="宋体"/>
                <w:color w:val="auto"/>
                <w:szCs w:val="21"/>
              </w:rPr>
            </w:pPr>
          </w:p>
        </w:tc>
        <w:tc>
          <w:tcPr>
            <w:tcW w:w="2013" w:type="dxa"/>
            <w:gridSpan w:val="2"/>
            <w:noWrap/>
            <w:vAlign w:val="center"/>
          </w:tcPr>
          <w:p w14:paraId="275AE2BE">
            <w:pPr>
              <w:spacing w:line="440" w:lineRule="exact"/>
              <w:rPr>
                <w:rFonts w:ascii="宋体" w:hAnsi="宋体" w:cs="宋体"/>
                <w:color w:val="auto"/>
                <w:szCs w:val="21"/>
              </w:rPr>
            </w:pPr>
            <w:r>
              <w:rPr>
                <w:rFonts w:hint="eastAsia" w:ascii="宋体" w:hAnsi="宋体" w:cs="宋体"/>
                <w:color w:val="auto"/>
                <w:szCs w:val="21"/>
              </w:rPr>
              <w:t>3000</w:t>
            </w:r>
          </w:p>
        </w:tc>
        <w:tc>
          <w:tcPr>
            <w:tcW w:w="2011" w:type="dxa"/>
            <w:noWrap/>
            <w:vAlign w:val="center"/>
          </w:tcPr>
          <w:p w14:paraId="60875849">
            <w:pPr>
              <w:spacing w:line="440" w:lineRule="exact"/>
              <w:rPr>
                <w:rFonts w:ascii="宋体" w:hAnsi="宋体" w:cs="宋体"/>
                <w:color w:val="auto"/>
                <w:szCs w:val="21"/>
              </w:rPr>
            </w:pPr>
            <w:r>
              <w:rPr>
                <w:rFonts w:hint="eastAsia" w:ascii="宋体" w:hAnsi="宋体" w:cs="宋体"/>
                <w:color w:val="auto"/>
                <w:szCs w:val="21"/>
              </w:rPr>
              <w:t>±15</w:t>
            </w:r>
          </w:p>
        </w:tc>
        <w:tc>
          <w:tcPr>
            <w:tcW w:w="2754" w:type="dxa"/>
            <w:vMerge w:val="continue"/>
            <w:noWrap/>
            <w:vAlign w:val="center"/>
          </w:tcPr>
          <w:p w14:paraId="5FFDB70B">
            <w:pPr>
              <w:spacing w:line="440" w:lineRule="exact"/>
              <w:rPr>
                <w:rFonts w:ascii="宋体" w:hAnsi="宋体" w:cs="宋体"/>
                <w:color w:val="auto"/>
                <w:szCs w:val="21"/>
              </w:rPr>
            </w:pPr>
          </w:p>
        </w:tc>
      </w:tr>
      <w:tr w14:paraId="4986624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76" w:hRule="exact"/>
          <w:jc w:val="center"/>
        </w:trPr>
        <w:tc>
          <w:tcPr>
            <w:tcW w:w="829" w:type="dxa"/>
            <w:vMerge w:val="continue"/>
            <w:noWrap/>
            <w:vAlign w:val="center"/>
          </w:tcPr>
          <w:p w14:paraId="35A0A082">
            <w:pPr>
              <w:spacing w:line="440" w:lineRule="exact"/>
              <w:rPr>
                <w:rFonts w:ascii="宋体" w:hAnsi="宋体" w:cs="宋体"/>
                <w:color w:val="auto"/>
                <w:szCs w:val="21"/>
              </w:rPr>
            </w:pPr>
          </w:p>
        </w:tc>
        <w:tc>
          <w:tcPr>
            <w:tcW w:w="1580" w:type="dxa"/>
            <w:vMerge w:val="continue"/>
            <w:noWrap/>
            <w:vAlign w:val="center"/>
          </w:tcPr>
          <w:p w14:paraId="40E32659">
            <w:pPr>
              <w:spacing w:line="440" w:lineRule="exact"/>
              <w:rPr>
                <w:rFonts w:ascii="宋体" w:hAnsi="宋体" w:cs="宋体"/>
                <w:color w:val="auto"/>
                <w:szCs w:val="21"/>
              </w:rPr>
            </w:pPr>
          </w:p>
        </w:tc>
        <w:tc>
          <w:tcPr>
            <w:tcW w:w="2013" w:type="dxa"/>
            <w:gridSpan w:val="2"/>
            <w:noWrap/>
            <w:vAlign w:val="center"/>
          </w:tcPr>
          <w:p w14:paraId="7F521309">
            <w:pPr>
              <w:spacing w:line="440" w:lineRule="exact"/>
              <w:rPr>
                <w:rFonts w:ascii="宋体" w:hAnsi="宋体" w:cs="宋体"/>
                <w:color w:val="auto"/>
                <w:szCs w:val="21"/>
              </w:rPr>
            </w:pPr>
            <w:r>
              <w:rPr>
                <w:rFonts w:hint="eastAsia" w:ascii="宋体" w:hAnsi="宋体" w:cs="宋体"/>
                <w:color w:val="auto"/>
                <w:szCs w:val="21"/>
              </w:rPr>
              <w:t>2000</w:t>
            </w:r>
          </w:p>
        </w:tc>
        <w:tc>
          <w:tcPr>
            <w:tcW w:w="2011" w:type="dxa"/>
            <w:noWrap/>
            <w:vAlign w:val="center"/>
          </w:tcPr>
          <w:p w14:paraId="741445DF">
            <w:pPr>
              <w:spacing w:line="440" w:lineRule="exact"/>
              <w:rPr>
                <w:rFonts w:ascii="宋体" w:hAnsi="宋体" w:cs="宋体"/>
                <w:color w:val="auto"/>
                <w:szCs w:val="21"/>
              </w:rPr>
            </w:pPr>
            <w:r>
              <w:rPr>
                <w:rFonts w:hint="eastAsia" w:ascii="宋体" w:hAnsi="宋体" w:cs="宋体"/>
                <w:color w:val="auto"/>
                <w:szCs w:val="21"/>
              </w:rPr>
              <w:t>±10</w:t>
            </w:r>
          </w:p>
        </w:tc>
        <w:tc>
          <w:tcPr>
            <w:tcW w:w="2754" w:type="dxa"/>
            <w:vMerge w:val="continue"/>
            <w:noWrap/>
            <w:vAlign w:val="center"/>
          </w:tcPr>
          <w:p w14:paraId="06C3E2B0">
            <w:pPr>
              <w:spacing w:line="440" w:lineRule="exact"/>
              <w:rPr>
                <w:rFonts w:ascii="宋体" w:hAnsi="宋体" w:cs="宋体"/>
                <w:color w:val="auto"/>
                <w:szCs w:val="21"/>
              </w:rPr>
            </w:pPr>
          </w:p>
        </w:tc>
      </w:tr>
      <w:tr w14:paraId="087704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76" w:hRule="exact"/>
          <w:jc w:val="center"/>
        </w:trPr>
        <w:tc>
          <w:tcPr>
            <w:tcW w:w="829" w:type="dxa"/>
            <w:vMerge w:val="continue"/>
            <w:noWrap/>
            <w:vAlign w:val="center"/>
          </w:tcPr>
          <w:p w14:paraId="025D45BD">
            <w:pPr>
              <w:spacing w:line="440" w:lineRule="exact"/>
              <w:rPr>
                <w:rFonts w:ascii="宋体" w:hAnsi="宋体" w:cs="宋体"/>
                <w:color w:val="auto"/>
                <w:szCs w:val="21"/>
              </w:rPr>
            </w:pPr>
          </w:p>
        </w:tc>
        <w:tc>
          <w:tcPr>
            <w:tcW w:w="1580" w:type="dxa"/>
            <w:vMerge w:val="continue"/>
            <w:noWrap/>
            <w:vAlign w:val="center"/>
          </w:tcPr>
          <w:p w14:paraId="5BEA1515">
            <w:pPr>
              <w:spacing w:line="440" w:lineRule="exact"/>
              <w:rPr>
                <w:rFonts w:ascii="宋体" w:hAnsi="宋体" w:cs="宋体"/>
                <w:color w:val="auto"/>
                <w:szCs w:val="21"/>
              </w:rPr>
            </w:pPr>
          </w:p>
        </w:tc>
        <w:tc>
          <w:tcPr>
            <w:tcW w:w="2013" w:type="dxa"/>
            <w:gridSpan w:val="2"/>
            <w:noWrap/>
            <w:vAlign w:val="center"/>
          </w:tcPr>
          <w:p w14:paraId="10F3FCEA">
            <w:pPr>
              <w:spacing w:line="440" w:lineRule="exact"/>
              <w:rPr>
                <w:rFonts w:ascii="宋体" w:hAnsi="宋体" w:cs="宋体"/>
                <w:color w:val="auto"/>
                <w:szCs w:val="21"/>
              </w:rPr>
            </w:pPr>
            <w:r>
              <w:rPr>
                <w:rFonts w:hint="eastAsia" w:ascii="宋体" w:hAnsi="宋体" w:cs="宋体"/>
                <w:color w:val="auto"/>
                <w:szCs w:val="21"/>
              </w:rPr>
              <w:t>1000</w:t>
            </w:r>
          </w:p>
        </w:tc>
        <w:tc>
          <w:tcPr>
            <w:tcW w:w="2011" w:type="dxa"/>
            <w:noWrap/>
            <w:vAlign w:val="center"/>
          </w:tcPr>
          <w:p w14:paraId="753EB8B2">
            <w:pPr>
              <w:spacing w:line="440" w:lineRule="exact"/>
              <w:rPr>
                <w:rFonts w:ascii="宋体" w:hAnsi="宋体" w:cs="宋体"/>
                <w:color w:val="auto"/>
                <w:szCs w:val="21"/>
              </w:rPr>
            </w:pPr>
            <w:r>
              <w:rPr>
                <w:rFonts w:hint="eastAsia" w:ascii="宋体" w:hAnsi="宋体" w:cs="宋体"/>
                <w:color w:val="auto"/>
                <w:szCs w:val="21"/>
              </w:rPr>
              <w:t>±10</w:t>
            </w:r>
          </w:p>
        </w:tc>
        <w:tc>
          <w:tcPr>
            <w:tcW w:w="2754" w:type="dxa"/>
            <w:vMerge w:val="continue"/>
            <w:noWrap/>
            <w:vAlign w:val="center"/>
          </w:tcPr>
          <w:p w14:paraId="6993995E">
            <w:pPr>
              <w:spacing w:line="440" w:lineRule="exact"/>
              <w:rPr>
                <w:rFonts w:ascii="宋体" w:hAnsi="宋体" w:cs="宋体"/>
                <w:color w:val="auto"/>
                <w:szCs w:val="21"/>
              </w:rPr>
            </w:pPr>
          </w:p>
        </w:tc>
      </w:tr>
      <w:tr w14:paraId="25C91F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7" w:hRule="exact"/>
          <w:jc w:val="center"/>
        </w:trPr>
        <w:tc>
          <w:tcPr>
            <w:tcW w:w="829" w:type="dxa"/>
            <w:noWrap/>
            <w:vAlign w:val="center"/>
          </w:tcPr>
          <w:p w14:paraId="1DAF76C5">
            <w:pPr>
              <w:spacing w:line="440" w:lineRule="exact"/>
              <w:rPr>
                <w:rFonts w:ascii="宋体" w:hAnsi="宋体" w:cs="宋体"/>
                <w:color w:val="auto"/>
                <w:szCs w:val="21"/>
              </w:rPr>
            </w:pPr>
            <w:r>
              <w:rPr>
                <w:rFonts w:hint="eastAsia" w:ascii="宋体" w:hAnsi="宋体" w:cs="宋体"/>
                <w:color w:val="auto"/>
                <w:szCs w:val="21"/>
              </w:rPr>
              <w:t>2</w:t>
            </w:r>
          </w:p>
        </w:tc>
        <w:tc>
          <w:tcPr>
            <w:tcW w:w="3593" w:type="dxa"/>
            <w:gridSpan w:val="3"/>
            <w:noWrap/>
            <w:vAlign w:val="center"/>
          </w:tcPr>
          <w:p w14:paraId="26375F07">
            <w:pPr>
              <w:spacing w:line="440" w:lineRule="exact"/>
              <w:rPr>
                <w:rFonts w:ascii="宋体" w:hAnsi="宋体" w:cs="宋体"/>
                <w:color w:val="auto"/>
                <w:szCs w:val="21"/>
              </w:rPr>
            </w:pPr>
            <w:r>
              <w:rPr>
                <w:rFonts w:hint="eastAsia" w:ascii="宋体" w:hAnsi="宋体" w:cs="宋体"/>
                <w:color w:val="auto"/>
                <w:szCs w:val="21"/>
              </w:rPr>
              <w:t>标线宽度（mm）</w:t>
            </w:r>
          </w:p>
        </w:tc>
        <w:tc>
          <w:tcPr>
            <w:tcW w:w="2011" w:type="dxa"/>
            <w:noWrap/>
            <w:vAlign w:val="center"/>
          </w:tcPr>
          <w:p w14:paraId="383AED5F">
            <w:pPr>
              <w:spacing w:line="440" w:lineRule="exact"/>
              <w:rPr>
                <w:rFonts w:ascii="宋体" w:hAnsi="宋体" w:cs="宋体"/>
                <w:color w:val="auto"/>
                <w:szCs w:val="21"/>
              </w:rPr>
            </w:pPr>
            <w:r>
              <w:rPr>
                <w:rFonts w:hint="eastAsia" w:ascii="宋体" w:hAnsi="宋体" w:cs="宋体"/>
                <w:color w:val="auto"/>
                <w:szCs w:val="21"/>
              </w:rPr>
              <w:t>+5，0</w:t>
            </w:r>
          </w:p>
        </w:tc>
        <w:tc>
          <w:tcPr>
            <w:tcW w:w="2754" w:type="dxa"/>
            <w:noWrap/>
            <w:vAlign w:val="center"/>
          </w:tcPr>
          <w:p w14:paraId="1548E6E2">
            <w:pPr>
              <w:spacing w:line="440" w:lineRule="exact"/>
              <w:rPr>
                <w:rFonts w:ascii="宋体" w:hAnsi="宋体" w:cs="宋体"/>
                <w:color w:val="auto"/>
                <w:szCs w:val="21"/>
              </w:rPr>
            </w:pPr>
            <w:r>
              <w:rPr>
                <w:rFonts w:hint="eastAsia" w:ascii="宋体" w:hAnsi="宋体" w:cs="宋体"/>
                <w:color w:val="auto"/>
                <w:szCs w:val="21"/>
              </w:rPr>
              <w:t>尺量：每1km测3处，每处测</w:t>
            </w:r>
          </w:p>
          <w:p w14:paraId="6B5B4F02">
            <w:pPr>
              <w:spacing w:line="440" w:lineRule="exact"/>
              <w:rPr>
                <w:rFonts w:ascii="宋体" w:hAnsi="宋体" w:cs="宋体"/>
                <w:color w:val="auto"/>
                <w:szCs w:val="21"/>
              </w:rPr>
            </w:pPr>
            <w:r>
              <w:rPr>
                <w:rFonts w:hint="eastAsia" w:ascii="宋体" w:hAnsi="宋体" w:cs="宋体"/>
                <w:color w:val="auto"/>
                <w:szCs w:val="21"/>
              </w:rPr>
              <w:t>3点</w:t>
            </w:r>
          </w:p>
        </w:tc>
      </w:tr>
      <w:tr w14:paraId="32EBF9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1" w:hRule="exact"/>
          <w:jc w:val="center"/>
        </w:trPr>
        <w:tc>
          <w:tcPr>
            <w:tcW w:w="829" w:type="dxa"/>
            <w:vMerge w:val="restart"/>
            <w:noWrap/>
            <w:vAlign w:val="center"/>
          </w:tcPr>
          <w:p w14:paraId="072A0A86">
            <w:pPr>
              <w:spacing w:line="440" w:lineRule="exact"/>
              <w:rPr>
                <w:rFonts w:ascii="宋体" w:hAnsi="宋体" w:cs="宋体"/>
                <w:color w:val="auto"/>
                <w:szCs w:val="21"/>
              </w:rPr>
            </w:pPr>
            <w:r>
              <w:rPr>
                <w:rFonts w:hint="eastAsia" w:ascii="宋体" w:hAnsi="宋体" w:cs="宋体"/>
                <w:color w:val="auto"/>
                <w:szCs w:val="21"/>
              </w:rPr>
              <w:t>3</w:t>
            </w:r>
          </w:p>
        </w:tc>
        <w:tc>
          <w:tcPr>
            <w:tcW w:w="1580" w:type="dxa"/>
            <w:vMerge w:val="restart"/>
            <w:noWrap/>
            <w:vAlign w:val="center"/>
          </w:tcPr>
          <w:p w14:paraId="07AEB992">
            <w:pPr>
              <w:spacing w:line="440" w:lineRule="exact"/>
              <w:rPr>
                <w:rFonts w:ascii="宋体" w:hAnsi="宋体" w:cs="宋体"/>
                <w:color w:val="auto"/>
                <w:szCs w:val="21"/>
              </w:rPr>
            </w:pPr>
            <w:r>
              <w:rPr>
                <w:rFonts w:hint="eastAsia" w:ascii="宋体" w:hAnsi="宋体" w:cs="宋体"/>
                <w:color w:val="auto"/>
                <w:szCs w:val="21"/>
              </w:rPr>
              <w:t>标线厚度</w:t>
            </w:r>
          </w:p>
          <w:p w14:paraId="6C4BD64E">
            <w:pPr>
              <w:spacing w:line="440" w:lineRule="exact"/>
              <w:rPr>
                <w:rFonts w:ascii="宋体" w:hAnsi="宋体" w:cs="宋体"/>
                <w:color w:val="auto"/>
                <w:szCs w:val="21"/>
              </w:rPr>
            </w:pPr>
            <w:r>
              <w:rPr>
                <w:rFonts w:hint="eastAsia" w:ascii="宋体" w:hAnsi="宋体" w:cs="宋体"/>
                <w:color w:val="auto"/>
                <w:szCs w:val="21"/>
              </w:rPr>
              <w:t>（干膜，mm）</w:t>
            </w:r>
          </w:p>
        </w:tc>
        <w:tc>
          <w:tcPr>
            <w:tcW w:w="2013" w:type="dxa"/>
            <w:gridSpan w:val="2"/>
            <w:noWrap/>
            <w:vAlign w:val="center"/>
          </w:tcPr>
          <w:p w14:paraId="23E47E4F">
            <w:pPr>
              <w:spacing w:line="440" w:lineRule="exact"/>
              <w:rPr>
                <w:rFonts w:ascii="宋体" w:hAnsi="宋体" w:cs="宋体"/>
                <w:color w:val="auto"/>
                <w:szCs w:val="21"/>
              </w:rPr>
            </w:pPr>
            <w:r>
              <w:rPr>
                <w:rFonts w:hint="eastAsia" w:ascii="宋体" w:hAnsi="宋体" w:cs="宋体"/>
                <w:color w:val="auto"/>
                <w:szCs w:val="21"/>
              </w:rPr>
              <w:t>热熔型</w:t>
            </w:r>
          </w:p>
        </w:tc>
        <w:tc>
          <w:tcPr>
            <w:tcW w:w="2011" w:type="dxa"/>
            <w:noWrap/>
            <w:vAlign w:val="center"/>
          </w:tcPr>
          <w:p w14:paraId="32D87CC8">
            <w:pPr>
              <w:spacing w:line="440" w:lineRule="exact"/>
              <w:rPr>
                <w:rFonts w:ascii="宋体" w:hAnsi="宋体" w:cs="宋体"/>
                <w:color w:val="auto"/>
                <w:szCs w:val="21"/>
              </w:rPr>
            </w:pPr>
            <w:r>
              <w:rPr>
                <w:rFonts w:hint="eastAsia" w:ascii="宋体" w:hAnsi="宋体" w:cs="宋体"/>
                <w:color w:val="auto"/>
                <w:szCs w:val="21"/>
              </w:rPr>
              <w:t>2.0mm(0,+0.5)</w:t>
            </w:r>
          </w:p>
        </w:tc>
        <w:tc>
          <w:tcPr>
            <w:tcW w:w="2754" w:type="dxa"/>
            <w:vMerge w:val="restart"/>
            <w:noWrap/>
            <w:vAlign w:val="center"/>
          </w:tcPr>
          <w:p w14:paraId="103D3E1B">
            <w:pPr>
              <w:spacing w:line="440" w:lineRule="exact"/>
              <w:rPr>
                <w:rFonts w:ascii="宋体" w:hAnsi="宋体" w:cs="宋体"/>
                <w:color w:val="auto"/>
                <w:szCs w:val="21"/>
              </w:rPr>
            </w:pPr>
            <w:r>
              <w:rPr>
                <w:rFonts w:hint="eastAsia" w:ascii="宋体" w:hAnsi="宋体" w:cs="宋体"/>
                <w:color w:val="auto"/>
                <w:szCs w:val="21"/>
              </w:rPr>
              <w:t>标线厚度测量仪或卡尺：每</w:t>
            </w:r>
          </w:p>
          <w:p w14:paraId="34B0A63F">
            <w:pPr>
              <w:spacing w:line="440" w:lineRule="exact"/>
              <w:rPr>
                <w:rFonts w:ascii="宋体" w:hAnsi="宋体" w:cs="宋体"/>
                <w:color w:val="auto"/>
                <w:szCs w:val="21"/>
              </w:rPr>
            </w:pPr>
            <w:r>
              <w:rPr>
                <w:rFonts w:hint="eastAsia" w:ascii="宋体" w:hAnsi="宋体" w:cs="宋体"/>
                <w:color w:val="auto"/>
                <w:szCs w:val="21"/>
              </w:rPr>
              <w:t>1km测3处，每处测6点</w:t>
            </w:r>
          </w:p>
        </w:tc>
      </w:tr>
      <w:tr w14:paraId="59280FA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1" w:hRule="exact"/>
          <w:jc w:val="center"/>
        </w:trPr>
        <w:tc>
          <w:tcPr>
            <w:tcW w:w="829" w:type="dxa"/>
            <w:vMerge w:val="continue"/>
            <w:noWrap/>
            <w:vAlign w:val="center"/>
          </w:tcPr>
          <w:p w14:paraId="70C239C1">
            <w:pPr>
              <w:spacing w:line="440" w:lineRule="exact"/>
              <w:rPr>
                <w:rFonts w:ascii="宋体" w:hAnsi="宋体" w:cs="宋体"/>
                <w:color w:val="auto"/>
                <w:szCs w:val="21"/>
              </w:rPr>
            </w:pPr>
          </w:p>
        </w:tc>
        <w:tc>
          <w:tcPr>
            <w:tcW w:w="1580" w:type="dxa"/>
            <w:vMerge w:val="continue"/>
            <w:noWrap/>
            <w:vAlign w:val="center"/>
          </w:tcPr>
          <w:p w14:paraId="66BC9B8F">
            <w:pPr>
              <w:spacing w:line="440" w:lineRule="exact"/>
              <w:rPr>
                <w:rFonts w:ascii="宋体" w:hAnsi="宋体" w:cs="宋体"/>
                <w:color w:val="auto"/>
                <w:szCs w:val="21"/>
              </w:rPr>
            </w:pPr>
          </w:p>
        </w:tc>
        <w:tc>
          <w:tcPr>
            <w:tcW w:w="817" w:type="dxa"/>
            <w:vMerge w:val="restart"/>
            <w:noWrap/>
            <w:vAlign w:val="center"/>
          </w:tcPr>
          <w:p w14:paraId="1C71341B">
            <w:pPr>
              <w:spacing w:line="440" w:lineRule="exact"/>
              <w:rPr>
                <w:rFonts w:ascii="宋体" w:hAnsi="宋体" w:cs="宋体"/>
                <w:color w:val="auto"/>
                <w:szCs w:val="21"/>
              </w:rPr>
            </w:pPr>
            <w:r>
              <w:rPr>
                <w:rFonts w:hint="eastAsia" w:ascii="宋体" w:hAnsi="宋体" w:cs="宋体"/>
                <w:color w:val="auto"/>
                <w:szCs w:val="21"/>
              </w:rPr>
              <w:t>突起型</w:t>
            </w:r>
          </w:p>
        </w:tc>
        <w:tc>
          <w:tcPr>
            <w:tcW w:w="1196" w:type="dxa"/>
            <w:noWrap/>
            <w:vAlign w:val="center"/>
          </w:tcPr>
          <w:p w14:paraId="61BB1756">
            <w:pPr>
              <w:spacing w:line="440" w:lineRule="exact"/>
              <w:rPr>
                <w:rFonts w:ascii="宋体" w:hAnsi="宋体" w:cs="宋体"/>
                <w:color w:val="auto"/>
                <w:szCs w:val="21"/>
              </w:rPr>
            </w:pPr>
            <w:r>
              <w:rPr>
                <w:rFonts w:hint="eastAsia" w:ascii="宋体" w:hAnsi="宋体" w:cs="宋体"/>
                <w:color w:val="auto"/>
                <w:szCs w:val="21"/>
              </w:rPr>
              <w:t>突起高度</w:t>
            </w:r>
          </w:p>
        </w:tc>
        <w:tc>
          <w:tcPr>
            <w:tcW w:w="2011" w:type="dxa"/>
            <w:noWrap/>
            <w:vAlign w:val="center"/>
          </w:tcPr>
          <w:p w14:paraId="153700DF">
            <w:pPr>
              <w:spacing w:line="440" w:lineRule="exact"/>
              <w:rPr>
                <w:rFonts w:ascii="宋体" w:hAnsi="宋体" w:cs="宋体"/>
                <w:color w:val="auto"/>
                <w:szCs w:val="21"/>
              </w:rPr>
            </w:pPr>
            <w:r>
              <w:rPr>
                <w:rFonts w:hint="eastAsia" w:ascii="宋体" w:hAnsi="宋体" w:cs="宋体"/>
                <w:color w:val="auto"/>
                <w:szCs w:val="21"/>
              </w:rPr>
              <w:t>不小于设计值</w:t>
            </w:r>
          </w:p>
        </w:tc>
        <w:tc>
          <w:tcPr>
            <w:tcW w:w="2754" w:type="dxa"/>
            <w:vMerge w:val="continue"/>
            <w:noWrap/>
            <w:vAlign w:val="center"/>
          </w:tcPr>
          <w:p w14:paraId="665D2324">
            <w:pPr>
              <w:spacing w:line="440" w:lineRule="exact"/>
              <w:rPr>
                <w:rFonts w:ascii="宋体" w:hAnsi="宋体" w:cs="宋体"/>
                <w:color w:val="auto"/>
                <w:szCs w:val="21"/>
              </w:rPr>
            </w:pPr>
          </w:p>
        </w:tc>
      </w:tr>
      <w:tr w14:paraId="2FA611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6" w:hRule="exact"/>
          <w:jc w:val="center"/>
        </w:trPr>
        <w:tc>
          <w:tcPr>
            <w:tcW w:w="829" w:type="dxa"/>
            <w:vMerge w:val="continue"/>
            <w:noWrap/>
            <w:vAlign w:val="center"/>
          </w:tcPr>
          <w:p w14:paraId="09F37D2F">
            <w:pPr>
              <w:spacing w:line="440" w:lineRule="exact"/>
              <w:rPr>
                <w:rFonts w:ascii="宋体" w:hAnsi="宋体" w:cs="宋体"/>
                <w:color w:val="auto"/>
                <w:szCs w:val="21"/>
              </w:rPr>
            </w:pPr>
          </w:p>
        </w:tc>
        <w:tc>
          <w:tcPr>
            <w:tcW w:w="1580" w:type="dxa"/>
            <w:vMerge w:val="continue"/>
            <w:noWrap/>
            <w:vAlign w:val="center"/>
          </w:tcPr>
          <w:p w14:paraId="53459106">
            <w:pPr>
              <w:spacing w:line="440" w:lineRule="exact"/>
              <w:rPr>
                <w:rFonts w:ascii="宋体" w:hAnsi="宋体" w:cs="宋体"/>
                <w:color w:val="auto"/>
                <w:szCs w:val="21"/>
              </w:rPr>
            </w:pPr>
          </w:p>
        </w:tc>
        <w:tc>
          <w:tcPr>
            <w:tcW w:w="817" w:type="dxa"/>
            <w:vMerge w:val="continue"/>
            <w:noWrap/>
            <w:vAlign w:val="center"/>
          </w:tcPr>
          <w:p w14:paraId="60291EE5">
            <w:pPr>
              <w:spacing w:line="440" w:lineRule="exact"/>
              <w:rPr>
                <w:rFonts w:ascii="宋体" w:hAnsi="宋体" w:cs="宋体"/>
                <w:color w:val="auto"/>
                <w:szCs w:val="21"/>
              </w:rPr>
            </w:pPr>
          </w:p>
        </w:tc>
        <w:tc>
          <w:tcPr>
            <w:tcW w:w="1196" w:type="dxa"/>
            <w:noWrap/>
            <w:vAlign w:val="center"/>
          </w:tcPr>
          <w:p w14:paraId="3806F798">
            <w:pPr>
              <w:spacing w:line="440" w:lineRule="exact"/>
              <w:rPr>
                <w:rFonts w:ascii="宋体" w:hAnsi="宋体" w:cs="宋体"/>
                <w:color w:val="auto"/>
                <w:szCs w:val="21"/>
              </w:rPr>
            </w:pPr>
            <w:r>
              <w:rPr>
                <w:rFonts w:hint="eastAsia" w:ascii="宋体" w:hAnsi="宋体" w:cs="宋体"/>
                <w:color w:val="auto"/>
                <w:szCs w:val="21"/>
              </w:rPr>
              <w:t>基线厚度</w:t>
            </w:r>
          </w:p>
        </w:tc>
        <w:tc>
          <w:tcPr>
            <w:tcW w:w="2011" w:type="dxa"/>
            <w:noWrap/>
            <w:vAlign w:val="center"/>
          </w:tcPr>
          <w:p w14:paraId="52A2494A">
            <w:pPr>
              <w:spacing w:line="440" w:lineRule="exact"/>
              <w:rPr>
                <w:rFonts w:ascii="宋体" w:hAnsi="宋体" w:cs="宋体"/>
                <w:color w:val="auto"/>
                <w:szCs w:val="21"/>
              </w:rPr>
            </w:pPr>
            <w:r>
              <w:rPr>
                <w:rFonts w:hint="eastAsia" w:ascii="宋体" w:hAnsi="宋体" w:cs="宋体"/>
                <w:color w:val="auto"/>
                <w:szCs w:val="21"/>
              </w:rPr>
              <w:t>不小于设计值</w:t>
            </w:r>
          </w:p>
        </w:tc>
        <w:tc>
          <w:tcPr>
            <w:tcW w:w="2754" w:type="dxa"/>
            <w:vMerge w:val="continue"/>
            <w:noWrap/>
            <w:vAlign w:val="center"/>
          </w:tcPr>
          <w:p w14:paraId="2E2B1F59">
            <w:pPr>
              <w:spacing w:line="440" w:lineRule="exact"/>
              <w:rPr>
                <w:rFonts w:ascii="宋体" w:hAnsi="宋体" w:cs="宋体"/>
                <w:color w:val="auto"/>
                <w:szCs w:val="21"/>
              </w:rPr>
            </w:pPr>
          </w:p>
        </w:tc>
      </w:tr>
      <w:tr w14:paraId="3863C6C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9" w:hRule="exact"/>
          <w:jc w:val="center"/>
        </w:trPr>
        <w:tc>
          <w:tcPr>
            <w:tcW w:w="829" w:type="dxa"/>
            <w:noWrap/>
            <w:vAlign w:val="center"/>
          </w:tcPr>
          <w:p w14:paraId="25434856">
            <w:pPr>
              <w:spacing w:line="440" w:lineRule="exact"/>
              <w:rPr>
                <w:rFonts w:ascii="宋体" w:hAnsi="宋体" w:cs="宋体"/>
                <w:color w:val="auto"/>
                <w:szCs w:val="21"/>
              </w:rPr>
            </w:pPr>
            <w:r>
              <w:rPr>
                <w:rFonts w:hint="eastAsia" w:ascii="宋体" w:hAnsi="宋体" w:cs="宋体"/>
                <w:color w:val="auto"/>
                <w:szCs w:val="21"/>
              </w:rPr>
              <w:t>4</w:t>
            </w:r>
          </w:p>
        </w:tc>
        <w:tc>
          <w:tcPr>
            <w:tcW w:w="3593" w:type="dxa"/>
            <w:gridSpan w:val="3"/>
            <w:noWrap/>
            <w:vAlign w:val="center"/>
          </w:tcPr>
          <w:p w14:paraId="654FA776">
            <w:pPr>
              <w:spacing w:line="440" w:lineRule="exact"/>
              <w:rPr>
                <w:rFonts w:ascii="宋体" w:hAnsi="宋体" w:cs="宋体"/>
                <w:color w:val="auto"/>
                <w:szCs w:val="21"/>
              </w:rPr>
            </w:pPr>
            <w:r>
              <w:rPr>
                <w:rFonts w:hint="eastAsia" w:ascii="宋体" w:hAnsi="宋体" w:cs="宋体"/>
                <w:color w:val="auto"/>
                <w:szCs w:val="21"/>
              </w:rPr>
              <w:t>标线横向偏位（mm）</w:t>
            </w:r>
          </w:p>
        </w:tc>
        <w:tc>
          <w:tcPr>
            <w:tcW w:w="2011" w:type="dxa"/>
            <w:noWrap/>
            <w:vAlign w:val="center"/>
          </w:tcPr>
          <w:p w14:paraId="4707DCFD">
            <w:pPr>
              <w:spacing w:line="440" w:lineRule="exact"/>
              <w:rPr>
                <w:rFonts w:ascii="宋体" w:hAnsi="宋体" w:cs="宋体"/>
                <w:color w:val="auto"/>
                <w:szCs w:val="21"/>
              </w:rPr>
            </w:pPr>
            <w:r>
              <w:rPr>
                <w:rFonts w:hint="eastAsia" w:ascii="宋体" w:hAnsi="宋体" w:cs="宋体"/>
                <w:color w:val="auto"/>
                <w:szCs w:val="21"/>
              </w:rPr>
              <w:t>≤30</w:t>
            </w:r>
          </w:p>
        </w:tc>
        <w:tc>
          <w:tcPr>
            <w:tcW w:w="2754" w:type="dxa"/>
            <w:noWrap/>
            <w:vAlign w:val="center"/>
          </w:tcPr>
          <w:p w14:paraId="54F06FF1">
            <w:pPr>
              <w:spacing w:line="440" w:lineRule="exact"/>
              <w:rPr>
                <w:rFonts w:ascii="宋体" w:hAnsi="宋体" w:cs="宋体"/>
                <w:color w:val="auto"/>
                <w:szCs w:val="21"/>
              </w:rPr>
            </w:pPr>
            <w:r>
              <w:rPr>
                <w:rFonts w:hint="eastAsia" w:ascii="宋体" w:hAnsi="宋体" w:cs="宋体"/>
                <w:color w:val="auto"/>
                <w:szCs w:val="21"/>
              </w:rPr>
              <w:t>尺量：每1km测3处，每处测</w:t>
            </w:r>
          </w:p>
          <w:p w14:paraId="70CC0FC3">
            <w:pPr>
              <w:spacing w:line="440" w:lineRule="exact"/>
              <w:rPr>
                <w:rFonts w:ascii="宋体" w:hAnsi="宋体" w:cs="宋体"/>
                <w:color w:val="auto"/>
                <w:szCs w:val="21"/>
              </w:rPr>
            </w:pPr>
            <w:r>
              <w:rPr>
                <w:rFonts w:hint="eastAsia" w:ascii="宋体" w:hAnsi="宋体" w:cs="宋体"/>
                <w:color w:val="auto"/>
                <w:szCs w:val="21"/>
              </w:rPr>
              <w:t>3点</w:t>
            </w:r>
          </w:p>
        </w:tc>
      </w:tr>
      <w:tr w14:paraId="6DC8E2F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56" w:hRule="exact"/>
          <w:jc w:val="center"/>
        </w:trPr>
        <w:tc>
          <w:tcPr>
            <w:tcW w:w="829" w:type="dxa"/>
            <w:vMerge w:val="restart"/>
            <w:noWrap/>
            <w:vAlign w:val="center"/>
          </w:tcPr>
          <w:p w14:paraId="4F539B31">
            <w:pPr>
              <w:spacing w:line="440" w:lineRule="exact"/>
              <w:rPr>
                <w:rFonts w:ascii="宋体" w:hAnsi="宋体" w:cs="宋体"/>
                <w:color w:val="auto"/>
                <w:szCs w:val="21"/>
              </w:rPr>
            </w:pPr>
            <w:r>
              <w:rPr>
                <w:rFonts w:hint="eastAsia" w:ascii="宋体" w:hAnsi="宋体" w:cs="宋体"/>
                <w:color w:val="auto"/>
                <w:szCs w:val="21"/>
              </w:rPr>
              <w:t>5</w:t>
            </w:r>
          </w:p>
        </w:tc>
        <w:tc>
          <w:tcPr>
            <w:tcW w:w="1580" w:type="dxa"/>
            <w:vMerge w:val="restart"/>
            <w:noWrap/>
            <w:vAlign w:val="center"/>
          </w:tcPr>
          <w:p w14:paraId="33D79480">
            <w:pPr>
              <w:spacing w:line="440" w:lineRule="exact"/>
              <w:rPr>
                <w:rFonts w:ascii="宋体" w:hAnsi="宋体" w:cs="宋体"/>
                <w:color w:val="auto"/>
                <w:szCs w:val="21"/>
              </w:rPr>
            </w:pPr>
            <w:r>
              <w:rPr>
                <w:rFonts w:hint="eastAsia" w:ascii="宋体" w:hAnsi="宋体" w:cs="宋体"/>
                <w:color w:val="auto"/>
                <w:szCs w:val="21"/>
              </w:rPr>
              <w:t>标线纵向间距</w:t>
            </w:r>
          </w:p>
          <w:p w14:paraId="746B4BA4">
            <w:pPr>
              <w:spacing w:line="440" w:lineRule="exact"/>
              <w:rPr>
                <w:rFonts w:ascii="宋体" w:hAnsi="宋体" w:cs="宋体"/>
                <w:color w:val="auto"/>
                <w:szCs w:val="21"/>
              </w:rPr>
            </w:pPr>
            <w:r>
              <w:rPr>
                <w:rFonts w:hint="eastAsia" w:ascii="宋体" w:hAnsi="宋体" w:cs="宋体"/>
                <w:color w:val="auto"/>
                <w:szCs w:val="21"/>
              </w:rPr>
              <w:t>（mm）</w:t>
            </w:r>
          </w:p>
        </w:tc>
        <w:tc>
          <w:tcPr>
            <w:tcW w:w="2013" w:type="dxa"/>
            <w:gridSpan w:val="2"/>
            <w:noWrap/>
            <w:vAlign w:val="center"/>
          </w:tcPr>
          <w:p w14:paraId="61379954">
            <w:pPr>
              <w:spacing w:line="440" w:lineRule="exact"/>
              <w:rPr>
                <w:rFonts w:ascii="宋体" w:hAnsi="宋体" w:cs="宋体"/>
                <w:color w:val="auto"/>
                <w:szCs w:val="21"/>
              </w:rPr>
            </w:pPr>
            <w:r>
              <w:rPr>
                <w:rFonts w:hint="eastAsia" w:ascii="宋体" w:hAnsi="宋体" w:cs="宋体"/>
                <w:color w:val="auto"/>
                <w:szCs w:val="21"/>
              </w:rPr>
              <w:t>9000</w:t>
            </w:r>
          </w:p>
        </w:tc>
        <w:tc>
          <w:tcPr>
            <w:tcW w:w="2011" w:type="dxa"/>
            <w:noWrap/>
            <w:vAlign w:val="center"/>
          </w:tcPr>
          <w:p w14:paraId="26B4F649">
            <w:pPr>
              <w:spacing w:line="440" w:lineRule="exact"/>
              <w:rPr>
                <w:rFonts w:ascii="宋体" w:hAnsi="宋体" w:cs="宋体"/>
                <w:color w:val="auto"/>
                <w:szCs w:val="21"/>
              </w:rPr>
            </w:pPr>
            <w:r>
              <w:rPr>
                <w:rFonts w:hint="eastAsia" w:ascii="宋体" w:hAnsi="宋体" w:cs="宋体"/>
                <w:color w:val="auto"/>
                <w:szCs w:val="21"/>
              </w:rPr>
              <w:t>±45</w:t>
            </w:r>
          </w:p>
        </w:tc>
        <w:tc>
          <w:tcPr>
            <w:tcW w:w="2754" w:type="dxa"/>
            <w:vMerge w:val="restart"/>
            <w:noWrap/>
            <w:vAlign w:val="center"/>
          </w:tcPr>
          <w:p w14:paraId="73CAD801">
            <w:pPr>
              <w:spacing w:line="440" w:lineRule="exact"/>
              <w:rPr>
                <w:rFonts w:ascii="宋体" w:hAnsi="宋体" w:cs="宋体"/>
                <w:color w:val="auto"/>
                <w:szCs w:val="21"/>
              </w:rPr>
            </w:pPr>
            <w:r>
              <w:rPr>
                <w:rFonts w:hint="eastAsia" w:ascii="宋体" w:hAnsi="宋体" w:cs="宋体"/>
                <w:color w:val="auto"/>
                <w:szCs w:val="21"/>
              </w:rPr>
              <w:t>尺量：每1km测3处，每处测</w:t>
            </w:r>
          </w:p>
          <w:p w14:paraId="1D93458D">
            <w:pPr>
              <w:spacing w:line="440" w:lineRule="exact"/>
              <w:rPr>
                <w:rFonts w:ascii="宋体" w:hAnsi="宋体" w:cs="宋体"/>
                <w:color w:val="auto"/>
                <w:szCs w:val="21"/>
              </w:rPr>
            </w:pPr>
            <w:r>
              <w:rPr>
                <w:rFonts w:hint="eastAsia" w:ascii="宋体" w:hAnsi="宋体" w:cs="宋体"/>
                <w:color w:val="auto"/>
                <w:szCs w:val="21"/>
              </w:rPr>
              <w:t>3个线段</w:t>
            </w:r>
          </w:p>
        </w:tc>
      </w:tr>
      <w:tr w14:paraId="5E99C1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56" w:hRule="exact"/>
          <w:jc w:val="center"/>
        </w:trPr>
        <w:tc>
          <w:tcPr>
            <w:tcW w:w="829" w:type="dxa"/>
            <w:vMerge w:val="continue"/>
            <w:noWrap/>
            <w:vAlign w:val="center"/>
          </w:tcPr>
          <w:p w14:paraId="35F7DBA8">
            <w:pPr>
              <w:spacing w:line="440" w:lineRule="exact"/>
              <w:rPr>
                <w:rFonts w:ascii="宋体" w:hAnsi="宋体" w:cs="宋体"/>
                <w:color w:val="auto"/>
                <w:szCs w:val="21"/>
              </w:rPr>
            </w:pPr>
          </w:p>
        </w:tc>
        <w:tc>
          <w:tcPr>
            <w:tcW w:w="1580" w:type="dxa"/>
            <w:vMerge w:val="continue"/>
            <w:noWrap/>
            <w:vAlign w:val="center"/>
          </w:tcPr>
          <w:p w14:paraId="3DAF3A60">
            <w:pPr>
              <w:spacing w:line="440" w:lineRule="exact"/>
              <w:rPr>
                <w:rFonts w:ascii="宋体" w:hAnsi="宋体" w:cs="宋体"/>
                <w:color w:val="auto"/>
                <w:szCs w:val="21"/>
              </w:rPr>
            </w:pPr>
          </w:p>
        </w:tc>
        <w:tc>
          <w:tcPr>
            <w:tcW w:w="2013" w:type="dxa"/>
            <w:gridSpan w:val="2"/>
            <w:noWrap/>
            <w:vAlign w:val="center"/>
          </w:tcPr>
          <w:p w14:paraId="65D39FB8">
            <w:pPr>
              <w:spacing w:line="440" w:lineRule="exact"/>
              <w:rPr>
                <w:rFonts w:ascii="宋体" w:hAnsi="宋体" w:cs="宋体"/>
                <w:color w:val="auto"/>
                <w:szCs w:val="21"/>
              </w:rPr>
            </w:pPr>
            <w:r>
              <w:rPr>
                <w:rFonts w:hint="eastAsia" w:ascii="宋体" w:hAnsi="宋体" w:cs="宋体"/>
                <w:color w:val="auto"/>
                <w:szCs w:val="21"/>
              </w:rPr>
              <w:t>6000</w:t>
            </w:r>
          </w:p>
        </w:tc>
        <w:tc>
          <w:tcPr>
            <w:tcW w:w="2011" w:type="dxa"/>
            <w:noWrap/>
            <w:vAlign w:val="center"/>
          </w:tcPr>
          <w:p w14:paraId="0F42F4EF">
            <w:pPr>
              <w:spacing w:line="440" w:lineRule="exact"/>
              <w:rPr>
                <w:rFonts w:ascii="宋体" w:hAnsi="宋体" w:cs="宋体"/>
                <w:color w:val="auto"/>
                <w:szCs w:val="21"/>
              </w:rPr>
            </w:pPr>
            <w:r>
              <w:rPr>
                <w:rFonts w:hint="eastAsia" w:ascii="宋体" w:hAnsi="宋体" w:cs="宋体"/>
                <w:color w:val="auto"/>
                <w:szCs w:val="21"/>
              </w:rPr>
              <w:t>±30</w:t>
            </w:r>
          </w:p>
        </w:tc>
        <w:tc>
          <w:tcPr>
            <w:tcW w:w="2754" w:type="dxa"/>
            <w:vMerge w:val="continue"/>
            <w:noWrap/>
            <w:vAlign w:val="center"/>
          </w:tcPr>
          <w:p w14:paraId="2A074725">
            <w:pPr>
              <w:spacing w:line="440" w:lineRule="exact"/>
              <w:rPr>
                <w:rFonts w:ascii="宋体" w:hAnsi="宋体" w:cs="宋体"/>
                <w:color w:val="auto"/>
                <w:szCs w:val="21"/>
              </w:rPr>
            </w:pPr>
          </w:p>
        </w:tc>
      </w:tr>
      <w:tr w14:paraId="6D65A21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56" w:hRule="exact"/>
          <w:jc w:val="center"/>
        </w:trPr>
        <w:tc>
          <w:tcPr>
            <w:tcW w:w="829" w:type="dxa"/>
            <w:vMerge w:val="continue"/>
            <w:noWrap/>
            <w:vAlign w:val="center"/>
          </w:tcPr>
          <w:p w14:paraId="72FA48A4">
            <w:pPr>
              <w:spacing w:line="440" w:lineRule="exact"/>
              <w:rPr>
                <w:rFonts w:ascii="宋体" w:hAnsi="宋体" w:cs="宋体"/>
                <w:color w:val="auto"/>
                <w:szCs w:val="21"/>
              </w:rPr>
            </w:pPr>
          </w:p>
        </w:tc>
        <w:tc>
          <w:tcPr>
            <w:tcW w:w="1580" w:type="dxa"/>
            <w:vMerge w:val="continue"/>
            <w:noWrap/>
            <w:vAlign w:val="center"/>
          </w:tcPr>
          <w:p w14:paraId="5E20B888">
            <w:pPr>
              <w:spacing w:line="440" w:lineRule="exact"/>
              <w:rPr>
                <w:rFonts w:ascii="宋体" w:hAnsi="宋体" w:cs="宋体"/>
                <w:color w:val="auto"/>
                <w:szCs w:val="21"/>
              </w:rPr>
            </w:pPr>
          </w:p>
        </w:tc>
        <w:tc>
          <w:tcPr>
            <w:tcW w:w="2013" w:type="dxa"/>
            <w:gridSpan w:val="2"/>
            <w:noWrap/>
            <w:vAlign w:val="center"/>
          </w:tcPr>
          <w:p w14:paraId="12411069">
            <w:pPr>
              <w:spacing w:line="440" w:lineRule="exact"/>
              <w:rPr>
                <w:rFonts w:ascii="宋体" w:hAnsi="宋体" w:cs="宋体"/>
                <w:color w:val="auto"/>
                <w:szCs w:val="21"/>
              </w:rPr>
            </w:pPr>
            <w:r>
              <w:rPr>
                <w:rFonts w:hint="eastAsia" w:ascii="宋体" w:hAnsi="宋体" w:cs="宋体"/>
                <w:color w:val="auto"/>
                <w:szCs w:val="21"/>
              </w:rPr>
              <w:t>4000</w:t>
            </w:r>
          </w:p>
        </w:tc>
        <w:tc>
          <w:tcPr>
            <w:tcW w:w="2011" w:type="dxa"/>
            <w:noWrap/>
            <w:vAlign w:val="center"/>
          </w:tcPr>
          <w:p w14:paraId="25DD49BF">
            <w:pPr>
              <w:spacing w:line="440" w:lineRule="exact"/>
              <w:rPr>
                <w:rFonts w:ascii="宋体" w:hAnsi="宋体" w:cs="宋体"/>
                <w:color w:val="auto"/>
                <w:szCs w:val="21"/>
              </w:rPr>
            </w:pPr>
            <w:r>
              <w:rPr>
                <w:rFonts w:hint="eastAsia" w:ascii="宋体" w:hAnsi="宋体" w:cs="宋体"/>
                <w:color w:val="auto"/>
                <w:szCs w:val="21"/>
              </w:rPr>
              <w:t>±20</w:t>
            </w:r>
          </w:p>
        </w:tc>
        <w:tc>
          <w:tcPr>
            <w:tcW w:w="2754" w:type="dxa"/>
            <w:vMerge w:val="continue"/>
            <w:noWrap/>
            <w:vAlign w:val="center"/>
          </w:tcPr>
          <w:p w14:paraId="3DAEEA8A">
            <w:pPr>
              <w:spacing w:line="440" w:lineRule="exact"/>
              <w:rPr>
                <w:rFonts w:ascii="宋体" w:hAnsi="宋体" w:cs="宋体"/>
                <w:color w:val="auto"/>
                <w:szCs w:val="21"/>
              </w:rPr>
            </w:pPr>
          </w:p>
        </w:tc>
      </w:tr>
      <w:tr w14:paraId="728006D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56" w:hRule="exact"/>
          <w:jc w:val="center"/>
        </w:trPr>
        <w:tc>
          <w:tcPr>
            <w:tcW w:w="829" w:type="dxa"/>
            <w:vMerge w:val="continue"/>
            <w:noWrap/>
            <w:vAlign w:val="center"/>
          </w:tcPr>
          <w:p w14:paraId="4D117481">
            <w:pPr>
              <w:spacing w:line="440" w:lineRule="exact"/>
              <w:rPr>
                <w:rFonts w:ascii="宋体" w:hAnsi="宋体" w:cs="宋体"/>
                <w:color w:val="auto"/>
                <w:szCs w:val="21"/>
              </w:rPr>
            </w:pPr>
          </w:p>
        </w:tc>
        <w:tc>
          <w:tcPr>
            <w:tcW w:w="1580" w:type="dxa"/>
            <w:vMerge w:val="continue"/>
            <w:noWrap/>
            <w:vAlign w:val="center"/>
          </w:tcPr>
          <w:p w14:paraId="0D48A154">
            <w:pPr>
              <w:spacing w:line="440" w:lineRule="exact"/>
              <w:rPr>
                <w:rFonts w:ascii="宋体" w:hAnsi="宋体" w:cs="宋体"/>
                <w:color w:val="auto"/>
                <w:szCs w:val="21"/>
              </w:rPr>
            </w:pPr>
          </w:p>
        </w:tc>
        <w:tc>
          <w:tcPr>
            <w:tcW w:w="2013" w:type="dxa"/>
            <w:gridSpan w:val="2"/>
            <w:noWrap/>
            <w:vAlign w:val="center"/>
          </w:tcPr>
          <w:p w14:paraId="5AC2EFEF">
            <w:pPr>
              <w:spacing w:line="440" w:lineRule="exact"/>
              <w:rPr>
                <w:rFonts w:ascii="宋体" w:hAnsi="宋体" w:cs="宋体"/>
                <w:color w:val="auto"/>
                <w:szCs w:val="21"/>
              </w:rPr>
            </w:pPr>
            <w:r>
              <w:rPr>
                <w:rFonts w:hint="eastAsia" w:ascii="宋体" w:hAnsi="宋体" w:cs="宋体"/>
                <w:color w:val="auto"/>
                <w:szCs w:val="21"/>
              </w:rPr>
              <w:t>3000</w:t>
            </w:r>
          </w:p>
        </w:tc>
        <w:tc>
          <w:tcPr>
            <w:tcW w:w="2011" w:type="dxa"/>
            <w:noWrap/>
            <w:vAlign w:val="center"/>
          </w:tcPr>
          <w:p w14:paraId="57E68A2D">
            <w:pPr>
              <w:spacing w:line="440" w:lineRule="exact"/>
              <w:rPr>
                <w:rFonts w:ascii="宋体" w:hAnsi="宋体" w:cs="宋体"/>
                <w:color w:val="auto"/>
                <w:szCs w:val="21"/>
              </w:rPr>
            </w:pPr>
            <w:r>
              <w:rPr>
                <w:rFonts w:hint="eastAsia" w:ascii="宋体" w:hAnsi="宋体" w:cs="宋体"/>
                <w:color w:val="auto"/>
                <w:szCs w:val="21"/>
              </w:rPr>
              <w:t>±15</w:t>
            </w:r>
          </w:p>
        </w:tc>
        <w:tc>
          <w:tcPr>
            <w:tcW w:w="2754" w:type="dxa"/>
            <w:vMerge w:val="continue"/>
            <w:noWrap/>
            <w:vAlign w:val="center"/>
          </w:tcPr>
          <w:p w14:paraId="2A612D21">
            <w:pPr>
              <w:spacing w:line="440" w:lineRule="exact"/>
              <w:rPr>
                <w:rFonts w:ascii="宋体" w:hAnsi="宋体" w:cs="宋体"/>
                <w:color w:val="auto"/>
                <w:szCs w:val="21"/>
              </w:rPr>
            </w:pPr>
          </w:p>
        </w:tc>
      </w:tr>
      <w:tr w14:paraId="71EBB4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29" w:hRule="exact"/>
          <w:jc w:val="center"/>
        </w:trPr>
        <w:tc>
          <w:tcPr>
            <w:tcW w:w="829" w:type="dxa"/>
            <w:noWrap/>
            <w:vAlign w:val="center"/>
          </w:tcPr>
          <w:p w14:paraId="676C5B78">
            <w:pPr>
              <w:spacing w:line="440" w:lineRule="exact"/>
              <w:rPr>
                <w:rFonts w:ascii="宋体" w:hAnsi="宋体" w:cs="宋体"/>
                <w:color w:val="auto"/>
                <w:szCs w:val="21"/>
              </w:rPr>
            </w:pPr>
            <w:r>
              <w:rPr>
                <w:rFonts w:hint="eastAsia" w:ascii="宋体" w:hAnsi="宋体" w:cs="宋体"/>
                <w:color w:val="auto"/>
                <w:szCs w:val="21"/>
              </w:rPr>
              <w:t>6</w:t>
            </w:r>
          </w:p>
        </w:tc>
        <w:tc>
          <w:tcPr>
            <w:tcW w:w="1580" w:type="dxa"/>
            <w:noWrap/>
            <w:vAlign w:val="center"/>
          </w:tcPr>
          <w:p w14:paraId="3A395773">
            <w:pPr>
              <w:spacing w:line="440" w:lineRule="exact"/>
              <w:rPr>
                <w:rFonts w:ascii="宋体" w:hAnsi="宋体" w:cs="宋体"/>
                <w:color w:val="auto"/>
                <w:szCs w:val="21"/>
              </w:rPr>
            </w:pPr>
            <w:r>
              <w:rPr>
                <w:rFonts w:hint="eastAsia" w:ascii="宋体" w:hAnsi="宋体" w:cs="宋体"/>
                <w:color w:val="auto"/>
                <w:szCs w:val="21"/>
              </w:rPr>
              <w:t>抗滑值</w:t>
            </w:r>
          </w:p>
          <w:p w14:paraId="4FED7120">
            <w:pPr>
              <w:spacing w:line="440" w:lineRule="exact"/>
              <w:rPr>
                <w:rFonts w:ascii="宋体" w:hAnsi="宋体" w:cs="宋体"/>
                <w:color w:val="auto"/>
                <w:szCs w:val="21"/>
              </w:rPr>
            </w:pPr>
            <w:r>
              <w:rPr>
                <w:rFonts w:hint="eastAsia" w:ascii="宋体" w:hAnsi="宋体" w:cs="宋体"/>
                <w:color w:val="auto"/>
                <w:szCs w:val="21"/>
              </w:rPr>
              <w:t>（BPN）</w:t>
            </w:r>
          </w:p>
        </w:tc>
        <w:tc>
          <w:tcPr>
            <w:tcW w:w="2013" w:type="dxa"/>
            <w:gridSpan w:val="2"/>
            <w:noWrap/>
            <w:vAlign w:val="center"/>
          </w:tcPr>
          <w:p w14:paraId="5333EA74">
            <w:pPr>
              <w:spacing w:line="440" w:lineRule="exact"/>
              <w:rPr>
                <w:rFonts w:ascii="宋体" w:hAnsi="宋体" w:cs="宋体"/>
                <w:color w:val="auto"/>
                <w:szCs w:val="21"/>
              </w:rPr>
            </w:pPr>
            <w:r>
              <w:rPr>
                <w:rFonts w:hint="eastAsia" w:ascii="宋体" w:hAnsi="宋体" w:cs="宋体"/>
                <w:color w:val="auto"/>
                <w:szCs w:val="21"/>
              </w:rPr>
              <w:t>防滑标线</w:t>
            </w:r>
          </w:p>
        </w:tc>
        <w:tc>
          <w:tcPr>
            <w:tcW w:w="2011" w:type="dxa"/>
            <w:noWrap/>
            <w:vAlign w:val="center"/>
          </w:tcPr>
          <w:p w14:paraId="4BA23A4A">
            <w:pPr>
              <w:spacing w:line="440" w:lineRule="exact"/>
              <w:rPr>
                <w:rFonts w:ascii="宋体" w:hAnsi="宋体" w:cs="宋体"/>
                <w:color w:val="auto"/>
                <w:szCs w:val="21"/>
              </w:rPr>
            </w:pPr>
            <w:r>
              <w:rPr>
                <w:rFonts w:hint="eastAsia" w:ascii="宋体" w:hAnsi="宋体" w:cs="宋体"/>
                <w:color w:val="auto"/>
                <w:szCs w:val="21"/>
              </w:rPr>
              <w:t>≥45</w:t>
            </w:r>
          </w:p>
        </w:tc>
        <w:tc>
          <w:tcPr>
            <w:tcW w:w="2754" w:type="dxa"/>
            <w:noWrap/>
            <w:vAlign w:val="center"/>
          </w:tcPr>
          <w:p w14:paraId="644FEC85">
            <w:pPr>
              <w:spacing w:line="440" w:lineRule="exact"/>
              <w:rPr>
                <w:rFonts w:ascii="宋体" w:hAnsi="宋体" w:cs="宋体"/>
                <w:color w:val="auto"/>
                <w:szCs w:val="21"/>
              </w:rPr>
            </w:pPr>
            <w:r>
              <w:rPr>
                <w:rFonts w:hint="eastAsia" w:ascii="宋体" w:hAnsi="宋体" w:cs="宋体"/>
                <w:color w:val="auto"/>
                <w:szCs w:val="21"/>
              </w:rPr>
              <w:t>摆式摩擦系数测试仪：每</w:t>
            </w:r>
          </w:p>
          <w:p w14:paraId="1867A528">
            <w:pPr>
              <w:spacing w:line="440" w:lineRule="exact"/>
              <w:rPr>
                <w:rFonts w:ascii="宋体" w:hAnsi="宋体" w:cs="宋体"/>
                <w:color w:val="auto"/>
                <w:szCs w:val="21"/>
              </w:rPr>
            </w:pPr>
            <w:r>
              <w:rPr>
                <w:rFonts w:hint="eastAsia" w:ascii="宋体" w:hAnsi="宋体" w:cs="宋体"/>
                <w:color w:val="auto"/>
                <w:szCs w:val="21"/>
              </w:rPr>
              <w:t>1km测3处</w:t>
            </w:r>
          </w:p>
        </w:tc>
      </w:tr>
    </w:tbl>
    <w:p w14:paraId="4633D0A1">
      <w:pPr>
        <w:spacing w:line="440" w:lineRule="exact"/>
        <w:rPr>
          <w:rFonts w:ascii="宋体" w:hAnsi="宋体" w:cs="宋体"/>
          <w:color w:val="auto"/>
          <w:szCs w:val="21"/>
        </w:rPr>
      </w:pPr>
      <w:r>
        <w:rPr>
          <w:rFonts w:hint="eastAsia" w:ascii="宋体" w:hAnsi="宋体" w:cs="宋体"/>
          <w:color w:val="auto"/>
          <w:szCs w:val="21"/>
        </w:rPr>
        <w:t xml:space="preserve">       表4 热熔标线逆反射亮度系数RL技术要求</w:t>
      </w:r>
    </w:p>
    <w:tbl>
      <w:tblPr>
        <w:tblStyle w:val="47"/>
        <w:tblW w:w="883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979"/>
        <w:gridCol w:w="3262"/>
        <w:gridCol w:w="2598"/>
      </w:tblGrid>
      <w:tr w14:paraId="612A55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66" w:hRule="atLeast"/>
          <w:jc w:val="center"/>
        </w:trPr>
        <w:tc>
          <w:tcPr>
            <w:tcW w:w="2979" w:type="dxa"/>
            <w:noWrap/>
            <w:vAlign w:val="center"/>
          </w:tcPr>
          <w:p w14:paraId="37F78653">
            <w:pPr>
              <w:spacing w:line="440" w:lineRule="exact"/>
              <w:rPr>
                <w:rFonts w:ascii="宋体" w:hAnsi="宋体" w:cs="宋体"/>
                <w:color w:val="auto"/>
                <w:szCs w:val="21"/>
              </w:rPr>
            </w:pPr>
            <w:r>
              <w:rPr>
                <w:rFonts w:hint="eastAsia" w:ascii="宋体" w:hAnsi="宋体" w:cs="宋体"/>
                <w:color w:val="auto"/>
                <w:szCs w:val="21"/>
              </w:rPr>
              <w:t>检测项目</w:t>
            </w:r>
          </w:p>
        </w:tc>
        <w:tc>
          <w:tcPr>
            <w:tcW w:w="3262" w:type="dxa"/>
            <w:noWrap/>
            <w:vAlign w:val="center"/>
          </w:tcPr>
          <w:p w14:paraId="799144E7">
            <w:pPr>
              <w:spacing w:line="440" w:lineRule="exact"/>
              <w:rPr>
                <w:rFonts w:ascii="宋体" w:hAnsi="宋体" w:cs="宋体"/>
                <w:color w:val="auto"/>
                <w:szCs w:val="21"/>
              </w:rPr>
            </w:pPr>
            <w:r>
              <w:rPr>
                <w:rFonts w:hint="eastAsia" w:ascii="宋体" w:hAnsi="宋体" w:cs="宋体"/>
                <w:color w:val="auto"/>
                <w:szCs w:val="21"/>
              </w:rPr>
              <w:t>检测时间</w:t>
            </w:r>
          </w:p>
        </w:tc>
        <w:tc>
          <w:tcPr>
            <w:tcW w:w="2598" w:type="dxa"/>
            <w:noWrap/>
            <w:vAlign w:val="center"/>
          </w:tcPr>
          <w:p w14:paraId="79C149FB">
            <w:pPr>
              <w:spacing w:line="440" w:lineRule="exact"/>
              <w:rPr>
                <w:rFonts w:ascii="宋体" w:hAnsi="宋体" w:cs="宋体"/>
                <w:color w:val="auto"/>
                <w:szCs w:val="21"/>
              </w:rPr>
            </w:pPr>
            <w:r>
              <w:rPr>
                <w:rFonts w:hint="eastAsia" w:ascii="宋体" w:hAnsi="宋体" w:cs="宋体"/>
                <w:color w:val="auto"/>
                <w:szCs w:val="21"/>
              </w:rPr>
              <w:t>合格标准</w:t>
            </w:r>
          </w:p>
        </w:tc>
      </w:tr>
      <w:tr w14:paraId="4E5B8E7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3" w:hRule="atLeast"/>
          <w:jc w:val="center"/>
        </w:trPr>
        <w:tc>
          <w:tcPr>
            <w:tcW w:w="2979" w:type="dxa"/>
            <w:vMerge w:val="restart"/>
            <w:noWrap/>
            <w:vAlign w:val="center"/>
          </w:tcPr>
          <w:p w14:paraId="219D92C1">
            <w:pPr>
              <w:spacing w:line="440" w:lineRule="exact"/>
              <w:rPr>
                <w:rFonts w:ascii="宋体" w:hAnsi="宋体" w:cs="宋体"/>
                <w:color w:val="auto"/>
                <w:szCs w:val="21"/>
              </w:rPr>
            </w:pPr>
            <w:r>
              <w:rPr>
                <w:rFonts w:hint="eastAsia" w:ascii="宋体" w:hAnsi="宋体" w:cs="宋体"/>
                <w:color w:val="auto"/>
                <w:szCs w:val="21"/>
              </w:rPr>
              <w:t>白色标线R</w:t>
            </w:r>
            <w:r>
              <w:rPr>
                <w:rFonts w:hint="eastAsia" w:ascii="宋体" w:hAnsi="宋体" w:cs="宋体"/>
                <w:color w:val="auto"/>
                <w:szCs w:val="21"/>
                <w:vertAlign w:val="subscript"/>
              </w:rPr>
              <w:t>L</w:t>
            </w:r>
            <w:r>
              <w:rPr>
                <w:rFonts w:hint="eastAsia" w:ascii="宋体" w:hAnsi="宋体" w:cs="宋体"/>
                <w:color w:val="auto"/>
                <w:szCs w:val="21"/>
              </w:rPr>
              <w:t xml:space="preserve">（干态）） </w:t>
            </w:r>
          </w:p>
          <w:p w14:paraId="42768E0D">
            <w:pPr>
              <w:spacing w:line="440" w:lineRule="exact"/>
              <w:rPr>
                <w:rFonts w:ascii="宋体" w:hAnsi="宋体" w:cs="宋体"/>
                <w:color w:val="auto"/>
                <w:szCs w:val="21"/>
              </w:rPr>
            </w:pPr>
            <w:r>
              <w:rPr>
                <w:rFonts w:hint="eastAsia" w:ascii="宋体" w:hAnsi="宋体" w:cs="宋体"/>
                <w:color w:val="auto"/>
                <w:szCs w:val="21"/>
              </w:rPr>
              <w:t>mcd• m</w:t>
            </w:r>
            <w:r>
              <w:rPr>
                <w:rFonts w:hint="eastAsia" w:ascii="宋体" w:hAnsi="宋体" w:cs="宋体"/>
                <w:color w:val="auto"/>
                <w:szCs w:val="21"/>
                <w:vertAlign w:val="superscript"/>
              </w:rPr>
              <w:t>-2</w:t>
            </w:r>
            <w:r>
              <w:rPr>
                <w:rFonts w:hint="eastAsia" w:ascii="宋体" w:hAnsi="宋体" w:cs="宋体"/>
                <w:color w:val="auto"/>
                <w:szCs w:val="21"/>
              </w:rPr>
              <w:t>•lx</w:t>
            </w:r>
            <w:r>
              <w:rPr>
                <w:rFonts w:hint="eastAsia" w:ascii="宋体" w:hAnsi="宋体" w:cs="宋体"/>
                <w:color w:val="auto"/>
                <w:szCs w:val="21"/>
                <w:vertAlign w:val="superscript"/>
              </w:rPr>
              <w:t>-1</w:t>
            </w:r>
          </w:p>
        </w:tc>
        <w:tc>
          <w:tcPr>
            <w:tcW w:w="3262" w:type="dxa"/>
            <w:noWrap/>
            <w:vAlign w:val="center"/>
          </w:tcPr>
          <w:p w14:paraId="617A4342">
            <w:pPr>
              <w:spacing w:line="440" w:lineRule="exact"/>
              <w:rPr>
                <w:rFonts w:ascii="宋体" w:hAnsi="宋体" w:cs="宋体"/>
                <w:color w:val="auto"/>
                <w:szCs w:val="21"/>
              </w:rPr>
            </w:pPr>
            <w:r>
              <w:rPr>
                <w:rFonts w:hint="eastAsia" w:ascii="宋体" w:hAnsi="宋体" w:cs="宋体"/>
                <w:color w:val="auto"/>
                <w:szCs w:val="21"/>
              </w:rPr>
              <w:t>交工验收前的任何时间</w:t>
            </w:r>
          </w:p>
        </w:tc>
        <w:tc>
          <w:tcPr>
            <w:tcW w:w="2598" w:type="dxa"/>
            <w:noWrap/>
            <w:vAlign w:val="center"/>
          </w:tcPr>
          <w:p w14:paraId="7F4F6017">
            <w:pPr>
              <w:spacing w:line="440" w:lineRule="exact"/>
              <w:rPr>
                <w:rFonts w:ascii="宋体" w:hAnsi="宋体" w:cs="宋体"/>
                <w:color w:val="auto"/>
                <w:szCs w:val="21"/>
              </w:rPr>
            </w:pPr>
            <w:r>
              <w:rPr>
                <w:rFonts w:hint="eastAsia" w:ascii="宋体" w:hAnsi="宋体" w:cs="宋体"/>
                <w:color w:val="auto"/>
                <w:szCs w:val="21"/>
              </w:rPr>
              <w:t xml:space="preserve">≥150 </w:t>
            </w:r>
          </w:p>
        </w:tc>
      </w:tr>
      <w:tr w14:paraId="6B805B9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35" w:hRule="atLeast"/>
          <w:jc w:val="center"/>
        </w:trPr>
        <w:tc>
          <w:tcPr>
            <w:tcW w:w="2979" w:type="dxa"/>
            <w:vMerge w:val="continue"/>
            <w:noWrap/>
            <w:vAlign w:val="center"/>
          </w:tcPr>
          <w:p w14:paraId="19E8EDBD">
            <w:pPr>
              <w:spacing w:line="440" w:lineRule="exact"/>
              <w:rPr>
                <w:rFonts w:ascii="宋体" w:hAnsi="宋体" w:cs="宋体"/>
                <w:color w:val="auto"/>
                <w:szCs w:val="21"/>
              </w:rPr>
            </w:pPr>
          </w:p>
        </w:tc>
        <w:tc>
          <w:tcPr>
            <w:tcW w:w="3262" w:type="dxa"/>
            <w:noWrap/>
            <w:vAlign w:val="center"/>
          </w:tcPr>
          <w:p w14:paraId="6418CCC9">
            <w:pPr>
              <w:spacing w:line="440" w:lineRule="exact"/>
              <w:rPr>
                <w:rFonts w:ascii="宋体" w:hAnsi="宋体" w:cs="宋体"/>
                <w:color w:val="auto"/>
                <w:szCs w:val="21"/>
              </w:rPr>
            </w:pPr>
            <w:r>
              <w:rPr>
                <w:rFonts w:hint="eastAsia" w:ascii="宋体" w:hAnsi="宋体" w:cs="宋体"/>
                <w:color w:val="auto"/>
                <w:szCs w:val="21"/>
              </w:rPr>
              <w:t>正常使用一年后</w:t>
            </w:r>
          </w:p>
        </w:tc>
        <w:tc>
          <w:tcPr>
            <w:tcW w:w="2598" w:type="dxa"/>
            <w:noWrap/>
            <w:vAlign w:val="center"/>
          </w:tcPr>
          <w:p w14:paraId="5B9EF29D">
            <w:pPr>
              <w:spacing w:line="440" w:lineRule="exact"/>
              <w:rPr>
                <w:rFonts w:ascii="宋体" w:hAnsi="宋体" w:cs="宋体"/>
                <w:color w:val="auto"/>
                <w:szCs w:val="21"/>
              </w:rPr>
            </w:pPr>
            <w:r>
              <w:rPr>
                <w:rFonts w:hint="eastAsia" w:ascii="宋体" w:hAnsi="宋体" w:cs="宋体"/>
                <w:color w:val="auto"/>
                <w:szCs w:val="21"/>
              </w:rPr>
              <w:t>≥80</w:t>
            </w:r>
          </w:p>
        </w:tc>
      </w:tr>
      <w:tr w14:paraId="4E6E9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3" w:hRule="atLeast"/>
          <w:jc w:val="center"/>
        </w:trPr>
        <w:tc>
          <w:tcPr>
            <w:tcW w:w="2979" w:type="dxa"/>
            <w:vMerge w:val="restart"/>
            <w:noWrap/>
            <w:vAlign w:val="center"/>
          </w:tcPr>
          <w:p w14:paraId="058EE424">
            <w:pPr>
              <w:spacing w:line="440" w:lineRule="exact"/>
              <w:rPr>
                <w:rFonts w:ascii="宋体" w:hAnsi="宋体" w:cs="宋体"/>
                <w:color w:val="auto"/>
                <w:szCs w:val="21"/>
              </w:rPr>
            </w:pPr>
          </w:p>
          <w:p w14:paraId="4C492289">
            <w:pPr>
              <w:spacing w:line="440" w:lineRule="exact"/>
              <w:rPr>
                <w:rFonts w:ascii="宋体" w:hAnsi="宋体" w:cs="宋体"/>
                <w:color w:val="auto"/>
                <w:szCs w:val="21"/>
              </w:rPr>
            </w:pPr>
            <w:r>
              <w:rPr>
                <w:rFonts w:hint="eastAsia" w:ascii="宋体" w:hAnsi="宋体" w:cs="宋体"/>
                <w:color w:val="auto"/>
                <w:szCs w:val="21"/>
              </w:rPr>
              <w:t xml:space="preserve">黄色标线RL（干态）） </w:t>
            </w:r>
          </w:p>
          <w:p w14:paraId="01B772C2">
            <w:pPr>
              <w:spacing w:line="440" w:lineRule="exact"/>
              <w:rPr>
                <w:rFonts w:ascii="宋体" w:hAnsi="宋体" w:cs="宋体"/>
                <w:color w:val="auto"/>
                <w:szCs w:val="21"/>
              </w:rPr>
            </w:pPr>
            <w:r>
              <w:rPr>
                <w:rFonts w:hint="eastAsia" w:ascii="宋体" w:hAnsi="宋体" w:cs="宋体"/>
                <w:color w:val="auto"/>
                <w:szCs w:val="21"/>
              </w:rPr>
              <w:t xml:space="preserve">mcd• m-2•lx-1 </w:t>
            </w:r>
          </w:p>
          <w:p w14:paraId="34125673">
            <w:pPr>
              <w:spacing w:line="440" w:lineRule="exact"/>
              <w:rPr>
                <w:rFonts w:ascii="宋体" w:hAnsi="宋体" w:cs="宋体"/>
                <w:color w:val="auto"/>
                <w:szCs w:val="21"/>
              </w:rPr>
            </w:pPr>
          </w:p>
        </w:tc>
        <w:tc>
          <w:tcPr>
            <w:tcW w:w="3262" w:type="dxa"/>
            <w:noWrap/>
            <w:vAlign w:val="center"/>
          </w:tcPr>
          <w:p w14:paraId="652C648A">
            <w:pPr>
              <w:spacing w:line="440" w:lineRule="exact"/>
              <w:rPr>
                <w:rFonts w:ascii="宋体" w:hAnsi="宋体" w:cs="宋体"/>
                <w:color w:val="auto"/>
                <w:szCs w:val="21"/>
              </w:rPr>
            </w:pPr>
            <w:r>
              <w:rPr>
                <w:rFonts w:hint="eastAsia" w:ascii="宋体" w:hAnsi="宋体" w:cs="宋体"/>
                <w:color w:val="auto"/>
                <w:szCs w:val="21"/>
              </w:rPr>
              <w:t>交工验收前的任何时间</w:t>
            </w:r>
          </w:p>
        </w:tc>
        <w:tc>
          <w:tcPr>
            <w:tcW w:w="2598" w:type="dxa"/>
            <w:noWrap/>
            <w:vAlign w:val="center"/>
          </w:tcPr>
          <w:p w14:paraId="284D286C">
            <w:pPr>
              <w:spacing w:line="440" w:lineRule="exact"/>
              <w:rPr>
                <w:rFonts w:ascii="宋体" w:hAnsi="宋体" w:cs="宋体"/>
                <w:color w:val="auto"/>
                <w:szCs w:val="21"/>
              </w:rPr>
            </w:pPr>
            <w:r>
              <w:rPr>
                <w:rFonts w:hint="eastAsia" w:ascii="宋体" w:hAnsi="宋体" w:cs="宋体"/>
                <w:color w:val="auto"/>
                <w:szCs w:val="21"/>
              </w:rPr>
              <w:t>≥100</w:t>
            </w:r>
          </w:p>
        </w:tc>
      </w:tr>
      <w:tr w14:paraId="15EC61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474" w:hRule="atLeast"/>
          <w:jc w:val="center"/>
        </w:trPr>
        <w:tc>
          <w:tcPr>
            <w:tcW w:w="2979" w:type="dxa"/>
            <w:vMerge w:val="continue"/>
            <w:noWrap/>
            <w:vAlign w:val="center"/>
          </w:tcPr>
          <w:p w14:paraId="0350F495">
            <w:pPr>
              <w:spacing w:line="440" w:lineRule="exact"/>
              <w:rPr>
                <w:rFonts w:ascii="宋体" w:hAnsi="宋体" w:cs="宋体"/>
                <w:color w:val="auto"/>
                <w:szCs w:val="21"/>
              </w:rPr>
            </w:pPr>
          </w:p>
        </w:tc>
        <w:tc>
          <w:tcPr>
            <w:tcW w:w="3262" w:type="dxa"/>
            <w:noWrap/>
            <w:vAlign w:val="center"/>
          </w:tcPr>
          <w:p w14:paraId="4CED3D66">
            <w:pPr>
              <w:spacing w:line="440" w:lineRule="exact"/>
              <w:rPr>
                <w:rFonts w:ascii="宋体" w:hAnsi="宋体" w:cs="宋体"/>
                <w:color w:val="auto"/>
                <w:szCs w:val="21"/>
              </w:rPr>
            </w:pPr>
            <w:r>
              <w:rPr>
                <w:rFonts w:hint="eastAsia" w:ascii="宋体" w:hAnsi="宋体" w:cs="宋体"/>
                <w:color w:val="auto"/>
                <w:szCs w:val="21"/>
              </w:rPr>
              <w:t>正常使用一年后</w:t>
            </w:r>
          </w:p>
        </w:tc>
        <w:tc>
          <w:tcPr>
            <w:tcW w:w="2598" w:type="dxa"/>
            <w:noWrap/>
            <w:vAlign w:val="center"/>
          </w:tcPr>
          <w:p w14:paraId="4190B6F9">
            <w:pPr>
              <w:spacing w:line="440" w:lineRule="exact"/>
              <w:rPr>
                <w:rFonts w:ascii="宋体" w:hAnsi="宋体" w:cs="宋体"/>
                <w:color w:val="auto"/>
                <w:szCs w:val="21"/>
              </w:rPr>
            </w:pPr>
            <w:r>
              <w:rPr>
                <w:rFonts w:hint="eastAsia" w:ascii="宋体" w:hAnsi="宋体" w:cs="宋体"/>
                <w:color w:val="auto"/>
                <w:szCs w:val="21"/>
              </w:rPr>
              <w:t>≥50</w:t>
            </w:r>
          </w:p>
        </w:tc>
      </w:tr>
    </w:tbl>
    <w:p w14:paraId="2E80AF0C">
      <w:pPr>
        <w:spacing w:line="440" w:lineRule="exact"/>
        <w:rPr>
          <w:rFonts w:ascii="宋体" w:hAnsi="宋体" w:cs="宋体"/>
          <w:color w:val="auto"/>
          <w:szCs w:val="21"/>
        </w:rPr>
      </w:pPr>
      <w:r>
        <w:rPr>
          <w:rFonts w:hint="eastAsia" w:ascii="宋体" w:hAnsi="宋体" w:cs="宋体"/>
          <w:b/>
          <w:bCs/>
          <w:color w:val="auto"/>
          <w:szCs w:val="21"/>
        </w:rPr>
        <w:t xml:space="preserve">4  </w:t>
      </w:r>
      <w:bookmarkEnd w:id="286"/>
      <w:r>
        <w:rPr>
          <w:rFonts w:hint="eastAsia" w:ascii="宋体" w:hAnsi="宋体" w:cs="宋体"/>
          <w:color w:val="auto"/>
          <w:szCs w:val="21"/>
        </w:rPr>
        <w:t>.</w:t>
      </w:r>
      <w:r>
        <w:rPr>
          <w:rFonts w:hint="eastAsia" w:ascii="宋体" w:hAnsi="宋体" w:cs="宋体"/>
          <w:b/>
          <w:color w:val="auto"/>
          <w:szCs w:val="21"/>
        </w:rPr>
        <w:t>交（竣）工验收前对标线质量（包括逆反射亮度系数）进行验证性检测，白色反光标线的逆反射亮度系数不得低于80mcd.m-2.lx-1，黄色反光标线的逆反射亮度系数不得低于 50mcd.m-2.lx-1。不满足的，一律返工处理。</w:t>
      </w:r>
    </w:p>
    <w:p w14:paraId="64AA06B9">
      <w:pPr>
        <w:spacing w:line="400" w:lineRule="exact"/>
        <w:ind w:firstLine="420" w:firstLineChars="200"/>
        <w:rPr>
          <w:rFonts w:ascii="宋体" w:hAnsi="宋体" w:cs="宋体"/>
          <w:color w:val="auto"/>
          <w:szCs w:val="21"/>
        </w:rPr>
      </w:pPr>
    </w:p>
    <w:p w14:paraId="5B4C25E5">
      <w:pPr>
        <w:pStyle w:val="232"/>
        <w:spacing w:line="440" w:lineRule="exact"/>
        <w:ind w:firstLine="420" w:firstLineChars="200"/>
        <w:rPr>
          <w:rFonts w:ascii="宋体" w:hAnsi="宋体" w:cs="宋体"/>
          <w:color w:val="auto"/>
        </w:rPr>
      </w:pPr>
    </w:p>
    <w:sectPr>
      <w:headerReference r:id="rId23" w:type="first"/>
      <w:headerReference r:id="rId22" w:type="default"/>
      <w:footerReference r:id="rId24" w:type="default"/>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6737B43-C9FC-4681-A899-4F22963A07F7}"/>
  </w:font>
  <w:font w:name="黑体">
    <w:panose1 w:val="02010609060101010101"/>
    <w:charset w:val="86"/>
    <w:family w:val="auto"/>
    <w:pitch w:val="default"/>
    <w:sig w:usb0="800002BF" w:usb1="38CF7CFA" w:usb2="00000016" w:usb3="00000000" w:csb0="00040001" w:csb1="00000000"/>
    <w:embedRegular r:id="rId2" w:fontKey="{499B0D85-6CBA-49E0-8A55-39D40F19A4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C148845-3402-495E-B54F-0CABD128EA4E}"/>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New Roman)">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embedRegular r:id="rId4" w:fontKey="{ECF3EE07-2E23-496E-B9DB-7AFAF6A5B6E6}"/>
  </w:font>
  <w:font w:name="宋体正文">
    <w:altName w:val="宋体"/>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MS Mincho">
    <w:panose1 w:val="02020609040205080304"/>
    <w:charset w:val="80"/>
    <w:family w:val="modern"/>
    <w:pitch w:val="default"/>
    <w:sig w:usb0="A00002BF" w:usb1="68C7FCFB" w:usb2="00000010" w:usb3="00000000" w:csb0="4002009F" w:csb1="DFD70000"/>
    <w:embedRegular r:id="rId5" w:fontKey="{43A71A94-4352-4576-91AE-3BF2EE9FCB9D}"/>
  </w:font>
  <w:font w:name="Wingdings 2">
    <w:panose1 w:val="05020102010507070707"/>
    <w:charset w:val="02"/>
    <w:family w:val="roman"/>
    <w:pitch w:val="default"/>
    <w:sig w:usb0="00000000" w:usb1="00000000" w:usb2="00000000" w:usb3="00000000" w:csb0="80000000" w:csb1="00000000"/>
    <w:embedRegular r:id="rId6" w:fontKey="{AD4CD55E-4F50-46F3-9B49-46A854E436A9}"/>
  </w:font>
  <w:font w:name="WPSEMBED1">
    <w:panose1 w:val="02020609040205080304"/>
    <w:charset w:val="80"/>
    <w:family w:val="auto"/>
    <w:pitch w:val="default"/>
    <w:sig w:usb0="A00002BF" w:usb1="68C7FCFB" w:usb2="00000010" w:usb3="00000000" w:csb0="4002009F" w:csb1="DFD70000"/>
  </w:font>
  <w:font w:name="KSOF6B657194">
    <w:panose1 w:val="02020500000000000000"/>
    <w:charset w:val="88"/>
    <w:family w:val="auto"/>
    <w:pitch w:val="default"/>
    <w:sig w:usb0="00000001" w:usb1="00000000" w:usb2="00000000" w:usb3="00000000" w:csb0="00100001" w:csb1="00000000"/>
  </w:font>
  <w:font w:name="WPSEMBED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61CA2">
    <w:pPr>
      <w:pStyle w:val="33"/>
      <w:tabs>
        <w:tab w:val="center" w:pos="4439"/>
        <w:tab w:val="clear" w:pos="4153"/>
      </w:tabs>
      <w:jc w:val="both"/>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95922">
    <w:pPr>
      <w:pStyle w:val="33"/>
    </w:pPr>
    <w:r>
      <w:pict>
        <v:shape id="_x0000_s3081" o:spid="_x0000_s3081"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path/>
          <v:fill on="f" focussize="0,0"/>
          <v:stroke on="f" weight="0.5pt" joinstyle="miter"/>
          <v:imagedata o:title=""/>
          <o:lock v:ext="edit"/>
          <v:textbox inset="0mm,0mm,0mm,0mm" style="mso-fit-shape-to-text:t;">
            <w:txbxContent>
              <w:p w14:paraId="69E202F3">
                <w:pPr>
                  <w:pStyle w:val="33"/>
                </w:pPr>
                <w:r>
                  <w:fldChar w:fldCharType="begin"/>
                </w:r>
                <w:r>
                  <w:instrText xml:space="preserve"> PAGE  \* MERGEFORMAT </w:instrText>
                </w:r>
                <w:r>
                  <w:fldChar w:fldCharType="separate"/>
                </w:r>
                <w:r>
                  <w:t>131</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B1EEB">
    <w:pPr>
      <w:pStyle w:val="33"/>
    </w:pPr>
    <w:r>
      <w:pict>
        <v:shape id="_x0000_s3080" o:spid="_x0000_s3080"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path/>
          <v:fill on="f" focussize="0,0"/>
          <v:stroke on="f" weight="0.5pt" joinstyle="miter"/>
          <v:imagedata o:title=""/>
          <o:lock v:ext="edit"/>
          <v:textbox inset="0mm,0mm,0mm,0mm" style="mso-fit-shape-to-text:t;">
            <w:txbxContent>
              <w:p w14:paraId="28E220C2">
                <w:pPr>
                  <w:pStyle w:val="33"/>
                </w:pPr>
                <w:r>
                  <w:fldChar w:fldCharType="begin"/>
                </w:r>
                <w:r>
                  <w:instrText xml:space="preserve"> PAGE  \* MERGEFORMAT </w:instrText>
                </w:r>
                <w:r>
                  <w:fldChar w:fldCharType="separate"/>
                </w:r>
                <w:r>
                  <w:t>132</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EB77E">
    <w:pPr>
      <w:pStyle w:val="33"/>
    </w:pPr>
    <w:r>
      <w:pict>
        <v:shape id="_x0000_s3079" o:spid="_x0000_s3079"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path/>
          <v:fill on="f" focussize="0,0"/>
          <v:stroke on="f" weight="0.5pt" joinstyle="miter"/>
          <v:imagedata o:title=""/>
          <o:lock v:ext="edit"/>
          <v:textbox inset="0mm,0mm,0mm,0mm" style="mso-fit-shape-to-text:t;">
            <w:txbxContent>
              <w:p w14:paraId="35F24EEC">
                <w:pPr>
                  <w:pStyle w:val="33"/>
                </w:pPr>
                <w:r>
                  <w:fldChar w:fldCharType="begin"/>
                </w:r>
                <w:r>
                  <w:instrText xml:space="preserve"> PAGE  \* MERGEFORMAT </w:instrText>
                </w:r>
                <w:r>
                  <w:fldChar w:fldCharType="separate"/>
                </w:r>
                <w:r>
                  <w:t>133</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1B04C">
    <w:pPr>
      <w:pStyle w:val="33"/>
    </w:pPr>
    <w:r>
      <w:pict>
        <v:shape id="_x0000_s3078" o:spid="_x0000_s3078"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path/>
          <v:fill on="f" focussize="0,0"/>
          <v:stroke on="f" weight="0.5pt" joinstyle="miter"/>
          <v:imagedata o:title=""/>
          <o:lock v:ext="edit"/>
          <v:textbox inset="0mm,0mm,0mm,0mm" style="mso-fit-shape-to-text:t;">
            <w:txbxContent>
              <w:p w14:paraId="7334AC00">
                <w:pPr>
                  <w:pStyle w:val="33"/>
                </w:pPr>
                <w:r>
                  <w:fldChar w:fldCharType="begin"/>
                </w:r>
                <w:r>
                  <w:instrText xml:space="preserve"> PAGE  \* MERGEFORMAT </w:instrText>
                </w:r>
                <w:r>
                  <w:fldChar w:fldCharType="separate"/>
                </w:r>
                <w:r>
                  <w:t>134</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0EE88">
    <w:pPr>
      <w:pStyle w:val="33"/>
    </w:pPr>
    <w:r>
      <w:pict>
        <v:shape id="_x0000_s3077" o:spid="_x0000_s3077"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path/>
          <v:fill on="f" focussize="0,0"/>
          <v:stroke on="f" weight="0.5pt" joinstyle="miter"/>
          <v:imagedata o:title=""/>
          <o:lock v:ext="edit"/>
          <v:textbox inset="0mm,0mm,0mm,0mm" style="mso-fit-shape-to-text:t;">
            <w:txbxContent>
              <w:p w14:paraId="0A1EF109">
                <w:pPr>
                  <w:pStyle w:val="33"/>
                </w:pPr>
                <w:r>
                  <w:fldChar w:fldCharType="begin"/>
                </w:r>
                <w:r>
                  <w:instrText xml:space="preserve"> PAGE  \* MERGEFORMAT </w:instrText>
                </w:r>
                <w:r>
                  <w:fldChar w:fldCharType="separate"/>
                </w:r>
                <w:r>
                  <w:t>136</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344E3">
    <w:pPr>
      <w:pStyle w:val="33"/>
      <w:jc w:val="center"/>
    </w:pPr>
    <w:r>
      <w:pict>
        <v:shape id="_x0000_s3075" o:spid="_x0000_s3075"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path/>
          <v:fill on="f" focussize="0,0"/>
          <v:stroke on="f" weight="0.5pt" joinstyle="miter"/>
          <v:imagedata o:title=""/>
          <o:lock v:ext="edit"/>
          <v:textbox inset="0mm,0mm,0mm,0mm" style="mso-fit-shape-to-text:t;">
            <w:txbxContent>
              <w:p w14:paraId="615CF854">
                <w:pPr>
                  <w:pStyle w:val="33"/>
                </w:pPr>
                <w:r>
                  <w:fldChar w:fldCharType="begin"/>
                </w:r>
                <w:r>
                  <w:instrText xml:space="preserve"> PAGE  \* MERGEFORMAT </w:instrText>
                </w:r>
                <w:r>
                  <w:fldChar w:fldCharType="separate"/>
                </w:r>
                <w:r>
                  <w:t>158</w:t>
                </w:r>
                <w:r>
                  <w:fldChar w:fldCharType="end"/>
                </w:r>
              </w:p>
            </w:txbxContent>
          </v:textbox>
        </v:shape>
      </w:pict>
    </w:r>
  </w:p>
  <w:p w14:paraId="576716D7">
    <w:pPr>
      <w:pStyle w:val="33"/>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10CA6">
    <w:pPr>
      <w:pStyle w:val="33"/>
    </w:pPr>
    <w:r>
      <w:pict>
        <v:shape id="_x0000_s3076" o:spid="_x0000_s307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path/>
          <v:fill on="f" focussize="0,0"/>
          <v:stroke on="f" weight="0.5pt" joinstyle="miter"/>
          <v:imagedata o:title=""/>
          <o:lock v:ext="edit"/>
          <v:textbox inset="0mm,0mm,0mm,0mm" style="mso-fit-shape-to-text:t;">
            <w:txbxContent>
              <w:p w14:paraId="6C56A2EE">
                <w:pPr>
                  <w:pStyle w:val="33"/>
                </w:pPr>
                <w:r>
                  <w:fldChar w:fldCharType="begin"/>
                </w:r>
                <w:r>
                  <w:instrText xml:space="preserve"> PAGE  \* MERGEFORMAT </w:instrText>
                </w:r>
                <w:r>
                  <w:fldChar w:fldCharType="separate"/>
                </w:r>
                <w:r>
                  <w:t>159</w:t>
                </w:r>
                <w: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71B51">
    <w:pPr>
      <w:pStyle w:val="33"/>
    </w:pPr>
    <w:r>
      <w:pict>
        <v:shape id="_x0000_s3074" o:spid="_x0000_s3074"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path/>
          <v:fill on="f" focussize="0,0"/>
          <v:stroke on="f" weight="0.5pt" joinstyle="miter"/>
          <v:imagedata o:title=""/>
          <o:lock v:ext="edit"/>
          <v:textbox inset="0mm,0mm,0mm,0mm" style="mso-fit-shape-to-text:t;">
            <w:txbxContent>
              <w:p w14:paraId="7E2A0DFA">
                <w:pPr>
                  <w:pStyle w:val="33"/>
                </w:pPr>
                <w:r>
                  <w:fldChar w:fldCharType="begin"/>
                </w:r>
                <w:r>
                  <w:instrText xml:space="preserve"> PAGE  \* MERGEFORMAT </w:instrText>
                </w:r>
                <w:r>
                  <w:fldChar w:fldCharType="separate"/>
                </w:r>
                <w:r>
                  <w:t>165</w:t>
                </w:r>
                <w:r>
                  <w:fldChar w:fldCharType="end"/>
                </w:r>
              </w:p>
            </w:txbxContent>
          </v:textbox>
        </v:shape>
      </w:pict>
    </w:r>
    <w: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path/>
          <v:fill on="f" focussize="0,0"/>
          <v:stroke on="f" weight="0.5pt" joinstyle="miter"/>
          <v:imagedata o:title=""/>
          <o:lock v:ext="edit"/>
          <v:textbox inset="0mm,0mm,0mm,0mm" style="mso-fit-shape-to-text:t;">
            <w:txbxContent>
              <w:p w14:paraId="620978FA">
                <w:pPr>
                  <w:pStyle w:val="33"/>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A2535">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05118">
    <w:pPr>
      <w:pStyle w:val="33"/>
      <w:tabs>
        <w:tab w:val="center" w:pos="4439"/>
        <w:tab w:val="clear" w:pos="4153"/>
      </w:tabs>
    </w:pPr>
    <w:r>
      <w:pict>
        <v:shape id="Text Box 4100"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kFT5rQAAAAAwEAAA8AAAAAAAAAAQAgAAAAIgAAAGRycy9kb3ducmV2LnhtbFBL&#10;AQIUABQAAAAIAIdO4kD0mXjz/gEAABIEAAAOAAAAAAAAAAEAIAAAAB8BAABkcnMvZTJvRG9jLnht&#10;bFBLBQYAAAAABgAGAFkBAACPBQAAAAA=&#10;">
          <v:path/>
          <v:fill on="f" focussize="0,0"/>
          <v:stroke on="f" joinstyle="miter"/>
          <v:imagedata o:title=""/>
          <o:lock v:ext="edit"/>
          <v:textbox inset="0mm,0mm,0mm,0mm" style="mso-fit-shape-to-text:t;">
            <w:txbxContent>
              <w:p w14:paraId="767A234D"/>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60F2D">
    <w:pPr>
      <w:pStyle w:val="33"/>
      <w:tabs>
        <w:tab w:val="center" w:pos="4439"/>
        <w:tab w:val="clear" w:pos="4153"/>
      </w:tabs>
      <w:jc w:val="both"/>
    </w:pPr>
    <w:r>
      <w:pict>
        <v:shape id="_x0000_s3086" o:spid="_x0000_s308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path/>
          <v:fill on="f" focussize="0,0"/>
          <v:stroke on="f" weight="0.5pt" joinstyle="miter"/>
          <v:imagedata o:title=""/>
          <o:lock v:ext="edit"/>
          <v:textbox inset="0mm,0mm,0mm,0mm" style="mso-fit-shape-to-text:t;">
            <w:txbxContent>
              <w:p w14:paraId="4ED5B1CA">
                <w:pPr>
                  <w:pStyle w:val="33"/>
                </w:pPr>
                <w:r>
                  <w:fldChar w:fldCharType="begin"/>
                </w:r>
                <w:r>
                  <w:instrText xml:space="preserve"> PAGE  \* MERGEFORMAT </w:instrText>
                </w:r>
                <w:r>
                  <w:fldChar w:fldCharType="separate"/>
                </w:r>
                <w:r>
                  <w:t>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0EFD8">
    <w:pPr>
      <w:pStyle w:val="33"/>
      <w:tabs>
        <w:tab w:val="center" w:pos="4439"/>
        <w:tab w:val="clear" w:pos="4153"/>
      </w:tabs>
    </w:pPr>
    <w:r>
      <w:pict>
        <v:shape id="_x0000_s3088" o:spid="_x0000_s3088"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path/>
          <v:fill on="f" focussize="0,0"/>
          <v:stroke on="f" weight="0.5pt" joinstyle="miter"/>
          <v:imagedata o:title=""/>
          <o:lock v:ext="edit"/>
          <v:textbox inset="0mm,0mm,0mm,0mm" style="mso-fit-shape-to-text:t;">
            <w:txbxContent>
              <w:p w14:paraId="5DF58C64">
                <w:pPr>
                  <w:pStyle w:val="33"/>
                </w:pPr>
                <w:r>
                  <w:fldChar w:fldCharType="begin"/>
                </w:r>
                <w:r>
                  <w:instrText xml:space="preserve"> PAGE  \* MERGEFORMAT </w:instrText>
                </w:r>
                <w:r>
                  <w:fldChar w:fldCharType="separate"/>
                </w:r>
                <w:r>
                  <w:t>1</w:t>
                </w:r>
                <w:r>
                  <w:fldChar w:fldCharType="end"/>
                </w:r>
              </w:p>
            </w:txbxContent>
          </v:textbox>
        </v:shape>
      </w:pict>
    </w:r>
    <w:r>
      <w:pict>
        <v:shape id="_x0000_s3087" o:spid="_x0000_s3087"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kFT5rQAAAAAwEAAA8AAAAAAAAAAQAgAAAAIgAAAGRycy9kb3ducmV2LnhtbFBL&#10;AQIUABQAAAAIAIdO4kD6+TO0/gEAABMEAAAOAAAAAAAAAAEAIAAAAB8BAABkcnMvZTJvRG9jLnht&#10;bFBLBQYAAAAABgAGAFkBAACPBQAAAAA=&#10;">
          <v:path/>
          <v:fill on="f" focussize="0,0"/>
          <v:stroke on="f" joinstyle="miter"/>
          <v:imagedata o:title=""/>
          <o:lock v:ext="edit"/>
          <v:textbox inset="0mm,0mm,0mm,0mm" style="mso-fit-shape-to-text:t;">
            <w:txbxContent>
              <w:p w14:paraId="0CD46B68"/>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5949F">
    <w:pPr>
      <w:spacing w:line="184" w:lineRule="auto"/>
      <w:ind w:left="4231"/>
      <w:rPr>
        <w:rFonts w:eastAsia="Times New Roman"/>
        <w:sz w:val="19"/>
        <w:szCs w:val="19"/>
      </w:rPr>
    </w:pPr>
    <w:r>
      <w:rPr>
        <w:sz w:val="19"/>
      </w:rPr>
      <w:pict>
        <v:shape id="_x0000_s3085" o:spid="_x0000_s3085"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path/>
          <v:fill on="f" focussize="0,0"/>
          <v:stroke on="f" weight="0.5pt" joinstyle="miter"/>
          <v:imagedata o:title=""/>
          <o:lock v:ext="edit"/>
          <v:textbox inset="0mm,0mm,0mm,0mm" style="mso-fit-shape-to-text:t;">
            <w:txbxContent>
              <w:p w14:paraId="6C827611">
                <w:pPr>
                  <w:pStyle w:val="33"/>
                </w:pPr>
                <w:r>
                  <w:fldChar w:fldCharType="begin"/>
                </w:r>
                <w:r>
                  <w:instrText xml:space="preserve"> PAGE  \* MERGEFORMAT </w:instrText>
                </w:r>
                <w:r>
                  <w:fldChar w:fldCharType="separate"/>
                </w:r>
                <w:r>
                  <w:t>6</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88010">
    <w:pPr>
      <w:pStyle w:val="33"/>
    </w:pPr>
    <w:r>
      <w:pict>
        <v:shape id="_x0000_s3084" o:spid="_x0000_s3084"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path/>
          <v:fill on="f" focussize="0,0"/>
          <v:stroke on="f" weight="0.5pt" joinstyle="miter"/>
          <v:imagedata o:title=""/>
          <o:lock v:ext="edit"/>
          <v:textbox inset="0mm,0mm,0mm,0mm" style="mso-fit-shape-to-text:t;">
            <w:txbxContent>
              <w:p w14:paraId="43A909AD">
                <w:pPr>
                  <w:pStyle w:val="33"/>
                </w:pPr>
                <w:r>
                  <w:fldChar w:fldCharType="begin"/>
                </w:r>
                <w:r>
                  <w:instrText xml:space="preserve"> PAGE  \* MERGEFORMAT </w:instrText>
                </w:r>
                <w:r>
                  <w:fldChar w:fldCharType="separate"/>
                </w:r>
                <w:r>
                  <w:t>126</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87150">
    <w:pPr>
      <w:pStyle w:val="33"/>
    </w:pPr>
    <w:r>
      <w:pict>
        <v:shape id="_x0000_s3083" o:spid="_x0000_s3083"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path/>
          <v:fill on="f" focussize="0,0"/>
          <v:stroke on="f" weight="0.5pt" joinstyle="miter"/>
          <v:imagedata o:title=""/>
          <o:lock v:ext="edit"/>
          <v:textbox inset="0mm,0mm,0mm,0mm" style="mso-fit-shape-to-text:t;">
            <w:txbxContent>
              <w:p w14:paraId="41C808A1">
                <w:pPr>
                  <w:pStyle w:val="33"/>
                </w:pPr>
                <w:r>
                  <w:fldChar w:fldCharType="begin"/>
                </w:r>
                <w:r>
                  <w:instrText xml:space="preserve"> PAGE  \* MERGEFORMAT </w:instrText>
                </w:r>
                <w:r>
                  <w:fldChar w:fldCharType="separate"/>
                </w:r>
                <w:r>
                  <w:t>128</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9DB34">
    <w:pPr>
      <w:pStyle w:val="33"/>
    </w:pPr>
    <w:r>
      <w:pict>
        <v:shape id="_x0000_s3082" o:spid="_x0000_s3082"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path/>
          <v:fill on="f" focussize="0,0"/>
          <v:stroke on="f" weight="0.5pt" joinstyle="miter"/>
          <v:imagedata o:title=""/>
          <o:lock v:ext="edit"/>
          <v:textbox inset="0mm,0mm,0mm,0mm" style="mso-fit-shape-to-text:t;">
            <w:txbxContent>
              <w:p w14:paraId="1600B281">
                <w:pPr>
                  <w:pStyle w:val="33"/>
                </w:pPr>
                <w:r>
                  <w:fldChar w:fldCharType="begin"/>
                </w:r>
                <w:r>
                  <w:instrText xml:space="preserve"> PAGE  \* MERGEFORMAT </w:instrText>
                </w:r>
                <w:r>
                  <w:fldChar w:fldCharType="separate"/>
                </w:r>
                <w:r>
                  <w:t>130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03C8C">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D3CE1">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F5001">
    <w:pPr>
      <w:pStyle w:val="3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5F5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46E04">
    <w:pPr>
      <w:pStyle w:val="3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BA8B94"/>
    <w:multiLevelType w:val="singleLevel"/>
    <w:tmpl w:val="A6BA8B94"/>
    <w:lvl w:ilvl="0" w:tentative="0">
      <w:start w:val="3"/>
      <w:numFmt w:val="decimal"/>
      <w:lvlText w:val="%1."/>
      <w:lvlJc w:val="left"/>
      <w:pPr>
        <w:tabs>
          <w:tab w:val="left" w:pos="312"/>
        </w:tabs>
      </w:pPr>
    </w:lvl>
  </w:abstractNum>
  <w:abstractNum w:abstractNumId="1">
    <w:nsid w:val="00000020"/>
    <w:multiLevelType w:val="singleLevel"/>
    <w:tmpl w:val="00000020"/>
    <w:lvl w:ilvl="0" w:tentative="0">
      <w:start w:val="5"/>
      <w:numFmt w:val="decimal"/>
      <w:suff w:val="nothing"/>
      <w:lvlText w:val="%1."/>
      <w:lvlJc w:val="left"/>
    </w:lvl>
  </w:abstractNum>
  <w:abstractNum w:abstractNumId="2">
    <w:nsid w:val="324499CC"/>
    <w:multiLevelType w:val="singleLevel"/>
    <w:tmpl w:val="324499CC"/>
    <w:lvl w:ilvl="0" w:tentative="0">
      <w:start w:val="2"/>
      <w:numFmt w:val="decimal"/>
      <w:suff w:val="nothing"/>
      <w:lvlText w:val="（%1）"/>
      <w:lvlJc w:val="left"/>
    </w:lvl>
  </w:abstractNum>
  <w:abstractNum w:abstractNumId="3">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4">
    <w:nsid w:val="7D074E7A"/>
    <w:multiLevelType w:val="singleLevel"/>
    <w:tmpl w:val="7D074E7A"/>
    <w:lvl w:ilvl="0" w:tentative="0">
      <w:start w:val="1"/>
      <w:numFmt w:val="chineseCounting"/>
      <w:suff w:val="nothing"/>
      <w:lvlText w:val="%1、"/>
      <w:lvlJc w:val="left"/>
      <w:rPr>
        <w:rFonts w:hint="eastAsi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UwNTQ2OWQwODI0MGFmY2M2ZGIxZDZkZWYzNDVjNDAifQ=="/>
  </w:docVars>
  <w:rsids>
    <w:rsidRoot w:val="00F34B14"/>
    <w:rsid w:val="000002E0"/>
    <w:rsid w:val="00000672"/>
    <w:rsid w:val="00000C53"/>
    <w:rsid w:val="00000E69"/>
    <w:rsid w:val="00000FD7"/>
    <w:rsid w:val="00001013"/>
    <w:rsid w:val="00001245"/>
    <w:rsid w:val="00001799"/>
    <w:rsid w:val="00001AF2"/>
    <w:rsid w:val="00001CA1"/>
    <w:rsid w:val="00001ECA"/>
    <w:rsid w:val="00002480"/>
    <w:rsid w:val="00002D29"/>
    <w:rsid w:val="00002DA0"/>
    <w:rsid w:val="0000347E"/>
    <w:rsid w:val="00003B93"/>
    <w:rsid w:val="0000474D"/>
    <w:rsid w:val="0000529E"/>
    <w:rsid w:val="000057F8"/>
    <w:rsid w:val="00005FDF"/>
    <w:rsid w:val="0000644A"/>
    <w:rsid w:val="00006D8A"/>
    <w:rsid w:val="00007081"/>
    <w:rsid w:val="000070B3"/>
    <w:rsid w:val="000076B8"/>
    <w:rsid w:val="00007AE6"/>
    <w:rsid w:val="0001010E"/>
    <w:rsid w:val="000109DC"/>
    <w:rsid w:val="00010B01"/>
    <w:rsid w:val="00010D39"/>
    <w:rsid w:val="0001172C"/>
    <w:rsid w:val="00011BC9"/>
    <w:rsid w:val="00012854"/>
    <w:rsid w:val="00012D72"/>
    <w:rsid w:val="00012EA6"/>
    <w:rsid w:val="00013359"/>
    <w:rsid w:val="000139CF"/>
    <w:rsid w:val="00013AA4"/>
    <w:rsid w:val="00013DFE"/>
    <w:rsid w:val="000141EA"/>
    <w:rsid w:val="00015111"/>
    <w:rsid w:val="000151DB"/>
    <w:rsid w:val="00015239"/>
    <w:rsid w:val="00015C28"/>
    <w:rsid w:val="000163AB"/>
    <w:rsid w:val="0001657F"/>
    <w:rsid w:val="0001658C"/>
    <w:rsid w:val="00016ABC"/>
    <w:rsid w:val="00016C68"/>
    <w:rsid w:val="000177DB"/>
    <w:rsid w:val="000179C9"/>
    <w:rsid w:val="00017CCC"/>
    <w:rsid w:val="00020227"/>
    <w:rsid w:val="00020263"/>
    <w:rsid w:val="000202AC"/>
    <w:rsid w:val="00020455"/>
    <w:rsid w:val="00020813"/>
    <w:rsid w:val="00020A9E"/>
    <w:rsid w:val="00020C36"/>
    <w:rsid w:val="000215D0"/>
    <w:rsid w:val="00021F52"/>
    <w:rsid w:val="00021FCF"/>
    <w:rsid w:val="000220B2"/>
    <w:rsid w:val="0002264C"/>
    <w:rsid w:val="00022731"/>
    <w:rsid w:val="00022792"/>
    <w:rsid w:val="00023287"/>
    <w:rsid w:val="00023A6D"/>
    <w:rsid w:val="00024292"/>
    <w:rsid w:val="0002438A"/>
    <w:rsid w:val="00024463"/>
    <w:rsid w:val="00025461"/>
    <w:rsid w:val="00025636"/>
    <w:rsid w:val="00025E36"/>
    <w:rsid w:val="000260F7"/>
    <w:rsid w:val="000260FF"/>
    <w:rsid w:val="00026855"/>
    <w:rsid w:val="00026886"/>
    <w:rsid w:val="000273DE"/>
    <w:rsid w:val="0002754F"/>
    <w:rsid w:val="0002785D"/>
    <w:rsid w:val="00030544"/>
    <w:rsid w:val="000307BE"/>
    <w:rsid w:val="00030A7E"/>
    <w:rsid w:val="000317BF"/>
    <w:rsid w:val="000321AB"/>
    <w:rsid w:val="00032633"/>
    <w:rsid w:val="000329E0"/>
    <w:rsid w:val="000336D0"/>
    <w:rsid w:val="000351A2"/>
    <w:rsid w:val="000352E9"/>
    <w:rsid w:val="00035494"/>
    <w:rsid w:val="00035ECF"/>
    <w:rsid w:val="00036125"/>
    <w:rsid w:val="00036A07"/>
    <w:rsid w:val="0003780B"/>
    <w:rsid w:val="00037C41"/>
    <w:rsid w:val="00040571"/>
    <w:rsid w:val="00040973"/>
    <w:rsid w:val="0004156E"/>
    <w:rsid w:val="00041713"/>
    <w:rsid w:val="0004212E"/>
    <w:rsid w:val="00042A19"/>
    <w:rsid w:val="00042B32"/>
    <w:rsid w:val="00042EE8"/>
    <w:rsid w:val="000434FD"/>
    <w:rsid w:val="000439AA"/>
    <w:rsid w:val="0004440C"/>
    <w:rsid w:val="00046B5E"/>
    <w:rsid w:val="000470CB"/>
    <w:rsid w:val="000479D5"/>
    <w:rsid w:val="000501AA"/>
    <w:rsid w:val="000504A6"/>
    <w:rsid w:val="000506DE"/>
    <w:rsid w:val="000509D9"/>
    <w:rsid w:val="00051006"/>
    <w:rsid w:val="00051165"/>
    <w:rsid w:val="000512AF"/>
    <w:rsid w:val="000516F3"/>
    <w:rsid w:val="00051ACB"/>
    <w:rsid w:val="00052E40"/>
    <w:rsid w:val="000531EC"/>
    <w:rsid w:val="000533E7"/>
    <w:rsid w:val="00053B29"/>
    <w:rsid w:val="00054B4B"/>
    <w:rsid w:val="000550E8"/>
    <w:rsid w:val="00055519"/>
    <w:rsid w:val="00055D41"/>
    <w:rsid w:val="000560DE"/>
    <w:rsid w:val="00056EF6"/>
    <w:rsid w:val="000575CF"/>
    <w:rsid w:val="00057CD6"/>
    <w:rsid w:val="00060D7F"/>
    <w:rsid w:val="00060DCE"/>
    <w:rsid w:val="000610E3"/>
    <w:rsid w:val="00061143"/>
    <w:rsid w:val="000614F3"/>
    <w:rsid w:val="00061A1B"/>
    <w:rsid w:val="00061EB4"/>
    <w:rsid w:val="000623B4"/>
    <w:rsid w:val="00062405"/>
    <w:rsid w:val="000627E5"/>
    <w:rsid w:val="000628B7"/>
    <w:rsid w:val="00062EC2"/>
    <w:rsid w:val="0006347E"/>
    <w:rsid w:val="000634A7"/>
    <w:rsid w:val="00063B0B"/>
    <w:rsid w:val="00063F81"/>
    <w:rsid w:val="00064847"/>
    <w:rsid w:val="00065E08"/>
    <w:rsid w:val="00065E2D"/>
    <w:rsid w:val="00066AD9"/>
    <w:rsid w:val="00066D2E"/>
    <w:rsid w:val="000673E2"/>
    <w:rsid w:val="00067EF1"/>
    <w:rsid w:val="00070378"/>
    <w:rsid w:val="0007037E"/>
    <w:rsid w:val="0007063F"/>
    <w:rsid w:val="000707FD"/>
    <w:rsid w:val="00070949"/>
    <w:rsid w:val="00070C0E"/>
    <w:rsid w:val="000711E4"/>
    <w:rsid w:val="00071E9B"/>
    <w:rsid w:val="000720A1"/>
    <w:rsid w:val="000724D9"/>
    <w:rsid w:val="00072AED"/>
    <w:rsid w:val="00073F47"/>
    <w:rsid w:val="0007492F"/>
    <w:rsid w:val="00074B5B"/>
    <w:rsid w:val="00074BC7"/>
    <w:rsid w:val="00074ED8"/>
    <w:rsid w:val="00075B7E"/>
    <w:rsid w:val="00076852"/>
    <w:rsid w:val="00076D70"/>
    <w:rsid w:val="00077ACA"/>
    <w:rsid w:val="00077C70"/>
    <w:rsid w:val="00080C87"/>
    <w:rsid w:val="00080CFB"/>
    <w:rsid w:val="000813B5"/>
    <w:rsid w:val="000813E7"/>
    <w:rsid w:val="0008191E"/>
    <w:rsid w:val="00081BA3"/>
    <w:rsid w:val="00081D2E"/>
    <w:rsid w:val="00081F89"/>
    <w:rsid w:val="00082619"/>
    <w:rsid w:val="00082CDE"/>
    <w:rsid w:val="00082D02"/>
    <w:rsid w:val="0008381A"/>
    <w:rsid w:val="00083871"/>
    <w:rsid w:val="00083B91"/>
    <w:rsid w:val="0008473C"/>
    <w:rsid w:val="00084E4F"/>
    <w:rsid w:val="00085193"/>
    <w:rsid w:val="0008520B"/>
    <w:rsid w:val="0008527B"/>
    <w:rsid w:val="000857DE"/>
    <w:rsid w:val="000860BD"/>
    <w:rsid w:val="000871B8"/>
    <w:rsid w:val="00087B0A"/>
    <w:rsid w:val="00090339"/>
    <w:rsid w:val="00091373"/>
    <w:rsid w:val="000916DA"/>
    <w:rsid w:val="00091AAB"/>
    <w:rsid w:val="00092442"/>
    <w:rsid w:val="000929EF"/>
    <w:rsid w:val="00092C26"/>
    <w:rsid w:val="00092EC0"/>
    <w:rsid w:val="000933BE"/>
    <w:rsid w:val="00094428"/>
    <w:rsid w:val="000944FC"/>
    <w:rsid w:val="00094F71"/>
    <w:rsid w:val="0009560F"/>
    <w:rsid w:val="0009588E"/>
    <w:rsid w:val="000959ED"/>
    <w:rsid w:val="000959EE"/>
    <w:rsid w:val="00096C2E"/>
    <w:rsid w:val="00096DB9"/>
    <w:rsid w:val="00097183"/>
    <w:rsid w:val="000971C5"/>
    <w:rsid w:val="000972CB"/>
    <w:rsid w:val="00097608"/>
    <w:rsid w:val="000A0928"/>
    <w:rsid w:val="000A0DFC"/>
    <w:rsid w:val="000A0F35"/>
    <w:rsid w:val="000A1175"/>
    <w:rsid w:val="000A13F3"/>
    <w:rsid w:val="000A165B"/>
    <w:rsid w:val="000A1963"/>
    <w:rsid w:val="000A1C18"/>
    <w:rsid w:val="000A23B1"/>
    <w:rsid w:val="000A2818"/>
    <w:rsid w:val="000A2B0E"/>
    <w:rsid w:val="000A2D1D"/>
    <w:rsid w:val="000A3095"/>
    <w:rsid w:val="000A392D"/>
    <w:rsid w:val="000A398F"/>
    <w:rsid w:val="000A448C"/>
    <w:rsid w:val="000A4E26"/>
    <w:rsid w:val="000A509C"/>
    <w:rsid w:val="000A545A"/>
    <w:rsid w:val="000A54A7"/>
    <w:rsid w:val="000A5A17"/>
    <w:rsid w:val="000A5CC8"/>
    <w:rsid w:val="000A6007"/>
    <w:rsid w:val="000A6564"/>
    <w:rsid w:val="000A65A6"/>
    <w:rsid w:val="000A69C2"/>
    <w:rsid w:val="000A70E3"/>
    <w:rsid w:val="000A7275"/>
    <w:rsid w:val="000A7408"/>
    <w:rsid w:val="000A7886"/>
    <w:rsid w:val="000A7A12"/>
    <w:rsid w:val="000A7A72"/>
    <w:rsid w:val="000A7DE5"/>
    <w:rsid w:val="000A7EEA"/>
    <w:rsid w:val="000B0382"/>
    <w:rsid w:val="000B0FE0"/>
    <w:rsid w:val="000B1202"/>
    <w:rsid w:val="000B12FF"/>
    <w:rsid w:val="000B1801"/>
    <w:rsid w:val="000B187E"/>
    <w:rsid w:val="000B1D0C"/>
    <w:rsid w:val="000B2273"/>
    <w:rsid w:val="000B2563"/>
    <w:rsid w:val="000B2BC6"/>
    <w:rsid w:val="000B2D03"/>
    <w:rsid w:val="000B37F2"/>
    <w:rsid w:val="000B3815"/>
    <w:rsid w:val="000B3C7B"/>
    <w:rsid w:val="000B3E68"/>
    <w:rsid w:val="000B4321"/>
    <w:rsid w:val="000B5367"/>
    <w:rsid w:val="000B544A"/>
    <w:rsid w:val="000B5CCB"/>
    <w:rsid w:val="000B5F6B"/>
    <w:rsid w:val="000B613A"/>
    <w:rsid w:val="000B6A6B"/>
    <w:rsid w:val="000B6C95"/>
    <w:rsid w:val="000B6F80"/>
    <w:rsid w:val="000B79FC"/>
    <w:rsid w:val="000B7E0A"/>
    <w:rsid w:val="000C0CF9"/>
    <w:rsid w:val="000C144E"/>
    <w:rsid w:val="000C1679"/>
    <w:rsid w:val="000C190E"/>
    <w:rsid w:val="000C1953"/>
    <w:rsid w:val="000C1BFE"/>
    <w:rsid w:val="000C1EE3"/>
    <w:rsid w:val="000C35D0"/>
    <w:rsid w:val="000C3AE5"/>
    <w:rsid w:val="000C3AE7"/>
    <w:rsid w:val="000C3CC9"/>
    <w:rsid w:val="000C3DBC"/>
    <w:rsid w:val="000C4D87"/>
    <w:rsid w:val="000C5823"/>
    <w:rsid w:val="000C59C6"/>
    <w:rsid w:val="000C67C7"/>
    <w:rsid w:val="000C6DE4"/>
    <w:rsid w:val="000C7202"/>
    <w:rsid w:val="000C7432"/>
    <w:rsid w:val="000C7926"/>
    <w:rsid w:val="000C7FC6"/>
    <w:rsid w:val="000D0A89"/>
    <w:rsid w:val="000D10F1"/>
    <w:rsid w:val="000D1389"/>
    <w:rsid w:val="000D1798"/>
    <w:rsid w:val="000D2626"/>
    <w:rsid w:val="000D264F"/>
    <w:rsid w:val="000D285A"/>
    <w:rsid w:val="000D2CD3"/>
    <w:rsid w:val="000D4016"/>
    <w:rsid w:val="000D411D"/>
    <w:rsid w:val="000D4589"/>
    <w:rsid w:val="000D4809"/>
    <w:rsid w:val="000D4FB6"/>
    <w:rsid w:val="000D5304"/>
    <w:rsid w:val="000D5C29"/>
    <w:rsid w:val="000D6C31"/>
    <w:rsid w:val="000D6F6B"/>
    <w:rsid w:val="000D73DD"/>
    <w:rsid w:val="000D7761"/>
    <w:rsid w:val="000E02E8"/>
    <w:rsid w:val="000E0C67"/>
    <w:rsid w:val="000E1C38"/>
    <w:rsid w:val="000E1C51"/>
    <w:rsid w:val="000E1D3E"/>
    <w:rsid w:val="000E230A"/>
    <w:rsid w:val="000E28AB"/>
    <w:rsid w:val="000E2E3E"/>
    <w:rsid w:val="000E3583"/>
    <w:rsid w:val="000E3AF0"/>
    <w:rsid w:val="000E43EC"/>
    <w:rsid w:val="000E450F"/>
    <w:rsid w:val="000E4DC7"/>
    <w:rsid w:val="000E4E04"/>
    <w:rsid w:val="000E527D"/>
    <w:rsid w:val="000E592E"/>
    <w:rsid w:val="000E5AF5"/>
    <w:rsid w:val="000E5CCD"/>
    <w:rsid w:val="000E5D63"/>
    <w:rsid w:val="000E693B"/>
    <w:rsid w:val="000E6D5C"/>
    <w:rsid w:val="000E6DBC"/>
    <w:rsid w:val="000E6EC9"/>
    <w:rsid w:val="000E70B4"/>
    <w:rsid w:val="000E7B62"/>
    <w:rsid w:val="000E7EDC"/>
    <w:rsid w:val="000F0149"/>
    <w:rsid w:val="000F085D"/>
    <w:rsid w:val="000F0C56"/>
    <w:rsid w:val="000F0E1E"/>
    <w:rsid w:val="000F1129"/>
    <w:rsid w:val="000F1A1B"/>
    <w:rsid w:val="000F2A95"/>
    <w:rsid w:val="000F2BB7"/>
    <w:rsid w:val="000F324A"/>
    <w:rsid w:val="000F3281"/>
    <w:rsid w:val="000F32FD"/>
    <w:rsid w:val="000F3733"/>
    <w:rsid w:val="000F3F1F"/>
    <w:rsid w:val="000F5B2B"/>
    <w:rsid w:val="000F5F8B"/>
    <w:rsid w:val="000F6153"/>
    <w:rsid w:val="000F649D"/>
    <w:rsid w:val="000F64AA"/>
    <w:rsid w:val="000F6C7B"/>
    <w:rsid w:val="000F7055"/>
    <w:rsid w:val="000F73AD"/>
    <w:rsid w:val="000F7AF4"/>
    <w:rsid w:val="000F7C33"/>
    <w:rsid w:val="000F7F0C"/>
    <w:rsid w:val="001004D6"/>
    <w:rsid w:val="0010176A"/>
    <w:rsid w:val="00101D1B"/>
    <w:rsid w:val="00101E8E"/>
    <w:rsid w:val="00102676"/>
    <w:rsid w:val="00103646"/>
    <w:rsid w:val="00103918"/>
    <w:rsid w:val="00104897"/>
    <w:rsid w:val="00104EDE"/>
    <w:rsid w:val="00104F54"/>
    <w:rsid w:val="00105992"/>
    <w:rsid w:val="00105CDA"/>
    <w:rsid w:val="00105F97"/>
    <w:rsid w:val="00106BEE"/>
    <w:rsid w:val="00106EE0"/>
    <w:rsid w:val="0010711C"/>
    <w:rsid w:val="00107368"/>
    <w:rsid w:val="001078E7"/>
    <w:rsid w:val="001078F0"/>
    <w:rsid w:val="00107BDF"/>
    <w:rsid w:val="00107C74"/>
    <w:rsid w:val="0011091C"/>
    <w:rsid w:val="00111266"/>
    <w:rsid w:val="001112EB"/>
    <w:rsid w:val="00111FD1"/>
    <w:rsid w:val="00111FD7"/>
    <w:rsid w:val="0011220E"/>
    <w:rsid w:val="0011247D"/>
    <w:rsid w:val="0011351F"/>
    <w:rsid w:val="00113678"/>
    <w:rsid w:val="00113A7D"/>
    <w:rsid w:val="00113C3E"/>
    <w:rsid w:val="001142A8"/>
    <w:rsid w:val="00115375"/>
    <w:rsid w:val="001157F8"/>
    <w:rsid w:val="001159A5"/>
    <w:rsid w:val="00115E11"/>
    <w:rsid w:val="00115EEE"/>
    <w:rsid w:val="00115F56"/>
    <w:rsid w:val="001164ED"/>
    <w:rsid w:val="00116872"/>
    <w:rsid w:val="00116AF3"/>
    <w:rsid w:val="00116CA9"/>
    <w:rsid w:val="00116F38"/>
    <w:rsid w:val="001170A4"/>
    <w:rsid w:val="00117987"/>
    <w:rsid w:val="00117AE7"/>
    <w:rsid w:val="00117B85"/>
    <w:rsid w:val="00117CBD"/>
    <w:rsid w:val="0012006A"/>
    <w:rsid w:val="001217E7"/>
    <w:rsid w:val="00121979"/>
    <w:rsid w:val="00122064"/>
    <w:rsid w:val="0012277A"/>
    <w:rsid w:val="0012301B"/>
    <w:rsid w:val="00123428"/>
    <w:rsid w:val="00124341"/>
    <w:rsid w:val="00124492"/>
    <w:rsid w:val="00124655"/>
    <w:rsid w:val="00124B12"/>
    <w:rsid w:val="001250A0"/>
    <w:rsid w:val="0012535C"/>
    <w:rsid w:val="001263B8"/>
    <w:rsid w:val="001273C1"/>
    <w:rsid w:val="00127B1A"/>
    <w:rsid w:val="00127E3E"/>
    <w:rsid w:val="00130217"/>
    <w:rsid w:val="00130641"/>
    <w:rsid w:val="00130783"/>
    <w:rsid w:val="00130A47"/>
    <w:rsid w:val="00130FB0"/>
    <w:rsid w:val="00132B47"/>
    <w:rsid w:val="00132DDA"/>
    <w:rsid w:val="0013346C"/>
    <w:rsid w:val="00133768"/>
    <w:rsid w:val="001337F8"/>
    <w:rsid w:val="001341B2"/>
    <w:rsid w:val="001348B4"/>
    <w:rsid w:val="001349F4"/>
    <w:rsid w:val="00134B1F"/>
    <w:rsid w:val="0013506E"/>
    <w:rsid w:val="001351CB"/>
    <w:rsid w:val="00135530"/>
    <w:rsid w:val="00135947"/>
    <w:rsid w:val="001359A2"/>
    <w:rsid w:val="00135F92"/>
    <w:rsid w:val="00136020"/>
    <w:rsid w:val="00136445"/>
    <w:rsid w:val="00136965"/>
    <w:rsid w:val="00136A9C"/>
    <w:rsid w:val="00136EA0"/>
    <w:rsid w:val="0013734E"/>
    <w:rsid w:val="00137389"/>
    <w:rsid w:val="00140132"/>
    <w:rsid w:val="00141455"/>
    <w:rsid w:val="0014190C"/>
    <w:rsid w:val="00141C1B"/>
    <w:rsid w:val="00141C9C"/>
    <w:rsid w:val="0014277F"/>
    <w:rsid w:val="00142AD2"/>
    <w:rsid w:val="001434BE"/>
    <w:rsid w:val="00143AAD"/>
    <w:rsid w:val="00144050"/>
    <w:rsid w:val="00144369"/>
    <w:rsid w:val="0014438A"/>
    <w:rsid w:val="00144398"/>
    <w:rsid w:val="0014479F"/>
    <w:rsid w:val="00144806"/>
    <w:rsid w:val="001452B4"/>
    <w:rsid w:val="00145320"/>
    <w:rsid w:val="00145A8E"/>
    <w:rsid w:val="00145B3E"/>
    <w:rsid w:val="001476D3"/>
    <w:rsid w:val="00147999"/>
    <w:rsid w:val="00147D03"/>
    <w:rsid w:val="001505DA"/>
    <w:rsid w:val="001509CF"/>
    <w:rsid w:val="00150B99"/>
    <w:rsid w:val="00150D1D"/>
    <w:rsid w:val="0015119C"/>
    <w:rsid w:val="00151948"/>
    <w:rsid w:val="001525AA"/>
    <w:rsid w:val="00152A87"/>
    <w:rsid w:val="00152AC1"/>
    <w:rsid w:val="00153A84"/>
    <w:rsid w:val="00153BB5"/>
    <w:rsid w:val="00154518"/>
    <w:rsid w:val="0015567E"/>
    <w:rsid w:val="001556B8"/>
    <w:rsid w:val="00155944"/>
    <w:rsid w:val="00156320"/>
    <w:rsid w:val="00156359"/>
    <w:rsid w:val="00156DD6"/>
    <w:rsid w:val="00160238"/>
    <w:rsid w:val="0016086E"/>
    <w:rsid w:val="001609B9"/>
    <w:rsid w:val="00160D0C"/>
    <w:rsid w:val="00160DC9"/>
    <w:rsid w:val="00160DD1"/>
    <w:rsid w:val="00160E03"/>
    <w:rsid w:val="00161172"/>
    <w:rsid w:val="00161998"/>
    <w:rsid w:val="00161E65"/>
    <w:rsid w:val="00161F0E"/>
    <w:rsid w:val="00162597"/>
    <w:rsid w:val="001629AF"/>
    <w:rsid w:val="001629FD"/>
    <w:rsid w:val="0016428A"/>
    <w:rsid w:val="001646D5"/>
    <w:rsid w:val="001647C9"/>
    <w:rsid w:val="00164C94"/>
    <w:rsid w:val="0016537E"/>
    <w:rsid w:val="00165627"/>
    <w:rsid w:val="001661A3"/>
    <w:rsid w:val="00166AD5"/>
    <w:rsid w:val="00166E81"/>
    <w:rsid w:val="00167226"/>
    <w:rsid w:val="0016782B"/>
    <w:rsid w:val="0016784D"/>
    <w:rsid w:val="00167853"/>
    <w:rsid w:val="00167887"/>
    <w:rsid w:val="00167AE7"/>
    <w:rsid w:val="00167CAA"/>
    <w:rsid w:val="00170613"/>
    <w:rsid w:val="00170F0C"/>
    <w:rsid w:val="00171319"/>
    <w:rsid w:val="00171B8F"/>
    <w:rsid w:val="001721F8"/>
    <w:rsid w:val="0017267A"/>
    <w:rsid w:val="00172CA8"/>
    <w:rsid w:val="00173256"/>
    <w:rsid w:val="00173B0E"/>
    <w:rsid w:val="00173D86"/>
    <w:rsid w:val="00173E03"/>
    <w:rsid w:val="0017405A"/>
    <w:rsid w:val="001741C9"/>
    <w:rsid w:val="0017461E"/>
    <w:rsid w:val="00174704"/>
    <w:rsid w:val="0017512C"/>
    <w:rsid w:val="001756AF"/>
    <w:rsid w:val="0017576E"/>
    <w:rsid w:val="0017586A"/>
    <w:rsid w:val="00175BA6"/>
    <w:rsid w:val="00175C6F"/>
    <w:rsid w:val="00176CA7"/>
    <w:rsid w:val="00176D0C"/>
    <w:rsid w:val="00176F8E"/>
    <w:rsid w:val="00177485"/>
    <w:rsid w:val="0017789A"/>
    <w:rsid w:val="001778C5"/>
    <w:rsid w:val="00177C07"/>
    <w:rsid w:val="00177E56"/>
    <w:rsid w:val="00177F0A"/>
    <w:rsid w:val="0018090D"/>
    <w:rsid w:val="00180DA0"/>
    <w:rsid w:val="00181813"/>
    <w:rsid w:val="00181EAD"/>
    <w:rsid w:val="00182862"/>
    <w:rsid w:val="00184F57"/>
    <w:rsid w:val="00185091"/>
    <w:rsid w:val="00185544"/>
    <w:rsid w:val="001855B2"/>
    <w:rsid w:val="00185617"/>
    <w:rsid w:val="00186FE1"/>
    <w:rsid w:val="00187A14"/>
    <w:rsid w:val="00190D50"/>
    <w:rsid w:val="00190E7C"/>
    <w:rsid w:val="00191177"/>
    <w:rsid w:val="0019171E"/>
    <w:rsid w:val="00192368"/>
    <w:rsid w:val="001923A0"/>
    <w:rsid w:val="001924F9"/>
    <w:rsid w:val="0019270F"/>
    <w:rsid w:val="001928B1"/>
    <w:rsid w:val="00192C38"/>
    <w:rsid w:val="00192CA1"/>
    <w:rsid w:val="00193537"/>
    <w:rsid w:val="00193808"/>
    <w:rsid w:val="00193846"/>
    <w:rsid w:val="00193F6A"/>
    <w:rsid w:val="00195117"/>
    <w:rsid w:val="00195424"/>
    <w:rsid w:val="001955FF"/>
    <w:rsid w:val="001972F8"/>
    <w:rsid w:val="00197EDD"/>
    <w:rsid w:val="001A02B3"/>
    <w:rsid w:val="001A04BB"/>
    <w:rsid w:val="001A06CC"/>
    <w:rsid w:val="001A0889"/>
    <w:rsid w:val="001A08D0"/>
    <w:rsid w:val="001A17B2"/>
    <w:rsid w:val="001A18EA"/>
    <w:rsid w:val="001A1B39"/>
    <w:rsid w:val="001A1D4A"/>
    <w:rsid w:val="001A2120"/>
    <w:rsid w:val="001A21DD"/>
    <w:rsid w:val="001A28C6"/>
    <w:rsid w:val="001A2E69"/>
    <w:rsid w:val="001A3C34"/>
    <w:rsid w:val="001A3EDE"/>
    <w:rsid w:val="001A41CD"/>
    <w:rsid w:val="001A4222"/>
    <w:rsid w:val="001A4235"/>
    <w:rsid w:val="001A43BE"/>
    <w:rsid w:val="001A48B2"/>
    <w:rsid w:val="001A4CFA"/>
    <w:rsid w:val="001A50EA"/>
    <w:rsid w:val="001A55A9"/>
    <w:rsid w:val="001A5BAA"/>
    <w:rsid w:val="001A5E24"/>
    <w:rsid w:val="001A661D"/>
    <w:rsid w:val="001A6795"/>
    <w:rsid w:val="001A6B27"/>
    <w:rsid w:val="001A6D8B"/>
    <w:rsid w:val="001A6DAA"/>
    <w:rsid w:val="001A7717"/>
    <w:rsid w:val="001A793A"/>
    <w:rsid w:val="001B035E"/>
    <w:rsid w:val="001B0464"/>
    <w:rsid w:val="001B125A"/>
    <w:rsid w:val="001B1EBA"/>
    <w:rsid w:val="001B2142"/>
    <w:rsid w:val="001B2F2B"/>
    <w:rsid w:val="001B31C2"/>
    <w:rsid w:val="001B327A"/>
    <w:rsid w:val="001B3379"/>
    <w:rsid w:val="001B35DE"/>
    <w:rsid w:val="001B3A13"/>
    <w:rsid w:val="001B3F5C"/>
    <w:rsid w:val="001B57C9"/>
    <w:rsid w:val="001B59FF"/>
    <w:rsid w:val="001B5D13"/>
    <w:rsid w:val="001B6512"/>
    <w:rsid w:val="001B65D7"/>
    <w:rsid w:val="001B6752"/>
    <w:rsid w:val="001B6768"/>
    <w:rsid w:val="001B6B39"/>
    <w:rsid w:val="001B6F1F"/>
    <w:rsid w:val="001B7ECC"/>
    <w:rsid w:val="001C025B"/>
    <w:rsid w:val="001C059D"/>
    <w:rsid w:val="001C0DD4"/>
    <w:rsid w:val="001C115F"/>
    <w:rsid w:val="001C1B1C"/>
    <w:rsid w:val="001C1DED"/>
    <w:rsid w:val="001C1EAB"/>
    <w:rsid w:val="001C25A7"/>
    <w:rsid w:val="001C2775"/>
    <w:rsid w:val="001C2895"/>
    <w:rsid w:val="001C2A1D"/>
    <w:rsid w:val="001C318C"/>
    <w:rsid w:val="001C35C4"/>
    <w:rsid w:val="001C4287"/>
    <w:rsid w:val="001C4479"/>
    <w:rsid w:val="001C4F79"/>
    <w:rsid w:val="001C5190"/>
    <w:rsid w:val="001C5951"/>
    <w:rsid w:val="001C5A1F"/>
    <w:rsid w:val="001C6081"/>
    <w:rsid w:val="001C7284"/>
    <w:rsid w:val="001C73EB"/>
    <w:rsid w:val="001C7781"/>
    <w:rsid w:val="001C7B48"/>
    <w:rsid w:val="001D0CFB"/>
    <w:rsid w:val="001D108A"/>
    <w:rsid w:val="001D16C5"/>
    <w:rsid w:val="001D1A0D"/>
    <w:rsid w:val="001D1DD1"/>
    <w:rsid w:val="001D22CB"/>
    <w:rsid w:val="001D23DA"/>
    <w:rsid w:val="001D266C"/>
    <w:rsid w:val="001D267C"/>
    <w:rsid w:val="001D2AB8"/>
    <w:rsid w:val="001D2F77"/>
    <w:rsid w:val="001D343C"/>
    <w:rsid w:val="001D56E2"/>
    <w:rsid w:val="001D58A1"/>
    <w:rsid w:val="001D58C2"/>
    <w:rsid w:val="001D5A8A"/>
    <w:rsid w:val="001D5B64"/>
    <w:rsid w:val="001D61CA"/>
    <w:rsid w:val="001D6210"/>
    <w:rsid w:val="001D62C9"/>
    <w:rsid w:val="001D654A"/>
    <w:rsid w:val="001D6E87"/>
    <w:rsid w:val="001D735E"/>
    <w:rsid w:val="001D73C8"/>
    <w:rsid w:val="001D7BC6"/>
    <w:rsid w:val="001D7CA4"/>
    <w:rsid w:val="001E00D2"/>
    <w:rsid w:val="001E0C72"/>
    <w:rsid w:val="001E129E"/>
    <w:rsid w:val="001E175C"/>
    <w:rsid w:val="001E199A"/>
    <w:rsid w:val="001E1B0E"/>
    <w:rsid w:val="001E2A86"/>
    <w:rsid w:val="001E308A"/>
    <w:rsid w:val="001E38EC"/>
    <w:rsid w:val="001E3B63"/>
    <w:rsid w:val="001E4996"/>
    <w:rsid w:val="001E57B2"/>
    <w:rsid w:val="001E5A94"/>
    <w:rsid w:val="001E5CBB"/>
    <w:rsid w:val="001E5CDC"/>
    <w:rsid w:val="001E6062"/>
    <w:rsid w:val="001E6B4B"/>
    <w:rsid w:val="001E6CE9"/>
    <w:rsid w:val="001F0C0A"/>
    <w:rsid w:val="001F13FD"/>
    <w:rsid w:val="001F2A2E"/>
    <w:rsid w:val="001F3180"/>
    <w:rsid w:val="001F3356"/>
    <w:rsid w:val="001F3A99"/>
    <w:rsid w:val="001F3C63"/>
    <w:rsid w:val="001F3CBC"/>
    <w:rsid w:val="001F4141"/>
    <w:rsid w:val="001F4460"/>
    <w:rsid w:val="001F4724"/>
    <w:rsid w:val="001F4833"/>
    <w:rsid w:val="001F5869"/>
    <w:rsid w:val="001F61A6"/>
    <w:rsid w:val="001F6C96"/>
    <w:rsid w:val="001F711A"/>
    <w:rsid w:val="001F75B0"/>
    <w:rsid w:val="001F7CBE"/>
    <w:rsid w:val="0020057C"/>
    <w:rsid w:val="0020083C"/>
    <w:rsid w:val="00200CE5"/>
    <w:rsid w:val="00200F7C"/>
    <w:rsid w:val="002014DB"/>
    <w:rsid w:val="0020150B"/>
    <w:rsid w:val="00201815"/>
    <w:rsid w:val="00201D51"/>
    <w:rsid w:val="00201E12"/>
    <w:rsid w:val="00202295"/>
    <w:rsid w:val="002033B5"/>
    <w:rsid w:val="0020382C"/>
    <w:rsid w:val="0020390A"/>
    <w:rsid w:val="00203EDF"/>
    <w:rsid w:val="002042E9"/>
    <w:rsid w:val="0020437A"/>
    <w:rsid w:val="0020454C"/>
    <w:rsid w:val="00204740"/>
    <w:rsid w:val="00204942"/>
    <w:rsid w:val="00204C12"/>
    <w:rsid w:val="00205129"/>
    <w:rsid w:val="0020521F"/>
    <w:rsid w:val="0020532C"/>
    <w:rsid w:val="002065D6"/>
    <w:rsid w:val="00206AE8"/>
    <w:rsid w:val="00210A54"/>
    <w:rsid w:val="002114C7"/>
    <w:rsid w:val="00211A7B"/>
    <w:rsid w:val="0021302C"/>
    <w:rsid w:val="002131AF"/>
    <w:rsid w:val="002139F1"/>
    <w:rsid w:val="00213B18"/>
    <w:rsid w:val="00213B1C"/>
    <w:rsid w:val="00213F1E"/>
    <w:rsid w:val="00214202"/>
    <w:rsid w:val="00214530"/>
    <w:rsid w:val="002148E3"/>
    <w:rsid w:val="002148E5"/>
    <w:rsid w:val="00214C1A"/>
    <w:rsid w:val="0021552D"/>
    <w:rsid w:val="002156AE"/>
    <w:rsid w:val="0021577B"/>
    <w:rsid w:val="00215DC7"/>
    <w:rsid w:val="00215E99"/>
    <w:rsid w:val="00217B07"/>
    <w:rsid w:val="00217C26"/>
    <w:rsid w:val="00220043"/>
    <w:rsid w:val="0022054D"/>
    <w:rsid w:val="0022107B"/>
    <w:rsid w:val="00221AFB"/>
    <w:rsid w:val="002223EB"/>
    <w:rsid w:val="002238DD"/>
    <w:rsid w:val="00223DDB"/>
    <w:rsid w:val="00223FA4"/>
    <w:rsid w:val="00223FB0"/>
    <w:rsid w:val="0022405A"/>
    <w:rsid w:val="00224067"/>
    <w:rsid w:val="0022421C"/>
    <w:rsid w:val="0022454F"/>
    <w:rsid w:val="002249D1"/>
    <w:rsid w:val="00224C4A"/>
    <w:rsid w:val="00224E83"/>
    <w:rsid w:val="00225664"/>
    <w:rsid w:val="00225F84"/>
    <w:rsid w:val="0022663D"/>
    <w:rsid w:val="00226995"/>
    <w:rsid w:val="0022755B"/>
    <w:rsid w:val="00227669"/>
    <w:rsid w:val="00227682"/>
    <w:rsid w:val="00227896"/>
    <w:rsid w:val="00227C56"/>
    <w:rsid w:val="00227F2D"/>
    <w:rsid w:val="00227F52"/>
    <w:rsid w:val="00230EA4"/>
    <w:rsid w:val="00231851"/>
    <w:rsid w:val="002319FB"/>
    <w:rsid w:val="00231B89"/>
    <w:rsid w:val="00231F11"/>
    <w:rsid w:val="00231F5E"/>
    <w:rsid w:val="00232E5E"/>
    <w:rsid w:val="00233395"/>
    <w:rsid w:val="002345DF"/>
    <w:rsid w:val="002346B4"/>
    <w:rsid w:val="00234CD9"/>
    <w:rsid w:val="00234F6E"/>
    <w:rsid w:val="002351FA"/>
    <w:rsid w:val="002355BE"/>
    <w:rsid w:val="002358EA"/>
    <w:rsid w:val="0023609B"/>
    <w:rsid w:val="00236578"/>
    <w:rsid w:val="00236A10"/>
    <w:rsid w:val="00236DE9"/>
    <w:rsid w:val="00237342"/>
    <w:rsid w:val="00237D5A"/>
    <w:rsid w:val="002401BC"/>
    <w:rsid w:val="002407BA"/>
    <w:rsid w:val="00240922"/>
    <w:rsid w:val="00240D75"/>
    <w:rsid w:val="00240F92"/>
    <w:rsid w:val="00241288"/>
    <w:rsid w:val="002412E4"/>
    <w:rsid w:val="002415AE"/>
    <w:rsid w:val="00241B38"/>
    <w:rsid w:val="00241BC7"/>
    <w:rsid w:val="00241D3C"/>
    <w:rsid w:val="00242109"/>
    <w:rsid w:val="00242B6B"/>
    <w:rsid w:val="00242F31"/>
    <w:rsid w:val="00243189"/>
    <w:rsid w:val="002439AB"/>
    <w:rsid w:val="00243C19"/>
    <w:rsid w:val="00244308"/>
    <w:rsid w:val="002448E7"/>
    <w:rsid w:val="00244AE8"/>
    <w:rsid w:val="00244DC9"/>
    <w:rsid w:val="00244EF3"/>
    <w:rsid w:val="0024531F"/>
    <w:rsid w:val="00245587"/>
    <w:rsid w:val="00245F2B"/>
    <w:rsid w:val="002460E2"/>
    <w:rsid w:val="002466CD"/>
    <w:rsid w:val="0024729B"/>
    <w:rsid w:val="00247F3A"/>
    <w:rsid w:val="00250122"/>
    <w:rsid w:val="0025024D"/>
    <w:rsid w:val="00250755"/>
    <w:rsid w:val="00251043"/>
    <w:rsid w:val="00251C4A"/>
    <w:rsid w:val="0025271C"/>
    <w:rsid w:val="0025277A"/>
    <w:rsid w:val="002533CD"/>
    <w:rsid w:val="002535EA"/>
    <w:rsid w:val="00253A8A"/>
    <w:rsid w:val="00254EAB"/>
    <w:rsid w:val="00255418"/>
    <w:rsid w:val="00255794"/>
    <w:rsid w:val="002557AF"/>
    <w:rsid w:val="0025589C"/>
    <w:rsid w:val="00255B62"/>
    <w:rsid w:val="002566B1"/>
    <w:rsid w:val="002575E3"/>
    <w:rsid w:val="00257A74"/>
    <w:rsid w:val="00257C5D"/>
    <w:rsid w:val="002603C1"/>
    <w:rsid w:val="002609A1"/>
    <w:rsid w:val="002612B1"/>
    <w:rsid w:val="00261997"/>
    <w:rsid w:val="00262B14"/>
    <w:rsid w:val="00264DF8"/>
    <w:rsid w:val="00265A12"/>
    <w:rsid w:val="00266165"/>
    <w:rsid w:val="00266A48"/>
    <w:rsid w:val="00266F2C"/>
    <w:rsid w:val="00267402"/>
    <w:rsid w:val="00267DAF"/>
    <w:rsid w:val="00270122"/>
    <w:rsid w:val="00270632"/>
    <w:rsid w:val="00270744"/>
    <w:rsid w:val="00270B87"/>
    <w:rsid w:val="0027125E"/>
    <w:rsid w:val="00271767"/>
    <w:rsid w:val="00272263"/>
    <w:rsid w:val="00272293"/>
    <w:rsid w:val="002723C8"/>
    <w:rsid w:val="00273633"/>
    <w:rsid w:val="00273C2A"/>
    <w:rsid w:val="00273CBE"/>
    <w:rsid w:val="002746B1"/>
    <w:rsid w:val="00274BAD"/>
    <w:rsid w:val="0027614E"/>
    <w:rsid w:val="002763A3"/>
    <w:rsid w:val="00276EB8"/>
    <w:rsid w:val="00277099"/>
    <w:rsid w:val="002775A6"/>
    <w:rsid w:val="002776FA"/>
    <w:rsid w:val="00277786"/>
    <w:rsid w:val="00277F6B"/>
    <w:rsid w:val="002807B0"/>
    <w:rsid w:val="00281B9B"/>
    <w:rsid w:val="00282446"/>
    <w:rsid w:val="002826C2"/>
    <w:rsid w:val="0028282C"/>
    <w:rsid w:val="00282D56"/>
    <w:rsid w:val="00283374"/>
    <w:rsid w:val="002835B0"/>
    <w:rsid w:val="00283C74"/>
    <w:rsid w:val="0028407E"/>
    <w:rsid w:val="0028410F"/>
    <w:rsid w:val="00284572"/>
    <w:rsid w:val="002850AA"/>
    <w:rsid w:val="00285221"/>
    <w:rsid w:val="002857F2"/>
    <w:rsid w:val="00285AB7"/>
    <w:rsid w:val="00286FB5"/>
    <w:rsid w:val="00287640"/>
    <w:rsid w:val="00287763"/>
    <w:rsid w:val="00290456"/>
    <w:rsid w:val="0029047D"/>
    <w:rsid w:val="00290606"/>
    <w:rsid w:val="002908D0"/>
    <w:rsid w:val="002909B2"/>
    <w:rsid w:val="00291263"/>
    <w:rsid w:val="00291D6D"/>
    <w:rsid w:val="00291E2B"/>
    <w:rsid w:val="00291FF1"/>
    <w:rsid w:val="00292AA2"/>
    <w:rsid w:val="00293361"/>
    <w:rsid w:val="00294F10"/>
    <w:rsid w:val="002952B1"/>
    <w:rsid w:val="002956E5"/>
    <w:rsid w:val="00295D11"/>
    <w:rsid w:val="0029667A"/>
    <w:rsid w:val="00296839"/>
    <w:rsid w:val="00296FB6"/>
    <w:rsid w:val="0029724C"/>
    <w:rsid w:val="00297FC7"/>
    <w:rsid w:val="002A0001"/>
    <w:rsid w:val="002A036C"/>
    <w:rsid w:val="002A09CC"/>
    <w:rsid w:val="002A0BD9"/>
    <w:rsid w:val="002A0BDB"/>
    <w:rsid w:val="002A0C3A"/>
    <w:rsid w:val="002A0DF8"/>
    <w:rsid w:val="002A0E0A"/>
    <w:rsid w:val="002A0F1C"/>
    <w:rsid w:val="002A1130"/>
    <w:rsid w:val="002A125D"/>
    <w:rsid w:val="002A1557"/>
    <w:rsid w:val="002A1880"/>
    <w:rsid w:val="002A23B7"/>
    <w:rsid w:val="002A30AC"/>
    <w:rsid w:val="002A3950"/>
    <w:rsid w:val="002A3A57"/>
    <w:rsid w:val="002A4320"/>
    <w:rsid w:val="002A4B4F"/>
    <w:rsid w:val="002A57A8"/>
    <w:rsid w:val="002A5D75"/>
    <w:rsid w:val="002A6DEF"/>
    <w:rsid w:val="002A739E"/>
    <w:rsid w:val="002A770B"/>
    <w:rsid w:val="002A7893"/>
    <w:rsid w:val="002B013E"/>
    <w:rsid w:val="002B058D"/>
    <w:rsid w:val="002B0C16"/>
    <w:rsid w:val="002B1420"/>
    <w:rsid w:val="002B1E01"/>
    <w:rsid w:val="002B1F54"/>
    <w:rsid w:val="002B2080"/>
    <w:rsid w:val="002B21BF"/>
    <w:rsid w:val="002B2456"/>
    <w:rsid w:val="002B2AC5"/>
    <w:rsid w:val="002B3528"/>
    <w:rsid w:val="002B3539"/>
    <w:rsid w:val="002B427F"/>
    <w:rsid w:val="002B4395"/>
    <w:rsid w:val="002B4532"/>
    <w:rsid w:val="002B4C9E"/>
    <w:rsid w:val="002B4DD9"/>
    <w:rsid w:val="002B5042"/>
    <w:rsid w:val="002B57C3"/>
    <w:rsid w:val="002B5832"/>
    <w:rsid w:val="002B612E"/>
    <w:rsid w:val="002B69CC"/>
    <w:rsid w:val="002B6D71"/>
    <w:rsid w:val="002B773F"/>
    <w:rsid w:val="002B7DC4"/>
    <w:rsid w:val="002C0389"/>
    <w:rsid w:val="002C03AE"/>
    <w:rsid w:val="002C0C1C"/>
    <w:rsid w:val="002C10A7"/>
    <w:rsid w:val="002C1190"/>
    <w:rsid w:val="002C279B"/>
    <w:rsid w:val="002C2CC9"/>
    <w:rsid w:val="002C34F1"/>
    <w:rsid w:val="002C41BF"/>
    <w:rsid w:val="002C4B7E"/>
    <w:rsid w:val="002C5023"/>
    <w:rsid w:val="002C5424"/>
    <w:rsid w:val="002C54C2"/>
    <w:rsid w:val="002C5D34"/>
    <w:rsid w:val="002C60BB"/>
    <w:rsid w:val="002C661A"/>
    <w:rsid w:val="002D06EE"/>
    <w:rsid w:val="002D073E"/>
    <w:rsid w:val="002D0A40"/>
    <w:rsid w:val="002D0D6F"/>
    <w:rsid w:val="002D1E81"/>
    <w:rsid w:val="002D253D"/>
    <w:rsid w:val="002D25FC"/>
    <w:rsid w:val="002D3E71"/>
    <w:rsid w:val="002D4AC6"/>
    <w:rsid w:val="002D5181"/>
    <w:rsid w:val="002D59BF"/>
    <w:rsid w:val="002D5B5A"/>
    <w:rsid w:val="002D5BF5"/>
    <w:rsid w:val="002D5C5C"/>
    <w:rsid w:val="002D5EE8"/>
    <w:rsid w:val="002D63F6"/>
    <w:rsid w:val="002D7360"/>
    <w:rsid w:val="002D750C"/>
    <w:rsid w:val="002D7648"/>
    <w:rsid w:val="002D7C80"/>
    <w:rsid w:val="002E0FCE"/>
    <w:rsid w:val="002E109C"/>
    <w:rsid w:val="002E1334"/>
    <w:rsid w:val="002E13FA"/>
    <w:rsid w:val="002E193E"/>
    <w:rsid w:val="002E1A94"/>
    <w:rsid w:val="002E1D55"/>
    <w:rsid w:val="002E2407"/>
    <w:rsid w:val="002E25FB"/>
    <w:rsid w:val="002E26C4"/>
    <w:rsid w:val="002E2734"/>
    <w:rsid w:val="002E2AA6"/>
    <w:rsid w:val="002E30A5"/>
    <w:rsid w:val="002E34EA"/>
    <w:rsid w:val="002E3B96"/>
    <w:rsid w:val="002E4114"/>
    <w:rsid w:val="002E47E4"/>
    <w:rsid w:val="002E4BF9"/>
    <w:rsid w:val="002E4D61"/>
    <w:rsid w:val="002E5045"/>
    <w:rsid w:val="002E68A7"/>
    <w:rsid w:val="002E6E6C"/>
    <w:rsid w:val="002F016E"/>
    <w:rsid w:val="002F020D"/>
    <w:rsid w:val="002F03FD"/>
    <w:rsid w:val="002F0522"/>
    <w:rsid w:val="002F16DD"/>
    <w:rsid w:val="002F199D"/>
    <w:rsid w:val="002F213C"/>
    <w:rsid w:val="002F2453"/>
    <w:rsid w:val="002F2607"/>
    <w:rsid w:val="002F33D2"/>
    <w:rsid w:val="002F352D"/>
    <w:rsid w:val="002F381E"/>
    <w:rsid w:val="002F3C58"/>
    <w:rsid w:val="002F4084"/>
    <w:rsid w:val="002F4A08"/>
    <w:rsid w:val="002F4ADB"/>
    <w:rsid w:val="002F531E"/>
    <w:rsid w:val="002F548D"/>
    <w:rsid w:val="002F54FB"/>
    <w:rsid w:val="002F5ACC"/>
    <w:rsid w:val="002F65CD"/>
    <w:rsid w:val="002F66F9"/>
    <w:rsid w:val="002F6B6C"/>
    <w:rsid w:val="002F704B"/>
    <w:rsid w:val="002F72C3"/>
    <w:rsid w:val="002F768C"/>
    <w:rsid w:val="002F7D1E"/>
    <w:rsid w:val="002F7E89"/>
    <w:rsid w:val="00300201"/>
    <w:rsid w:val="0030025A"/>
    <w:rsid w:val="0030052F"/>
    <w:rsid w:val="00300A58"/>
    <w:rsid w:val="00300BF2"/>
    <w:rsid w:val="00302467"/>
    <w:rsid w:val="00302493"/>
    <w:rsid w:val="00302991"/>
    <w:rsid w:val="00302EFC"/>
    <w:rsid w:val="00303243"/>
    <w:rsid w:val="00303BCC"/>
    <w:rsid w:val="00303BEF"/>
    <w:rsid w:val="00303F2B"/>
    <w:rsid w:val="00303F8D"/>
    <w:rsid w:val="0030572D"/>
    <w:rsid w:val="0030586A"/>
    <w:rsid w:val="00305A5E"/>
    <w:rsid w:val="0030622D"/>
    <w:rsid w:val="00306811"/>
    <w:rsid w:val="00306F32"/>
    <w:rsid w:val="003074C5"/>
    <w:rsid w:val="00307A3C"/>
    <w:rsid w:val="00307FA4"/>
    <w:rsid w:val="00310178"/>
    <w:rsid w:val="00310290"/>
    <w:rsid w:val="003103B1"/>
    <w:rsid w:val="00310948"/>
    <w:rsid w:val="00310CC1"/>
    <w:rsid w:val="003118A8"/>
    <w:rsid w:val="00312504"/>
    <w:rsid w:val="00312B89"/>
    <w:rsid w:val="00313026"/>
    <w:rsid w:val="0031312C"/>
    <w:rsid w:val="00313913"/>
    <w:rsid w:val="00313DAA"/>
    <w:rsid w:val="0031421F"/>
    <w:rsid w:val="0031466A"/>
    <w:rsid w:val="00314B31"/>
    <w:rsid w:val="003151F4"/>
    <w:rsid w:val="00315569"/>
    <w:rsid w:val="00315A65"/>
    <w:rsid w:val="003165D7"/>
    <w:rsid w:val="0031666B"/>
    <w:rsid w:val="00316ABE"/>
    <w:rsid w:val="00317601"/>
    <w:rsid w:val="003179CC"/>
    <w:rsid w:val="00317BA7"/>
    <w:rsid w:val="00317EB1"/>
    <w:rsid w:val="003204AE"/>
    <w:rsid w:val="00320BE2"/>
    <w:rsid w:val="00320CD0"/>
    <w:rsid w:val="00321886"/>
    <w:rsid w:val="00321956"/>
    <w:rsid w:val="00321EDC"/>
    <w:rsid w:val="003226AC"/>
    <w:rsid w:val="00323694"/>
    <w:rsid w:val="00323BE7"/>
    <w:rsid w:val="00324B26"/>
    <w:rsid w:val="00324C3A"/>
    <w:rsid w:val="00324D63"/>
    <w:rsid w:val="0032547C"/>
    <w:rsid w:val="003255AF"/>
    <w:rsid w:val="003256EB"/>
    <w:rsid w:val="003259DB"/>
    <w:rsid w:val="0032795B"/>
    <w:rsid w:val="003303CD"/>
    <w:rsid w:val="003307BE"/>
    <w:rsid w:val="003314D9"/>
    <w:rsid w:val="00331653"/>
    <w:rsid w:val="00331A48"/>
    <w:rsid w:val="00331BCC"/>
    <w:rsid w:val="00332311"/>
    <w:rsid w:val="003330C9"/>
    <w:rsid w:val="0033364C"/>
    <w:rsid w:val="00334415"/>
    <w:rsid w:val="003345DA"/>
    <w:rsid w:val="00334972"/>
    <w:rsid w:val="00335C1B"/>
    <w:rsid w:val="00335EA1"/>
    <w:rsid w:val="0033691E"/>
    <w:rsid w:val="00336A6A"/>
    <w:rsid w:val="00336CCB"/>
    <w:rsid w:val="00340B4B"/>
    <w:rsid w:val="003411D1"/>
    <w:rsid w:val="003416BA"/>
    <w:rsid w:val="00342148"/>
    <w:rsid w:val="00342658"/>
    <w:rsid w:val="003427BE"/>
    <w:rsid w:val="00342F99"/>
    <w:rsid w:val="00343016"/>
    <w:rsid w:val="003432EE"/>
    <w:rsid w:val="00343749"/>
    <w:rsid w:val="00343AEA"/>
    <w:rsid w:val="003444BF"/>
    <w:rsid w:val="00344D99"/>
    <w:rsid w:val="0034575A"/>
    <w:rsid w:val="00345F1D"/>
    <w:rsid w:val="00345F57"/>
    <w:rsid w:val="003461A7"/>
    <w:rsid w:val="00346CC8"/>
    <w:rsid w:val="00350458"/>
    <w:rsid w:val="00350E6C"/>
    <w:rsid w:val="00350F55"/>
    <w:rsid w:val="0035153C"/>
    <w:rsid w:val="003518A6"/>
    <w:rsid w:val="00351E7F"/>
    <w:rsid w:val="00352953"/>
    <w:rsid w:val="00353D83"/>
    <w:rsid w:val="00353D91"/>
    <w:rsid w:val="00354062"/>
    <w:rsid w:val="0035459E"/>
    <w:rsid w:val="00354AE9"/>
    <w:rsid w:val="00355527"/>
    <w:rsid w:val="00355C0D"/>
    <w:rsid w:val="003560A6"/>
    <w:rsid w:val="003566A9"/>
    <w:rsid w:val="00356988"/>
    <w:rsid w:val="003569D3"/>
    <w:rsid w:val="00356CE9"/>
    <w:rsid w:val="003570BB"/>
    <w:rsid w:val="00357128"/>
    <w:rsid w:val="00357377"/>
    <w:rsid w:val="0035755E"/>
    <w:rsid w:val="00357A80"/>
    <w:rsid w:val="00357C97"/>
    <w:rsid w:val="00360116"/>
    <w:rsid w:val="00361441"/>
    <w:rsid w:val="00361B8B"/>
    <w:rsid w:val="00363F39"/>
    <w:rsid w:val="003640FC"/>
    <w:rsid w:val="0036445C"/>
    <w:rsid w:val="00364627"/>
    <w:rsid w:val="00364AB0"/>
    <w:rsid w:val="00364B13"/>
    <w:rsid w:val="00364D71"/>
    <w:rsid w:val="00365D7A"/>
    <w:rsid w:val="003667B0"/>
    <w:rsid w:val="003667DD"/>
    <w:rsid w:val="00366B48"/>
    <w:rsid w:val="00366D71"/>
    <w:rsid w:val="003674FB"/>
    <w:rsid w:val="0036774D"/>
    <w:rsid w:val="00367764"/>
    <w:rsid w:val="003678D7"/>
    <w:rsid w:val="00370316"/>
    <w:rsid w:val="003704EC"/>
    <w:rsid w:val="00370DC7"/>
    <w:rsid w:val="003713D7"/>
    <w:rsid w:val="003714AC"/>
    <w:rsid w:val="00371CBD"/>
    <w:rsid w:val="00371F20"/>
    <w:rsid w:val="003721E3"/>
    <w:rsid w:val="0037244B"/>
    <w:rsid w:val="00372B98"/>
    <w:rsid w:val="003732DC"/>
    <w:rsid w:val="003737B7"/>
    <w:rsid w:val="003740CC"/>
    <w:rsid w:val="003745F4"/>
    <w:rsid w:val="0037491A"/>
    <w:rsid w:val="00374E79"/>
    <w:rsid w:val="0037529A"/>
    <w:rsid w:val="00375388"/>
    <w:rsid w:val="00375496"/>
    <w:rsid w:val="00375559"/>
    <w:rsid w:val="00375FB9"/>
    <w:rsid w:val="00376170"/>
    <w:rsid w:val="003762F9"/>
    <w:rsid w:val="003766DE"/>
    <w:rsid w:val="00376851"/>
    <w:rsid w:val="00376FA2"/>
    <w:rsid w:val="00377133"/>
    <w:rsid w:val="00377A3B"/>
    <w:rsid w:val="00377B8B"/>
    <w:rsid w:val="00377E3C"/>
    <w:rsid w:val="00377F89"/>
    <w:rsid w:val="00380874"/>
    <w:rsid w:val="00380878"/>
    <w:rsid w:val="003809D4"/>
    <w:rsid w:val="00380BBE"/>
    <w:rsid w:val="00380EA3"/>
    <w:rsid w:val="00381243"/>
    <w:rsid w:val="00381B1B"/>
    <w:rsid w:val="00381D70"/>
    <w:rsid w:val="00382144"/>
    <w:rsid w:val="0038235E"/>
    <w:rsid w:val="0038260A"/>
    <w:rsid w:val="003826AC"/>
    <w:rsid w:val="003829D0"/>
    <w:rsid w:val="0038326A"/>
    <w:rsid w:val="0038444F"/>
    <w:rsid w:val="00384BB9"/>
    <w:rsid w:val="0038519A"/>
    <w:rsid w:val="003861F0"/>
    <w:rsid w:val="00386A27"/>
    <w:rsid w:val="00386EE5"/>
    <w:rsid w:val="00386FE4"/>
    <w:rsid w:val="00387051"/>
    <w:rsid w:val="003876F0"/>
    <w:rsid w:val="00387ECF"/>
    <w:rsid w:val="003901EA"/>
    <w:rsid w:val="0039021B"/>
    <w:rsid w:val="00390353"/>
    <w:rsid w:val="00390429"/>
    <w:rsid w:val="003906A0"/>
    <w:rsid w:val="00390D91"/>
    <w:rsid w:val="00390DBB"/>
    <w:rsid w:val="00391413"/>
    <w:rsid w:val="00391A48"/>
    <w:rsid w:val="0039207D"/>
    <w:rsid w:val="003923D5"/>
    <w:rsid w:val="003928A2"/>
    <w:rsid w:val="00392AF4"/>
    <w:rsid w:val="00392D1F"/>
    <w:rsid w:val="00392D35"/>
    <w:rsid w:val="003931AF"/>
    <w:rsid w:val="0039338D"/>
    <w:rsid w:val="0039366C"/>
    <w:rsid w:val="00393C4C"/>
    <w:rsid w:val="00393EC8"/>
    <w:rsid w:val="003951CB"/>
    <w:rsid w:val="00395E42"/>
    <w:rsid w:val="00396409"/>
    <w:rsid w:val="003966DE"/>
    <w:rsid w:val="00396A2D"/>
    <w:rsid w:val="00396FC3"/>
    <w:rsid w:val="003972F3"/>
    <w:rsid w:val="0039779B"/>
    <w:rsid w:val="003A0291"/>
    <w:rsid w:val="003A0A27"/>
    <w:rsid w:val="003A13E2"/>
    <w:rsid w:val="003A1431"/>
    <w:rsid w:val="003A1A94"/>
    <w:rsid w:val="003A1B38"/>
    <w:rsid w:val="003A1FF5"/>
    <w:rsid w:val="003A204E"/>
    <w:rsid w:val="003A2B19"/>
    <w:rsid w:val="003A2D25"/>
    <w:rsid w:val="003A2DB1"/>
    <w:rsid w:val="003A5101"/>
    <w:rsid w:val="003A5265"/>
    <w:rsid w:val="003A5715"/>
    <w:rsid w:val="003A5728"/>
    <w:rsid w:val="003A60E7"/>
    <w:rsid w:val="003A6AE2"/>
    <w:rsid w:val="003A7092"/>
    <w:rsid w:val="003A72A1"/>
    <w:rsid w:val="003A7302"/>
    <w:rsid w:val="003A7566"/>
    <w:rsid w:val="003A7611"/>
    <w:rsid w:val="003A7A46"/>
    <w:rsid w:val="003A7D1F"/>
    <w:rsid w:val="003B0A4E"/>
    <w:rsid w:val="003B0B6A"/>
    <w:rsid w:val="003B0C41"/>
    <w:rsid w:val="003B129D"/>
    <w:rsid w:val="003B22F7"/>
    <w:rsid w:val="003B2518"/>
    <w:rsid w:val="003B29CF"/>
    <w:rsid w:val="003B2A86"/>
    <w:rsid w:val="003B3A90"/>
    <w:rsid w:val="003B3D01"/>
    <w:rsid w:val="003B4003"/>
    <w:rsid w:val="003B4391"/>
    <w:rsid w:val="003B455A"/>
    <w:rsid w:val="003B534F"/>
    <w:rsid w:val="003B6C60"/>
    <w:rsid w:val="003B7A79"/>
    <w:rsid w:val="003C0FE1"/>
    <w:rsid w:val="003C1016"/>
    <w:rsid w:val="003C151A"/>
    <w:rsid w:val="003C17F0"/>
    <w:rsid w:val="003C1D27"/>
    <w:rsid w:val="003C2A23"/>
    <w:rsid w:val="003C33A0"/>
    <w:rsid w:val="003C350C"/>
    <w:rsid w:val="003C3733"/>
    <w:rsid w:val="003C3903"/>
    <w:rsid w:val="003C3BA0"/>
    <w:rsid w:val="003C3EFA"/>
    <w:rsid w:val="003C4580"/>
    <w:rsid w:val="003C51C0"/>
    <w:rsid w:val="003C553C"/>
    <w:rsid w:val="003C5C5E"/>
    <w:rsid w:val="003C65C0"/>
    <w:rsid w:val="003C65D3"/>
    <w:rsid w:val="003C6692"/>
    <w:rsid w:val="003C6746"/>
    <w:rsid w:val="003C7555"/>
    <w:rsid w:val="003C7898"/>
    <w:rsid w:val="003C7A17"/>
    <w:rsid w:val="003D0FF5"/>
    <w:rsid w:val="003D11A3"/>
    <w:rsid w:val="003D1537"/>
    <w:rsid w:val="003D183C"/>
    <w:rsid w:val="003D2D1B"/>
    <w:rsid w:val="003D2F09"/>
    <w:rsid w:val="003D3558"/>
    <w:rsid w:val="003D36C0"/>
    <w:rsid w:val="003D40E5"/>
    <w:rsid w:val="003D48C7"/>
    <w:rsid w:val="003D4C27"/>
    <w:rsid w:val="003D572F"/>
    <w:rsid w:val="003D594C"/>
    <w:rsid w:val="003D6BEB"/>
    <w:rsid w:val="003D7109"/>
    <w:rsid w:val="003D71D7"/>
    <w:rsid w:val="003D7CE8"/>
    <w:rsid w:val="003E0514"/>
    <w:rsid w:val="003E0BAA"/>
    <w:rsid w:val="003E1032"/>
    <w:rsid w:val="003E1904"/>
    <w:rsid w:val="003E25B5"/>
    <w:rsid w:val="003E285E"/>
    <w:rsid w:val="003E2BD8"/>
    <w:rsid w:val="003E3124"/>
    <w:rsid w:val="003E3300"/>
    <w:rsid w:val="003E371E"/>
    <w:rsid w:val="003E3BC7"/>
    <w:rsid w:val="003E43D3"/>
    <w:rsid w:val="003E48E1"/>
    <w:rsid w:val="003E4F68"/>
    <w:rsid w:val="003E50F4"/>
    <w:rsid w:val="003E5797"/>
    <w:rsid w:val="003E59BB"/>
    <w:rsid w:val="003E6225"/>
    <w:rsid w:val="003E65AC"/>
    <w:rsid w:val="003E66AE"/>
    <w:rsid w:val="003E6CFE"/>
    <w:rsid w:val="003E7160"/>
    <w:rsid w:val="003E72B9"/>
    <w:rsid w:val="003E7612"/>
    <w:rsid w:val="003E7ED4"/>
    <w:rsid w:val="003F0187"/>
    <w:rsid w:val="003F0CAA"/>
    <w:rsid w:val="003F0E52"/>
    <w:rsid w:val="003F0F6B"/>
    <w:rsid w:val="003F1DCD"/>
    <w:rsid w:val="003F1FC6"/>
    <w:rsid w:val="003F1FE3"/>
    <w:rsid w:val="003F2112"/>
    <w:rsid w:val="003F2359"/>
    <w:rsid w:val="003F2457"/>
    <w:rsid w:val="003F2D23"/>
    <w:rsid w:val="003F3232"/>
    <w:rsid w:val="003F3369"/>
    <w:rsid w:val="003F359A"/>
    <w:rsid w:val="003F3865"/>
    <w:rsid w:val="003F38AC"/>
    <w:rsid w:val="003F3D55"/>
    <w:rsid w:val="003F44E2"/>
    <w:rsid w:val="003F4632"/>
    <w:rsid w:val="003F47BA"/>
    <w:rsid w:val="003F49F3"/>
    <w:rsid w:val="003F4FE6"/>
    <w:rsid w:val="003F5638"/>
    <w:rsid w:val="003F5B7B"/>
    <w:rsid w:val="003F6617"/>
    <w:rsid w:val="003F7305"/>
    <w:rsid w:val="003F7F36"/>
    <w:rsid w:val="00400A58"/>
    <w:rsid w:val="00400E70"/>
    <w:rsid w:val="00402332"/>
    <w:rsid w:val="004025C2"/>
    <w:rsid w:val="00402887"/>
    <w:rsid w:val="00402FB7"/>
    <w:rsid w:val="00403195"/>
    <w:rsid w:val="004033A9"/>
    <w:rsid w:val="00403E55"/>
    <w:rsid w:val="0040407C"/>
    <w:rsid w:val="0040416C"/>
    <w:rsid w:val="004041CA"/>
    <w:rsid w:val="004044B4"/>
    <w:rsid w:val="00404681"/>
    <w:rsid w:val="004048F9"/>
    <w:rsid w:val="00404A80"/>
    <w:rsid w:val="00404B32"/>
    <w:rsid w:val="00405445"/>
    <w:rsid w:val="0040579D"/>
    <w:rsid w:val="00405AC1"/>
    <w:rsid w:val="0040675A"/>
    <w:rsid w:val="00406923"/>
    <w:rsid w:val="0040763D"/>
    <w:rsid w:val="0041038E"/>
    <w:rsid w:val="00410D17"/>
    <w:rsid w:val="0041183A"/>
    <w:rsid w:val="00411DCB"/>
    <w:rsid w:val="00412656"/>
    <w:rsid w:val="00412AA9"/>
    <w:rsid w:val="00413442"/>
    <w:rsid w:val="00413821"/>
    <w:rsid w:val="00413BA5"/>
    <w:rsid w:val="004141A3"/>
    <w:rsid w:val="00414909"/>
    <w:rsid w:val="0041582F"/>
    <w:rsid w:val="00415AC9"/>
    <w:rsid w:val="00415CF3"/>
    <w:rsid w:val="00416112"/>
    <w:rsid w:val="004167AD"/>
    <w:rsid w:val="00416F8E"/>
    <w:rsid w:val="0041716A"/>
    <w:rsid w:val="0041745E"/>
    <w:rsid w:val="00417A18"/>
    <w:rsid w:val="00417AE0"/>
    <w:rsid w:val="00417BAA"/>
    <w:rsid w:val="00417E8E"/>
    <w:rsid w:val="0042042B"/>
    <w:rsid w:val="00420457"/>
    <w:rsid w:val="00420B45"/>
    <w:rsid w:val="00420D7A"/>
    <w:rsid w:val="00421257"/>
    <w:rsid w:val="00421621"/>
    <w:rsid w:val="004220C7"/>
    <w:rsid w:val="00422193"/>
    <w:rsid w:val="004223DE"/>
    <w:rsid w:val="00422645"/>
    <w:rsid w:val="00422A10"/>
    <w:rsid w:val="0042496A"/>
    <w:rsid w:val="00424D17"/>
    <w:rsid w:val="004259FC"/>
    <w:rsid w:val="00425DFD"/>
    <w:rsid w:val="00425EA9"/>
    <w:rsid w:val="004263A3"/>
    <w:rsid w:val="004269F0"/>
    <w:rsid w:val="0042711B"/>
    <w:rsid w:val="00427713"/>
    <w:rsid w:val="00427C77"/>
    <w:rsid w:val="00427CCC"/>
    <w:rsid w:val="0043013A"/>
    <w:rsid w:val="00430421"/>
    <w:rsid w:val="00430A36"/>
    <w:rsid w:val="00430B4F"/>
    <w:rsid w:val="00430C37"/>
    <w:rsid w:val="00431084"/>
    <w:rsid w:val="004310D7"/>
    <w:rsid w:val="0043180D"/>
    <w:rsid w:val="00431FF2"/>
    <w:rsid w:val="004322D6"/>
    <w:rsid w:val="0043254E"/>
    <w:rsid w:val="00432589"/>
    <w:rsid w:val="00432A94"/>
    <w:rsid w:val="00432C95"/>
    <w:rsid w:val="00433359"/>
    <w:rsid w:val="00433827"/>
    <w:rsid w:val="00433A40"/>
    <w:rsid w:val="00433AEA"/>
    <w:rsid w:val="00434B70"/>
    <w:rsid w:val="004355EF"/>
    <w:rsid w:val="00435809"/>
    <w:rsid w:val="004360C8"/>
    <w:rsid w:val="00436823"/>
    <w:rsid w:val="004371D5"/>
    <w:rsid w:val="0043773F"/>
    <w:rsid w:val="00437FBF"/>
    <w:rsid w:val="0044006B"/>
    <w:rsid w:val="0044033F"/>
    <w:rsid w:val="00440576"/>
    <w:rsid w:val="00440630"/>
    <w:rsid w:val="00440D6B"/>
    <w:rsid w:val="00440E07"/>
    <w:rsid w:val="0044142F"/>
    <w:rsid w:val="00441F0F"/>
    <w:rsid w:val="00442965"/>
    <w:rsid w:val="004432B6"/>
    <w:rsid w:val="00444081"/>
    <w:rsid w:val="00444157"/>
    <w:rsid w:val="0044417C"/>
    <w:rsid w:val="00444DB3"/>
    <w:rsid w:val="00445617"/>
    <w:rsid w:val="00445A2F"/>
    <w:rsid w:val="004463FF"/>
    <w:rsid w:val="0044648F"/>
    <w:rsid w:val="0044680A"/>
    <w:rsid w:val="0044684E"/>
    <w:rsid w:val="00446F22"/>
    <w:rsid w:val="00447C74"/>
    <w:rsid w:val="00447E41"/>
    <w:rsid w:val="0045019F"/>
    <w:rsid w:val="004503A4"/>
    <w:rsid w:val="00450555"/>
    <w:rsid w:val="004506FA"/>
    <w:rsid w:val="004507B6"/>
    <w:rsid w:val="00450BC8"/>
    <w:rsid w:val="00450DC6"/>
    <w:rsid w:val="004516A5"/>
    <w:rsid w:val="00451E9C"/>
    <w:rsid w:val="00452145"/>
    <w:rsid w:val="004522D0"/>
    <w:rsid w:val="0045280F"/>
    <w:rsid w:val="00452E73"/>
    <w:rsid w:val="004533F6"/>
    <w:rsid w:val="004535AE"/>
    <w:rsid w:val="004537F7"/>
    <w:rsid w:val="00453C53"/>
    <w:rsid w:val="0045444D"/>
    <w:rsid w:val="0045463A"/>
    <w:rsid w:val="00454AC9"/>
    <w:rsid w:val="00455050"/>
    <w:rsid w:val="004554A3"/>
    <w:rsid w:val="00455626"/>
    <w:rsid w:val="00455A6E"/>
    <w:rsid w:val="00455AC4"/>
    <w:rsid w:val="00455EAD"/>
    <w:rsid w:val="004578EB"/>
    <w:rsid w:val="00457F74"/>
    <w:rsid w:val="004604D5"/>
    <w:rsid w:val="004605C6"/>
    <w:rsid w:val="00460697"/>
    <w:rsid w:val="0046117B"/>
    <w:rsid w:val="004619A3"/>
    <w:rsid w:val="00461FC2"/>
    <w:rsid w:val="0046281E"/>
    <w:rsid w:val="004632B9"/>
    <w:rsid w:val="004644A4"/>
    <w:rsid w:val="00464AB7"/>
    <w:rsid w:val="00465959"/>
    <w:rsid w:val="004659D0"/>
    <w:rsid w:val="00465DE5"/>
    <w:rsid w:val="00466103"/>
    <w:rsid w:val="004676DF"/>
    <w:rsid w:val="00467A83"/>
    <w:rsid w:val="00467EF8"/>
    <w:rsid w:val="00470006"/>
    <w:rsid w:val="00470611"/>
    <w:rsid w:val="00470848"/>
    <w:rsid w:val="00470CAB"/>
    <w:rsid w:val="00471796"/>
    <w:rsid w:val="00471AC3"/>
    <w:rsid w:val="00472429"/>
    <w:rsid w:val="004725E5"/>
    <w:rsid w:val="00472751"/>
    <w:rsid w:val="00473128"/>
    <w:rsid w:val="004748A5"/>
    <w:rsid w:val="00475078"/>
    <w:rsid w:val="00475767"/>
    <w:rsid w:val="00476FC2"/>
    <w:rsid w:val="004779A0"/>
    <w:rsid w:val="00477F17"/>
    <w:rsid w:val="004800A0"/>
    <w:rsid w:val="00480362"/>
    <w:rsid w:val="00480363"/>
    <w:rsid w:val="004808E3"/>
    <w:rsid w:val="00480B7E"/>
    <w:rsid w:val="00480CFE"/>
    <w:rsid w:val="00481016"/>
    <w:rsid w:val="0048124C"/>
    <w:rsid w:val="0048204C"/>
    <w:rsid w:val="004821BB"/>
    <w:rsid w:val="0048237A"/>
    <w:rsid w:val="004826FE"/>
    <w:rsid w:val="004827D5"/>
    <w:rsid w:val="00482AF2"/>
    <w:rsid w:val="004830C9"/>
    <w:rsid w:val="00483347"/>
    <w:rsid w:val="00483E2E"/>
    <w:rsid w:val="00484B69"/>
    <w:rsid w:val="0048529F"/>
    <w:rsid w:val="00485406"/>
    <w:rsid w:val="0048590F"/>
    <w:rsid w:val="004864D4"/>
    <w:rsid w:val="00486D60"/>
    <w:rsid w:val="00486DBC"/>
    <w:rsid w:val="00487180"/>
    <w:rsid w:val="00487BA1"/>
    <w:rsid w:val="0049155D"/>
    <w:rsid w:val="00491FA1"/>
    <w:rsid w:val="00492A25"/>
    <w:rsid w:val="004938A3"/>
    <w:rsid w:val="004950A6"/>
    <w:rsid w:val="0049558B"/>
    <w:rsid w:val="00496350"/>
    <w:rsid w:val="00496BB5"/>
    <w:rsid w:val="00496F9C"/>
    <w:rsid w:val="0049765E"/>
    <w:rsid w:val="00497843"/>
    <w:rsid w:val="0049797C"/>
    <w:rsid w:val="004A1405"/>
    <w:rsid w:val="004A15BD"/>
    <w:rsid w:val="004A1E28"/>
    <w:rsid w:val="004A1FC6"/>
    <w:rsid w:val="004A2E5F"/>
    <w:rsid w:val="004A345A"/>
    <w:rsid w:val="004A38C2"/>
    <w:rsid w:val="004A3968"/>
    <w:rsid w:val="004A3C03"/>
    <w:rsid w:val="004A3DB7"/>
    <w:rsid w:val="004A463B"/>
    <w:rsid w:val="004A5088"/>
    <w:rsid w:val="004A50E5"/>
    <w:rsid w:val="004A5255"/>
    <w:rsid w:val="004A61CA"/>
    <w:rsid w:val="004A6B28"/>
    <w:rsid w:val="004A6CB0"/>
    <w:rsid w:val="004A70FF"/>
    <w:rsid w:val="004A77B5"/>
    <w:rsid w:val="004A7EDE"/>
    <w:rsid w:val="004B0283"/>
    <w:rsid w:val="004B0D93"/>
    <w:rsid w:val="004B19C8"/>
    <w:rsid w:val="004B1FA4"/>
    <w:rsid w:val="004B29AC"/>
    <w:rsid w:val="004B2AD4"/>
    <w:rsid w:val="004B35DF"/>
    <w:rsid w:val="004B3627"/>
    <w:rsid w:val="004B3837"/>
    <w:rsid w:val="004B3EEA"/>
    <w:rsid w:val="004B4922"/>
    <w:rsid w:val="004B52E0"/>
    <w:rsid w:val="004B57DF"/>
    <w:rsid w:val="004B5976"/>
    <w:rsid w:val="004B6E54"/>
    <w:rsid w:val="004B722E"/>
    <w:rsid w:val="004B72E8"/>
    <w:rsid w:val="004B7661"/>
    <w:rsid w:val="004B771A"/>
    <w:rsid w:val="004C01A5"/>
    <w:rsid w:val="004C0412"/>
    <w:rsid w:val="004C0882"/>
    <w:rsid w:val="004C2138"/>
    <w:rsid w:val="004C2B69"/>
    <w:rsid w:val="004C302E"/>
    <w:rsid w:val="004C3940"/>
    <w:rsid w:val="004C51FD"/>
    <w:rsid w:val="004C5ED7"/>
    <w:rsid w:val="004C64A1"/>
    <w:rsid w:val="004C64B8"/>
    <w:rsid w:val="004C65A8"/>
    <w:rsid w:val="004C6689"/>
    <w:rsid w:val="004C6BF3"/>
    <w:rsid w:val="004C7408"/>
    <w:rsid w:val="004C7850"/>
    <w:rsid w:val="004D0479"/>
    <w:rsid w:val="004D0DE7"/>
    <w:rsid w:val="004D139A"/>
    <w:rsid w:val="004D14DC"/>
    <w:rsid w:val="004D17C6"/>
    <w:rsid w:val="004D1FB2"/>
    <w:rsid w:val="004D2858"/>
    <w:rsid w:val="004D2E49"/>
    <w:rsid w:val="004D35BA"/>
    <w:rsid w:val="004D36FC"/>
    <w:rsid w:val="004D38E5"/>
    <w:rsid w:val="004D3A48"/>
    <w:rsid w:val="004D3C5A"/>
    <w:rsid w:val="004D449A"/>
    <w:rsid w:val="004D4701"/>
    <w:rsid w:val="004D47C7"/>
    <w:rsid w:val="004D4B2B"/>
    <w:rsid w:val="004D4F35"/>
    <w:rsid w:val="004D51EE"/>
    <w:rsid w:val="004D5C03"/>
    <w:rsid w:val="004D5D45"/>
    <w:rsid w:val="004D618D"/>
    <w:rsid w:val="004D62A9"/>
    <w:rsid w:val="004D6559"/>
    <w:rsid w:val="004D6FC3"/>
    <w:rsid w:val="004D7476"/>
    <w:rsid w:val="004D7716"/>
    <w:rsid w:val="004E0167"/>
    <w:rsid w:val="004E0306"/>
    <w:rsid w:val="004E0572"/>
    <w:rsid w:val="004E07BD"/>
    <w:rsid w:val="004E086D"/>
    <w:rsid w:val="004E1641"/>
    <w:rsid w:val="004E1818"/>
    <w:rsid w:val="004E1990"/>
    <w:rsid w:val="004E2186"/>
    <w:rsid w:val="004E25A8"/>
    <w:rsid w:val="004E299B"/>
    <w:rsid w:val="004E29E6"/>
    <w:rsid w:val="004E2A77"/>
    <w:rsid w:val="004E2B53"/>
    <w:rsid w:val="004E3672"/>
    <w:rsid w:val="004E3930"/>
    <w:rsid w:val="004E3A23"/>
    <w:rsid w:val="004E3ED9"/>
    <w:rsid w:val="004E3FB7"/>
    <w:rsid w:val="004E4961"/>
    <w:rsid w:val="004E5866"/>
    <w:rsid w:val="004E6097"/>
    <w:rsid w:val="004E61EF"/>
    <w:rsid w:val="004E63C6"/>
    <w:rsid w:val="004E6805"/>
    <w:rsid w:val="004E76A7"/>
    <w:rsid w:val="004E7B03"/>
    <w:rsid w:val="004E7F95"/>
    <w:rsid w:val="004F0064"/>
    <w:rsid w:val="004F06AC"/>
    <w:rsid w:val="004F0E50"/>
    <w:rsid w:val="004F1D2A"/>
    <w:rsid w:val="004F243F"/>
    <w:rsid w:val="004F252C"/>
    <w:rsid w:val="004F3065"/>
    <w:rsid w:val="004F36A3"/>
    <w:rsid w:val="004F3E0C"/>
    <w:rsid w:val="004F4036"/>
    <w:rsid w:val="004F4308"/>
    <w:rsid w:val="004F4892"/>
    <w:rsid w:val="004F4D2C"/>
    <w:rsid w:val="004F5C3B"/>
    <w:rsid w:val="004F5DA0"/>
    <w:rsid w:val="004F7160"/>
    <w:rsid w:val="004F7F77"/>
    <w:rsid w:val="00500258"/>
    <w:rsid w:val="00500B2D"/>
    <w:rsid w:val="00500EC6"/>
    <w:rsid w:val="0050130B"/>
    <w:rsid w:val="00501A99"/>
    <w:rsid w:val="00501F1D"/>
    <w:rsid w:val="005021F2"/>
    <w:rsid w:val="00502219"/>
    <w:rsid w:val="00502456"/>
    <w:rsid w:val="00503180"/>
    <w:rsid w:val="0050336B"/>
    <w:rsid w:val="005038A4"/>
    <w:rsid w:val="00503DC4"/>
    <w:rsid w:val="00504AF6"/>
    <w:rsid w:val="00504C56"/>
    <w:rsid w:val="00504CD4"/>
    <w:rsid w:val="0050524B"/>
    <w:rsid w:val="00505450"/>
    <w:rsid w:val="00505FC6"/>
    <w:rsid w:val="00506DA6"/>
    <w:rsid w:val="00507170"/>
    <w:rsid w:val="005100B7"/>
    <w:rsid w:val="005105DE"/>
    <w:rsid w:val="005113C9"/>
    <w:rsid w:val="00511ACD"/>
    <w:rsid w:val="00512050"/>
    <w:rsid w:val="00512055"/>
    <w:rsid w:val="0051280C"/>
    <w:rsid w:val="00512842"/>
    <w:rsid w:val="005128BE"/>
    <w:rsid w:val="0051356F"/>
    <w:rsid w:val="00513DEC"/>
    <w:rsid w:val="00513E7C"/>
    <w:rsid w:val="005140BB"/>
    <w:rsid w:val="00514FBE"/>
    <w:rsid w:val="00514FD9"/>
    <w:rsid w:val="005154BB"/>
    <w:rsid w:val="0051550A"/>
    <w:rsid w:val="00515E31"/>
    <w:rsid w:val="0051608F"/>
    <w:rsid w:val="00516480"/>
    <w:rsid w:val="005171F4"/>
    <w:rsid w:val="005173D3"/>
    <w:rsid w:val="00517A4E"/>
    <w:rsid w:val="00520EF8"/>
    <w:rsid w:val="005210F7"/>
    <w:rsid w:val="00521753"/>
    <w:rsid w:val="00521C64"/>
    <w:rsid w:val="00522083"/>
    <w:rsid w:val="0052239D"/>
    <w:rsid w:val="005224EE"/>
    <w:rsid w:val="00522879"/>
    <w:rsid w:val="005229AD"/>
    <w:rsid w:val="00522FFE"/>
    <w:rsid w:val="0052363A"/>
    <w:rsid w:val="00523BB1"/>
    <w:rsid w:val="005241A0"/>
    <w:rsid w:val="00524B23"/>
    <w:rsid w:val="0052511C"/>
    <w:rsid w:val="00525235"/>
    <w:rsid w:val="0052570E"/>
    <w:rsid w:val="005260CD"/>
    <w:rsid w:val="00526265"/>
    <w:rsid w:val="00526332"/>
    <w:rsid w:val="0052655D"/>
    <w:rsid w:val="005265E0"/>
    <w:rsid w:val="00526BC3"/>
    <w:rsid w:val="00530064"/>
    <w:rsid w:val="00530440"/>
    <w:rsid w:val="005305D2"/>
    <w:rsid w:val="00530691"/>
    <w:rsid w:val="0053085C"/>
    <w:rsid w:val="00530FF0"/>
    <w:rsid w:val="005311F0"/>
    <w:rsid w:val="005313CA"/>
    <w:rsid w:val="00531761"/>
    <w:rsid w:val="0053248F"/>
    <w:rsid w:val="005327AB"/>
    <w:rsid w:val="00532F9C"/>
    <w:rsid w:val="00533055"/>
    <w:rsid w:val="0053332A"/>
    <w:rsid w:val="0053358A"/>
    <w:rsid w:val="00534465"/>
    <w:rsid w:val="00534668"/>
    <w:rsid w:val="005348CA"/>
    <w:rsid w:val="00534B28"/>
    <w:rsid w:val="00534DDD"/>
    <w:rsid w:val="00535291"/>
    <w:rsid w:val="00535A94"/>
    <w:rsid w:val="00536A40"/>
    <w:rsid w:val="00537874"/>
    <w:rsid w:val="0053795F"/>
    <w:rsid w:val="00537D3D"/>
    <w:rsid w:val="00540511"/>
    <w:rsid w:val="00540578"/>
    <w:rsid w:val="005407FE"/>
    <w:rsid w:val="00540808"/>
    <w:rsid w:val="0054080E"/>
    <w:rsid w:val="00540D1A"/>
    <w:rsid w:val="00540DE5"/>
    <w:rsid w:val="00540EA1"/>
    <w:rsid w:val="00541E5A"/>
    <w:rsid w:val="00542769"/>
    <w:rsid w:val="0054277D"/>
    <w:rsid w:val="0054298C"/>
    <w:rsid w:val="00543066"/>
    <w:rsid w:val="0054358E"/>
    <w:rsid w:val="00543AF4"/>
    <w:rsid w:val="00543CD2"/>
    <w:rsid w:val="00543F53"/>
    <w:rsid w:val="00544191"/>
    <w:rsid w:val="0054440C"/>
    <w:rsid w:val="005448EC"/>
    <w:rsid w:val="00544C0A"/>
    <w:rsid w:val="00544F39"/>
    <w:rsid w:val="005452DC"/>
    <w:rsid w:val="005457FB"/>
    <w:rsid w:val="00545C5B"/>
    <w:rsid w:val="00546B96"/>
    <w:rsid w:val="00546F90"/>
    <w:rsid w:val="005477F7"/>
    <w:rsid w:val="00547EFB"/>
    <w:rsid w:val="00550186"/>
    <w:rsid w:val="00550192"/>
    <w:rsid w:val="0055037E"/>
    <w:rsid w:val="00550BD9"/>
    <w:rsid w:val="005522F2"/>
    <w:rsid w:val="005531DF"/>
    <w:rsid w:val="00553874"/>
    <w:rsid w:val="00553DCE"/>
    <w:rsid w:val="00553F4B"/>
    <w:rsid w:val="005541E0"/>
    <w:rsid w:val="005543B3"/>
    <w:rsid w:val="00554577"/>
    <w:rsid w:val="005545A1"/>
    <w:rsid w:val="00554AD8"/>
    <w:rsid w:val="00554F78"/>
    <w:rsid w:val="00555DA1"/>
    <w:rsid w:val="005562FB"/>
    <w:rsid w:val="00556731"/>
    <w:rsid w:val="00556BF7"/>
    <w:rsid w:val="00556C70"/>
    <w:rsid w:val="00556E53"/>
    <w:rsid w:val="00556FF1"/>
    <w:rsid w:val="0055745C"/>
    <w:rsid w:val="00557F60"/>
    <w:rsid w:val="00560D81"/>
    <w:rsid w:val="00561730"/>
    <w:rsid w:val="00561913"/>
    <w:rsid w:val="00561B97"/>
    <w:rsid w:val="00562149"/>
    <w:rsid w:val="00562285"/>
    <w:rsid w:val="0056248C"/>
    <w:rsid w:val="005640EB"/>
    <w:rsid w:val="00565559"/>
    <w:rsid w:val="005666A4"/>
    <w:rsid w:val="00567B5D"/>
    <w:rsid w:val="00570593"/>
    <w:rsid w:val="00570757"/>
    <w:rsid w:val="00570921"/>
    <w:rsid w:val="0057257D"/>
    <w:rsid w:val="00572D0B"/>
    <w:rsid w:val="00572DBE"/>
    <w:rsid w:val="00573293"/>
    <w:rsid w:val="00573733"/>
    <w:rsid w:val="00573DBC"/>
    <w:rsid w:val="00573E08"/>
    <w:rsid w:val="00573F8B"/>
    <w:rsid w:val="005743E0"/>
    <w:rsid w:val="00574554"/>
    <w:rsid w:val="00574E06"/>
    <w:rsid w:val="005751BB"/>
    <w:rsid w:val="00575713"/>
    <w:rsid w:val="00576089"/>
    <w:rsid w:val="005764B1"/>
    <w:rsid w:val="00576852"/>
    <w:rsid w:val="00576D06"/>
    <w:rsid w:val="005779E4"/>
    <w:rsid w:val="00577E82"/>
    <w:rsid w:val="00580B89"/>
    <w:rsid w:val="00580EC7"/>
    <w:rsid w:val="005813FA"/>
    <w:rsid w:val="00581EA9"/>
    <w:rsid w:val="005826D2"/>
    <w:rsid w:val="0058289C"/>
    <w:rsid w:val="005836C7"/>
    <w:rsid w:val="00583A83"/>
    <w:rsid w:val="0058408E"/>
    <w:rsid w:val="005844C3"/>
    <w:rsid w:val="005847D9"/>
    <w:rsid w:val="00584909"/>
    <w:rsid w:val="00585374"/>
    <w:rsid w:val="005854CA"/>
    <w:rsid w:val="00585FAB"/>
    <w:rsid w:val="0058607D"/>
    <w:rsid w:val="00590B77"/>
    <w:rsid w:val="00590D9A"/>
    <w:rsid w:val="005913A3"/>
    <w:rsid w:val="005919E6"/>
    <w:rsid w:val="00591A5A"/>
    <w:rsid w:val="005929D8"/>
    <w:rsid w:val="00592C40"/>
    <w:rsid w:val="00593B28"/>
    <w:rsid w:val="00593C06"/>
    <w:rsid w:val="005940D4"/>
    <w:rsid w:val="00594A7B"/>
    <w:rsid w:val="0059580E"/>
    <w:rsid w:val="00595D90"/>
    <w:rsid w:val="00596A6F"/>
    <w:rsid w:val="00596D11"/>
    <w:rsid w:val="00596FCE"/>
    <w:rsid w:val="00597A4D"/>
    <w:rsid w:val="005A0300"/>
    <w:rsid w:val="005A11BC"/>
    <w:rsid w:val="005A1525"/>
    <w:rsid w:val="005A16F6"/>
    <w:rsid w:val="005A188D"/>
    <w:rsid w:val="005A1A61"/>
    <w:rsid w:val="005A1E17"/>
    <w:rsid w:val="005A252B"/>
    <w:rsid w:val="005A2A8F"/>
    <w:rsid w:val="005A3008"/>
    <w:rsid w:val="005A3204"/>
    <w:rsid w:val="005A3341"/>
    <w:rsid w:val="005A3C3D"/>
    <w:rsid w:val="005A46EC"/>
    <w:rsid w:val="005A5EAE"/>
    <w:rsid w:val="005A5EB8"/>
    <w:rsid w:val="005A6407"/>
    <w:rsid w:val="005A726C"/>
    <w:rsid w:val="005A79CF"/>
    <w:rsid w:val="005A7DDF"/>
    <w:rsid w:val="005B05D8"/>
    <w:rsid w:val="005B07EC"/>
    <w:rsid w:val="005B21B0"/>
    <w:rsid w:val="005B2899"/>
    <w:rsid w:val="005B2B11"/>
    <w:rsid w:val="005B32A4"/>
    <w:rsid w:val="005B3371"/>
    <w:rsid w:val="005B338D"/>
    <w:rsid w:val="005B33A1"/>
    <w:rsid w:val="005B3852"/>
    <w:rsid w:val="005B3BAF"/>
    <w:rsid w:val="005B43D5"/>
    <w:rsid w:val="005B4470"/>
    <w:rsid w:val="005B479B"/>
    <w:rsid w:val="005B4DA3"/>
    <w:rsid w:val="005B4E69"/>
    <w:rsid w:val="005B536A"/>
    <w:rsid w:val="005B5BEE"/>
    <w:rsid w:val="005B6AA9"/>
    <w:rsid w:val="005B77D2"/>
    <w:rsid w:val="005B7BDA"/>
    <w:rsid w:val="005C0164"/>
    <w:rsid w:val="005C0195"/>
    <w:rsid w:val="005C019B"/>
    <w:rsid w:val="005C08D0"/>
    <w:rsid w:val="005C14A0"/>
    <w:rsid w:val="005C15A1"/>
    <w:rsid w:val="005C1AED"/>
    <w:rsid w:val="005C1FCB"/>
    <w:rsid w:val="005C2136"/>
    <w:rsid w:val="005C290E"/>
    <w:rsid w:val="005C30F5"/>
    <w:rsid w:val="005C3571"/>
    <w:rsid w:val="005C3840"/>
    <w:rsid w:val="005C3AD8"/>
    <w:rsid w:val="005C426B"/>
    <w:rsid w:val="005C5084"/>
    <w:rsid w:val="005C519C"/>
    <w:rsid w:val="005C51A5"/>
    <w:rsid w:val="005C557A"/>
    <w:rsid w:val="005C566F"/>
    <w:rsid w:val="005C5B5C"/>
    <w:rsid w:val="005C5BF5"/>
    <w:rsid w:val="005C5C47"/>
    <w:rsid w:val="005C5D2D"/>
    <w:rsid w:val="005C5EFA"/>
    <w:rsid w:val="005C61DD"/>
    <w:rsid w:val="005C6438"/>
    <w:rsid w:val="005C64D2"/>
    <w:rsid w:val="005C6B8B"/>
    <w:rsid w:val="005C6E67"/>
    <w:rsid w:val="005C727F"/>
    <w:rsid w:val="005C7B0E"/>
    <w:rsid w:val="005C7B20"/>
    <w:rsid w:val="005D02E3"/>
    <w:rsid w:val="005D1419"/>
    <w:rsid w:val="005D1F34"/>
    <w:rsid w:val="005D284B"/>
    <w:rsid w:val="005D2C1F"/>
    <w:rsid w:val="005D34B2"/>
    <w:rsid w:val="005D3B54"/>
    <w:rsid w:val="005D3BB3"/>
    <w:rsid w:val="005D3E28"/>
    <w:rsid w:val="005D40CD"/>
    <w:rsid w:val="005D6B59"/>
    <w:rsid w:val="005D71C3"/>
    <w:rsid w:val="005D74D2"/>
    <w:rsid w:val="005D784B"/>
    <w:rsid w:val="005D7B90"/>
    <w:rsid w:val="005D7DE0"/>
    <w:rsid w:val="005E00AF"/>
    <w:rsid w:val="005E03E4"/>
    <w:rsid w:val="005E0454"/>
    <w:rsid w:val="005E05F6"/>
    <w:rsid w:val="005E19CF"/>
    <w:rsid w:val="005E1B9D"/>
    <w:rsid w:val="005E1BDA"/>
    <w:rsid w:val="005E1FCB"/>
    <w:rsid w:val="005E1FE5"/>
    <w:rsid w:val="005E2442"/>
    <w:rsid w:val="005E2768"/>
    <w:rsid w:val="005E3111"/>
    <w:rsid w:val="005E3B1C"/>
    <w:rsid w:val="005E3CA0"/>
    <w:rsid w:val="005E3D11"/>
    <w:rsid w:val="005E3D25"/>
    <w:rsid w:val="005E3F85"/>
    <w:rsid w:val="005E4A5F"/>
    <w:rsid w:val="005E4D86"/>
    <w:rsid w:val="005E4F8C"/>
    <w:rsid w:val="005E516A"/>
    <w:rsid w:val="005E52F5"/>
    <w:rsid w:val="005E57B0"/>
    <w:rsid w:val="005E5A0F"/>
    <w:rsid w:val="005E5B01"/>
    <w:rsid w:val="005E648D"/>
    <w:rsid w:val="005E6D3B"/>
    <w:rsid w:val="005E7EDD"/>
    <w:rsid w:val="005F009E"/>
    <w:rsid w:val="005F06A3"/>
    <w:rsid w:val="005F0BF9"/>
    <w:rsid w:val="005F0DF1"/>
    <w:rsid w:val="005F1516"/>
    <w:rsid w:val="005F1A6F"/>
    <w:rsid w:val="005F229E"/>
    <w:rsid w:val="005F2564"/>
    <w:rsid w:val="005F3822"/>
    <w:rsid w:val="005F4635"/>
    <w:rsid w:val="005F46B7"/>
    <w:rsid w:val="005F4900"/>
    <w:rsid w:val="005F4B6B"/>
    <w:rsid w:val="005F4E52"/>
    <w:rsid w:val="005F4F34"/>
    <w:rsid w:val="005F5466"/>
    <w:rsid w:val="005F6D58"/>
    <w:rsid w:val="005F7060"/>
    <w:rsid w:val="005F7383"/>
    <w:rsid w:val="005F76BD"/>
    <w:rsid w:val="005F7A58"/>
    <w:rsid w:val="0060058E"/>
    <w:rsid w:val="00602A3C"/>
    <w:rsid w:val="00602A54"/>
    <w:rsid w:val="00602A60"/>
    <w:rsid w:val="0060377B"/>
    <w:rsid w:val="00603B89"/>
    <w:rsid w:val="00603EFD"/>
    <w:rsid w:val="0060475B"/>
    <w:rsid w:val="00604BED"/>
    <w:rsid w:val="00604FB6"/>
    <w:rsid w:val="00605387"/>
    <w:rsid w:val="00606302"/>
    <w:rsid w:val="006076FD"/>
    <w:rsid w:val="0061036A"/>
    <w:rsid w:val="00610470"/>
    <w:rsid w:val="006107B1"/>
    <w:rsid w:val="00610811"/>
    <w:rsid w:val="0061143F"/>
    <w:rsid w:val="006114D8"/>
    <w:rsid w:val="00611800"/>
    <w:rsid w:val="00611CA1"/>
    <w:rsid w:val="00612685"/>
    <w:rsid w:val="00613553"/>
    <w:rsid w:val="00613601"/>
    <w:rsid w:val="00613791"/>
    <w:rsid w:val="006143F9"/>
    <w:rsid w:val="00614CD4"/>
    <w:rsid w:val="006150D6"/>
    <w:rsid w:val="00615245"/>
    <w:rsid w:val="0061525A"/>
    <w:rsid w:val="0061526D"/>
    <w:rsid w:val="00615788"/>
    <w:rsid w:val="0061590D"/>
    <w:rsid w:val="00615C84"/>
    <w:rsid w:val="00617EEE"/>
    <w:rsid w:val="00620A1F"/>
    <w:rsid w:val="0062169D"/>
    <w:rsid w:val="00621737"/>
    <w:rsid w:val="0062181E"/>
    <w:rsid w:val="0062197C"/>
    <w:rsid w:val="0062211B"/>
    <w:rsid w:val="0062227E"/>
    <w:rsid w:val="00622827"/>
    <w:rsid w:val="006228D3"/>
    <w:rsid w:val="00622BB7"/>
    <w:rsid w:val="00622C1E"/>
    <w:rsid w:val="00623389"/>
    <w:rsid w:val="00623DAA"/>
    <w:rsid w:val="00623FAF"/>
    <w:rsid w:val="0062460C"/>
    <w:rsid w:val="00624B3E"/>
    <w:rsid w:val="00624D82"/>
    <w:rsid w:val="00625337"/>
    <w:rsid w:val="0062578C"/>
    <w:rsid w:val="006259B6"/>
    <w:rsid w:val="00625A24"/>
    <w:rsid w:val="006265C4"/>
    <w:rsid w:val="0062678A"/>
    <w:rsid w:val="00626AF1"/>
    <w:rsid w:val="00626FCA"/>
    <w:rsid w:val="006270AF"/>
    <w:rsid w:val="00627237"/>
    <w:rsid w:val="00631184"/>
    <w:rsid w:val="00631864"/>
    <w:rsid w:val="00632F83"/>
    <w:rsid w:val="00634367"/>
    <w:rsid w:val="006355C2"/>
    <w:rsid w:val="006360AD"/>
    <w:rsid w:val="006364D7"/>
    <w:rsid w:val="00636554"/>
    <w:rsid w:val="006367E9"/>
    <w:rsid w:val="00636CE3"/>
    <w:rsid w:val="00640082"/>
    <w:rsid w:val="00640291"/>
    <w:rsid w:val="0064058C"/>
    <w:rsid w:val="00640EFE"/>
    <w:rsid w:val="00641D6D"/>
    <w:rsid w:val="00641E5B"/>
    <w:rsid w:val="00641FAC"/>
    <w:rsid w:val="00643664"/>
    <w:rsid w:val="006437ED"/>
    <w:rsid w:val="00643A99"/>
    <w:rsid w:val="00643CAA"/>
    <w:rsid w:val="006447C9"/>
    <w:rsid w:val="00644F16"/>
    <w:rsid w:val="006455EB"/>
    <w:rsid w:val="006456C2"/>
    <w:rsid w:val="00645A65"/>
    <w:rsid w:val="00646959"/>
    <w:rsid w:val="006477F0"/>
    <w:rsid w:val="006478E4"/>
    <w:rsid w:val="00647FD1"/>
    <w:rsid w:val="006509EA"/>
    <w:rsid w:val="0065164D"/>
    <w:rsid w:val="0065171A"/>
    <w:rsid w:val="00652680"/>
    <w:rsid w:val="00653CDE"/>
    <w:rsid w:val="00653EDB"/>
    <w:rsid w:val="00654585"/>
    <w:rsid w:val="006548E4"/>
    <w:rsid w:val="00654AC8"/>
    <w:rsid w:val="0065566E"/>
    <w:rsid w:val="00655999"/>
    <w:rsid w:val="00655AB6"/>
    <w:rsid w:val="00655C67"/>
    <w:rsid w:val="00655E2B"/>
    <w:rsid w:val="00655EFA"/>
    <w:rsid w:val="00656061"/>
    <w:rsid w:val="00656281"/>
    <w:rsid w:val="0065636A"/>
    <w:rsid w:val="00656BFC"/>
    <w:rsid w:val="00657003"/>
    <w:rsid w:val="00657428"/>
    <w:rsid w:val="00657CE2"/>
    <w:rsid w:val="00660238"/>
    <w:rsid w:val="006602EF"/>
    <w:rsid w:val="00661277"/>
    <w:rsid w:val="006619E0"/>
    <w:rsid w:val="00663FEA"/>
    <w:rsid w:val="00664803"/>
    <w:rsid w:val="00664934"/>
    <w:rsid w:val="00664D53"/>
    <w:rsid w:val="00664EB7"/>
    <w:rsid w:val="006657C5"/>
    <w:rsid w:val="00665874"/>
    <w:rsid w:val="00665D75"/>
    <w:rsid w:val="00666186"/>
    <w:rsid w:val="006661A4"/>
    <w:rsid w:val="00666433"/>
    <w:rsid w:val="00666AC0"/>
    <w:rsid w:val="006670E0"/>
    <w:rsid w:val="006671B8"/>
    <w:rsid w:val="00667275"/>
    <w:rsid w:val="00667532"/>
    <w:rsid w:val="0066783E"/>
    <w:rsid w:val="00667E53"/>
    <w:rsid w:val="006704DF"/>
    <w:rsid w:val="00670A64"/>
    <w:rsid w:val="00670D03"/>
    <w:rsid w:val="006711C4"/>
    <w:rsid w:val="006713AB"/>
    <w:rsid w:val="00672680"/>
    <w:rsid w:val="00672A3A"/>
    <w:rsid w:val="00672CA5"/>
    <w:rsid w:val="00673711"/>
    <w:rsid w:val="00673CDA"/>
    <w:rsid w:val="00673F82"/>
    <w:rsid w:val="00674F74"/>
    <w:rsid w:val="0067508F"/>
    <w:rsid w:val="006752B2"/>
    <w:rsid w:val="00676B25"/>
    <w:rsid w:val="00676B3E"/>
    <w:rsid w:val="0067704E"/>
    <w:rsid w:val="00677576"/>
    <w:rsid w:val="0068051E"/>
    <w:rsid w:val="00680B9D"/>
    <w:rsid w:val="00680DF1"/>
    <w:rsid w:val="00681F13"/>
    <w:rsid w:val="0068231C"/>
    <w:rsid w:val="00682344"/>
    <w:rsid w:val="00682C87"/>
    <w:rsid w:val="00682F28"/>
    <w:rsid w:val="006834F9"/>
    <w:rsid w:val="00683515"/>
    <w:rsid w:val="00683AB2"/>
    <w:rsid w:val="00684842"/>
    <w:rsid w:val="006856CA"/>
    <w:rsid w:val="00685789"/>
    <w:rsid w:val="006859AA"/>
    <w:rsid w:val="00685BD6"/>
    <w:rsid w:val="00686A20"/>
    <w:rsid w:val="00687116"/>
    <w:rsid w:val="006872D2"/>
    <w:rsid w:val="006878A6"/>
    <w:rsid w:val="00687D5F"/>
    <w:rsid w:val="00687F2E"/>
    <w:rsid w:val="00690437"/>
    <w:rsid w:val="00690623"/>
    <w:rsid w:val="00690DC3"/>
    <w:rsid w:val="00690E65"/>
    <w:rsid w:val="006911B7"/>
    <w:rsid w:val="00691387"/>
    <w:rsid w:val="006915C2"/>
    <w:rsid w:val="0069188E"/>
    <w:rsid w:val="00691974"/>
    <w:rsid w:val="00692584"/>
    <w:rsid w:val="00692BF6"/>
    <w:rsid w:val="00692C92"/>
    <w:rsid w:val="00692CA6"/>
    <w:rsid w:val="00692CE6"/>
    <w:rsid w:val="00693186"/>
    <w:rsid w:val="00693381"/>
    <w:rsid w:val="006936E4"/>
    <w:rsid w:val="00693B6C"/>
    <w:rsid w:val="006942AE"/>
    <w:rsid w:val="0069464B"/>
    <w:rsid w:val="006947A1"/>
    <w:rsid w:val="00695421"/>
    <w:rsid w:val="00696A9C"/>
    <w:rsid w:val="006970BF"/>
    <w:rsid w:val="00697BD3"/>
    <w:rsid w:val="00697DFA"/>
    <w:rsid w:val="006A12BA"/>
    <w:rsid w:val="006A16D5"/>
    <w:rsid w:val="006A1772"/>
    <w:rsid w:val="006A1780"/>
    <w:rsid w:val="006A1851"/>
    <w:rsid w:val="006A21DD"/>
    <w:rsid w:val="006A234F"/>
    <w:rsid w:val="006A26C6"/>
    <w:rsid w:val="006A2DCC"/>
    <w:rsid w:val="006A3302"/>
    <w:rsid w:val="006A34AF"/>
    <w:rsid w:val="006A38DA"/>
    <w:rsid w:val="006A3B28"/>
    <w:rsid w:val="006A47DC"/>
    <w:rsid w:val="006A4A4B"/>
    <w:rsid w:val="006A4FEE"/>
    <w:rsid w:val="006A5522"/>
    <w:rsid w:val="006A5549"/>
    <w:rsid w:val="006A59CC"/>
    <w:rsid w:val="006A6182"/>
    <w:rsid w:val="006A6574"/>
    <w:rsid w:val="006A703E"/>
    <w:rsid w:val="006A7BE3"/>
    <w:rsid w:val="006A7D32"/>
    <w:rsid w:val="006A7E1A"/>
    <w:rsid w:val="006B01D1"/>
    <w:rsid w:val="006B0C04"/>
    <w:rsid w:val="006B0DF4"/>
    <w:rsid w:val="006B1214"/>
    <w:rsid w:val="006B16EA"/>
    <w:rsid w:val="006B1780"/>
    <w:rsid w:val="006B1B60"/>
    <w:rsid w:val="006B1C80"/>
    <w:rsid w:val="006B21DC"/>
    <w:rsid w:val="006B224E"/>
    <w:rsid w:val="006B2349"/>
    <w:rsid w:val="006B25FA"/>
    <w:rsid w:val="006B2943"/>
    <w:rsid w:val="006B2C00"/>
    <w:rsid w:val="006B351F"/>
    <w:rsid w:val="006B376E"/>
    <w:rsid w:val="006B4128"/>
    <w:rsid w:val="006B4589"/>
    <w:rsid w:val="006B4CFA"/>
    <w:rsid w:val="006B5157"/>
    <w:rsid w:val="006B5E49"/>
    <w:rsid w:val="006B610E"/>
    <w:rsid w:val="006B6805"/>
    <w:rsid w:val="006B6C07"/>
    <w:rsid w:val="006B6DE0"/>
    <w:rsid w:val="006B723D"/>
    <w:rsid w:val="006B7DEE"/>
    <w:rsid w:val="006C1337"/>
    <w:rsid w:val="006C16C3"/>
    <w:rsid w:val="006C1FA6"/>
    <w:rsid w:val="006C2187"/>
    <w:rsid w:val="006C2588"/>
    <w:rsid w:val="006C27D9"/>
    <w:rsid w:val="006C32F4"/>
    <w:rsid w:val="006C3C54"/>
    <w:rsid w:val="006C3CA5"/>
    <w:rsid w:val="006C3CAA"/>
    <w:rsid w:val="006C4B6B"/>
    <w:rsid w:val="006C4CE1"/>
    <w:rsid w:val="006C4F9F"/>
    <w:rsid w:val="006C54B1"/>
    <w:rsid w:val="006C71A2"/>
    <w:rsid w:val="006C73EC"/>
    <w:rsid w:val="006D0997"/>
    <w:rsid w:val="006D0C1D"/>
    <w:rsid w:val="006D1BB1"/>
    <w:rsid w:val="006D2519"/>
    <w:rsid w:val="006D28F3"/>
    <w:rsid w:val="006D2E9D"/>
    <w:rsid w:val="006D31F0"/>
    <w:rsid w:val="006D3B48"/>
    <w:rsid w:val="006D4305"/>
    <w:rsid w:val="006D4A4E"/>
    <w:rsid w:val="006D4C42"/>
    <w:rsid w:val="006D4CF3"/>
    <w:rsid w:val="006D5067"/>
    <w:rsid w:val="006D5389"/>
    <w:rsid w:val="006D53A2"/>
    <w:rsid w:val="006D5809"/>
    <w:rsid w:val="006D607E"/>
    <w:rsid w:val="006D6E12"/>
    <w:rsid w:val="006D70CB"/>
    <w:rsid w:val="006D715C"/>
    <w:rsid w:val="006D7363"/>
    <w:rsid w:val="006D774E"/>
    <w:rsid w:val="006D7F08"/>
    <w:rsid w:val="006E0754"/>
    <w:rsid w:val="006E1481"/>
    <w:rsid w:val="006E19A4"/>
    <w:rsid w:val="006E1D1D"/>
    <w:rsid w:val="006E2668"/>
    <w:rsid w:val="006E2C88"/>
    <w:rsid w:val="006E2D39"/>
    <w:rsid w:val="006E2FE9"/>
    <w:rsid w:val="006E30A2"/>
    <w:rsid w:val="006E32B0"/>
    <w:rsid w:val="006E348E"/>
    <w:rsid w:val="006E396A"/>
    <w:rsid w:val="006E3D63"/>
    <w:rsid w:val="006E445C"/>
    <w:rsid w:val="006E4632"/>
    <w:rsid w:val="006E4998"/>
    <w:rsid w:val="006E4B31"/>
    <w:rsid w:val="006E58BF"/>
    <w:rsid w:val="006E5CE6"/>
    <w:rsid w:val="006E5DD8"/>
    <w:rsid w:val="006E5EA1"/>
    <w:rsid w:val="006E6937"/>
    <w:rsid w:val="006E6BE5"/>
    <w:rsid w:val="006E6DEE"/>
    <w:rsid w:val="006E6F44"/>
    <w:rsid w:val="006E7D4B"/>
    <w:rsid w:val="006E7F32"/>
    <w:rsid w:val="006F018A"/>
    <w:rsid w:val="006F0760"/>
    <w:rsid w:val="006F0D30"/>
    <w:rsid w:val="006F11E2"/>
    <w:rsid w:val="006F1A50"/>
    <w:rsid w:val="006F1A67"/>
    <w:rsid w:val="006F2574"/>
    <w:rsid w:val="006F292D"/>
    <w:rsid w:val="006F3164"/>
    <w:rsid w:val="006F3231"/>
    <w:rsid w:val="006F3DE3"/>
    <w:rsid w:val="006F4787"/>
    <w:rsid w:val="006F4B8F"/>
    <w:rsid w:val="006F57E6"/>
    <w:rsid w:val="006F5E2E"/>
    <w:rsid w:val="006F61D8"/>
    <w:rsid w:val="006F62B7"/>
    <w:rsid w:val="006F63E7"/>
    <w:rsid w:val="006F70BC"/>
    <w:rsid w:val="006F726C"/>
    <w:rsid w:val="006F7A22"/>
    <w:rsid w:val="006F7E7C"/>
    <w:rsid w:val="006F7F66"/>
    <w:rsid w:val="006F7FEA"/>
    <w:rsid w:val="00700C5B"/>
    <w:rsid w:val="00701329"/>
    <w:rsid w:val="0070174E"/>
    <w:rsid w:val="007018DB"/>
    <w:rsid w:val="00701DE6"/>
    <w:rsid w:val="00702740"/>
    <w:rsid w:val="007028E3"/>
    <w:rsid w:val="00703407"/>
    <w:rsid w:val="0070381B"/>
    <w:rsid w:val="00703F81"/>
    <w:rsid w:val="007041BC"/>
    <w:rsid w:val="00704CC8"/>
    <w:rsid w:val="00706759"/>
    <w:rsid w:val="0070796C"/>
    <w:rsid w:val="007109BB"/>
    <w:rsid w:val="00710B2D"/>
    <w:rsid w:val="00710EBF"/>
    <w:rsid w:val="007110B8"/>
    <w:rsid w:val="00711A7A"/>
    <w:rsid w:val="00711CD1"/>
    <w:rsid w:val="0071209F"/>
    <w:rsid w:val="007123F0"/>
    <w:rsid w:val="007125A2"/>
    <w:rsid w:val="007126FC"/>
    <w:rsid w:val="00712A68"/>
    <w:rsid w:val="00713DD9"/>
    <w:rsid w:val="00713F79"/>
    <w:rsid w:val="0071477B"/>
    <w:rsid w:val="007148A8"/>
    <w:rsid w:val="00714A29"/>
    <w:rsid w:val="007153E7"/>
    <w:rsid w:val="00715C70"/>
    <w:rsid w:val="00715E44"/>
    <w:rsid w:val="007164B0"/>
    <w:rsid w:val="00716AC8"/>
    <w:rsid w:val="00716E54"/>
    <w:rsid w:val="00717280"/>
    <w:rsid w:val="007202D2"/>
    <w:rsid w:val="0072033C"/>
    <w:rsid w:val="00720B1B"/>
    <w:rsid w:val="00720C76"/>
    <w:rsid w:val="00721062"/>
    <w:rsid w:val="00721366"/>
    <w:rsid w:val="00721454"/>
    <w:rsid w:val="00721D3D"/>
    <w:rsid w:val="00721E5D"/>
    <w:rsid w:val="007229D4"/>
    <w:rsid w:val="00722C42"/>
    <w:rsid w:val="00722E35"/>
    <w:rsid w:val="007230F8"/>
    <w:rsid w:val="007233F4"/>
    <w:rsid w:val="007235E3"/>
    <w:rsid w:val="0072381D"/>
    <w:rsid w:val="00724044"/>
    <w:rsid w:val="007240DB"/>
    <w:rsid w:val="00724120"/>
    <w:rsid w:val="007243F2"/>
    <w:rsid w:val="007248D3"/>
    <w:rsid w:val="00724B75"/>
    <w:rsid w:val="00724DF8"/>
    <w:rsid w:val="00725137"/>
    <w:rsid w:val="00725378"/>
    <w:rsid w:val="00725C31"/>
    <w:rsid w:val="00727795"/>
    <w:rsid w:val="00727A43"/>
    <w:rsid w:val="00727DBF"/>
    <w:rsid w:val="00727FF2"/>
    <w:rsid w:val="00727FFD"/>
    <w:rsid w:val="00730550"/>
    <w:rsid w:val="00730C2A"/>
    <w:rsid w:val="00730DF1"/>
    <w:rsid w:val="00731125"/>
    <w:rsid w:val="00731434"/>
    <w:rsid w:val="0073165D"/>
    <w:rsid w:val="00731E59"/>
    <w:rsid w:val="007323E0"/>
    <w:rsid w:val="00732911"/>
    <w:rsid w:val="00733721"/>
    <w:rsid w:val="00733965"/>
    <w:rsid w:val="00733DE2"/>
    <w:rsid w:val="00734142"/>
    <w:rsid w:val="00734358"/>
    <w:rsid w:val="007352AB"/>
    <w:rsid w:val="007352EA"/>
    <w:rsid w:val="007362CC"/>
    <w:rsid w:val="0073792F"/>
    <w:rsid w:val="00737CB3"/>
    <w:rsid w:val="00740C81"/>
    <w:rsid w:val="00740DA6"/>
    <w:rsid w:val="0074197B"/>
    <w:rsid w:val="00741B4B"/>
    <w:rsid w:val="00741D1E"/>
    <w:rsid w:val="00741DD6"/>
    <w:rsid w:val="00741EE2"/>
    <w:rsid w:val="0074207F"/>
    <w:rsid w:val="00742118"/>
    <w:rsid w:val="00742367"/>
    <w:rsid w:val="00742CBD"/>
    <w:rsid w:val="00742EAA"/>
    <w:rsid w:val="00743360"/>
    <w:rsid w:val="00743818"/>
    <w:rsid w:val="00743857"/>
    <w:rsid w:val="0074411D"/>
    <w:rsid w:val="007441FB"/>
    <w:rsid w:val="007444D7"/>
    <w:rsid w:val="00744517"/>
    <w:rsid w:val="0074522A"/>
    <w:rsid w:val="00745D90"/>
    <w:rsid w:val="007465D3"/>
    <w:rsid w:val="00746AED"/>
    <w:rsid w:val="00747295"/>
    <w:rsid w:val="00747346"/>
    <w:rsid w:val="00747829"/>
    <w:rsid w:val="0074789C"/>
    <w:rsid w:val="00747D46"/>
    <w:rsid w:val="00747DE2"/>
    <w:rsid w:val="00747E6D"/>
    <w:rsid w:val="007502D0"/>
    <w:rsid w:val="007504BF"/>
    <w:rsid w:val="007506CD"/>
    <w:rsid w:val="0075267F"/>
    <w:rsid w:val="007526EC"/>
    <w:rsid w:val="00753B8A"/>
    <w:rsid w:val="00753C48"/>
    <w:rsid w:val="00754250"/>
    <w:rsid w:val="00754FE4"/>
    <w:rsid w:val="00755216"/>
    <w:rsid w:val="00756236"/>
    <w:rsid w:val="00756271"/>
    <w:rsid w:val="00756348"/>
    <w:rsid w:val="00756521"/>
    <w:rsid w:val="00756AB7"/>
    <w:rsid w:val="00757975"/>
    <w:rsid w:val="00760B3A"/>
    <w:rsid w:val="0076106D"/>
    <w:rsid w:val="007610DA"/>
    <w:rsid w:val="007623FB"/>
    <w:rsid w:val="00762517"/>
    <w:rsid w:val="00763191"/>
    <w:rsid w:val="00763240"/>
    <w:rsid w:val="0076376A"/>
    <w:rsid w:val="0076413A"/>
    <w:rsid w:val="007643A1"/>
    <w:rsid w:val="007648AD"/>
    <w:rsid w:val="0076504E"/>
    <w:rsid w:val="00765E8F"/>
    <w:rsid w:val="007660C0"/>
    <w:rsid w:val="0076767E"/>
    <w:rsid w:val="00767BFD"/>
    <w:rsid w:val="00767EA0"/>
    <w:rsid w:val="0077068F"/>
    <w:rsid w:val="00771C16"/>
    <w:rsid w:val="00771CB0"/>
    <w:rsid w:val="00771EDF"/>
    <w:rsid w:val="00772530"/>
    <w:rsid w:val="00772A90"/>
    <w:rsid w:val="00772F8D"/>
    <w:rsid w:val="0077408D"/>
    <w:rsid w:val="00774270"/>
    <w:rsid w:val="007743F6"/>
    <w:rsid w:val="00775679"/>
    <w:rsid w:val="0077574F"/>
    <w:rsid w:val="00775823"/>
    <w:rsid w:val="00775AB0"/>
    <w:rsid w:val="00775B63"/>
    <w:rsid w:val="00776206"/>
    <w:rsid w:val="00777153"/>
    <w:rsid w:val="007777CC"/>
    <w:rsid w:val="00777B32"/>
    <w:rsid w:val="0078010C"/>
    <w:rsid w:val="00780250"/>
    <w:rsid w:val="0078051E"/>
    <w:rsid w:val="00780A3E"/>
    <w:rsid w:val="00781089"/>
    <w:rsid w:val="007814DD"/>
    <w:rsid w:val="00781A45"/>
    <w:rsid w:val="00781AC3"/>
    <w:rsid w:val="00781CB6"/>
    <w:rsid w:val="00782715"/>
    <w:rsid w:val="007838F3"/>
    <w:rsid w:val="0078419B"/>
    <w:rsid w:val="007853D6"/>
    <w:rsid w:val="00785612"/>
    <w:rsid w:val="007856FE"/>
    <w:rsid w:val="007857A0"/>
    <w:rsid w:val="00785A15"/>
    <w:rsid w:val="00785F46"/>
    <w:rsid w:val="007865F4"/>
    <w:rsid w:val="00786D5C"/>
    <w:rsid w:val="00786E96"/>
    <w:rsid w:val="00787BB6"/>
    <w:rsid w:val="00787DFF"/>
    <w:rsid w:val="00787F17"/>
    <w:rsid w:val="00787F93"/>
    <w:rsid w:val="00791E6D"/>
    <w:rsid w:val="00791EB5"/>
    <w:rsid w:val="00792377"/>
    <w:rsid w:val="0079343F"/>
    <w:rsid w:val="00793696"/>
    <w:rsid w:val="00793B8C"/>
    <w:rsid w:val="00793F13"/>
    <w:rsid w:val="007955DA"/>
    <w:rsid w:val="0079676B"/>
    <w:rsid w:val="00796A49"/>
    <w:rsid w:val="00796F65"/>
    <w:rsid w:val="00797813"/>
    <w:rsid w:val="007A11C2"/>
    <w:rsid w:val="007A1781"/>
    <w:rsid w:val="007A18BB"/>
    <w:rsid w:val="007A2489"/>
    <w:rsid w:val="007A27DD"/>
    <w:rsid w:val="007A2D2A"/>
    <w:rsid w:val="007A3C3F"/>
    <w:rsid w:val="007A41BF"/>
    <w:rsid w:val="007A490A"/>
    <w:rsid w:val="007A4F24"/>
    <w:rsid w:val="007A549E"/>
    <w:rsid w:val="007A54DC"/>
    <w:rsid w:val="007A5D50"/>
    <w:rsid w:val="007A6811"/>
    <w:rsid w:val="007A7289"/>
    <w:rsid w:val="007A7A78"/>
    <w:rsid w:val="007A7B95"/>
    <w:rsid w:val="007B0297"/>
    <w:rsid w:val="007B02FA"/>
    <w:rsid w:val="007B0F53"/>
    <w:rsid w:val="007B110A"/>
    <w:rsid w:val="007B1A4D"/>
    <w:rsid w:val="007B2027"/>
    <w:rsid w:val="007B21AE"/>
    <w:rsid w:val="007B2570"/>
    <w:rsid w:val="007B3113"/>
    <w:rsid w:val="007B3304"/>
    <w:rsid w:val="007B3BF0"/>
    <w:rsid w:val="007B4431"/>
    <w:rsid w:val="007B6927"/>
    <w:rsid w:val="007B6B18"/>
    <w:rsid w:val="007B6D80"/>
    <w:rsid w:val="007B7490"/>
    <w:rsid w:val="007B7C17"/>
    <w:rsid w:val="007B7C61"/>
    <w:rsid w:val="007C00B9"/>
    <w:rsid w:val="007C0525"/>
    <w:rsid w:val="007C06DB"/>
    <w:rsid w:val="007C13F7"/>
    <w:rsid w:val="007C1D77"/>
    <w:rsid w:val="007C218D"/>
    <w:rsid w:val="007C2590"/>
    <w:rsid w:val="007C2C5B"/>
    <w:rsid w:val="007C2D28"/>
    <w:rsid w:val="007C3875"/>
    <w:rsid w:val="007C3E22"/>
    <w:rsid w:val="007C4DAF"/>
    <w:rsid w:val="007C58C1"/>
    <w:rsid w:val="007C5B39"/>
    <w:rsid w:val="007C6218"/>
    <w:rsid w:val="007C6484"/>
    <w:rsid w:val="007C67C6"/>
    <w:rsid w:val="007C7356"/>
    <w:rsid w:val="007C78BE"/>
    <w:rsid w:val="007C7A5D"/>
    <w:rsid w:val="007C7E59"/>
    <w:rsid w:val="007D0363"/>
    <w:rsid w:val="007D0476"/>
    <w:rsid w:val="007D0B91"/>
    <w:rsid w:val="007D0F24"/>
    <w:rsid w:val="007D0FE7"/>
    <w:rsid w:val="007D1197"/>
    <w:rsid w:val="007D1452"/>
    <w:rsid w:val="007D1563"/>
    <w:rsid w:val="007D1FC6"/>
    <w:rsid w:val="007D2367"/>
    <w:rsid w:val="007D26DC"/>
    <w:rsid w:val="007D2BFE"/>
    <w:rsid w:val="007D3983"/>
    <w:rsid w:val="007D3DCB"/>
    <w:rsid w:val="007D4601"/>
    <w:rsid w:val="007D460C"/>
    <w:rsid w:val="007D4996"/>
    <w:rsid w:val="007D4AD3"/>
    <w:rsid w:val="007D4E63"/>
    <w:rsid w:val="007D5C58"/>
    <w:rsid w:val="007D5D19"/>
    <w:rsid w:val="007D5FDC"/>
    <w:rsid w:val="007D6176"/>
    <w:rsid w:val="007D641C"/>
    <w:rsid w:val="007D69CD"/>
    <w:rsid w:val="007D6D68"/>
    <w:rsid w:val="007D715E"/>
    <w:rsid w:val="007D7A0D"/>
    <w:rsid w:val="007E03B4"/>
    <w:rsid w:val="007E066C"/>
    <w:rsid w:val="007E194F"/>
    <w:rsid w:val="007E201B"/>
    <w:rsid w:val="007E250B"/>
    <w:rsid w:val="007E2724"/>
    <w:rsid w:val="007E2EE9"/>
    <w:rsid w:val="007E32DA"/>
    <w:rsid w:val="007E3B12"/>
    <w:rsid w:val="007E3B29"/>
    <w:rsid w:val="007E3B6D"/>
    <w:rsid w:val="007E4998"/>
    <w:rsid w:val="007E4A9C"/>
    <w:rsid w:val="007E4B9D"/>
    <w:rsid w:val="007E5248"/>
    <w:rsid w:val="007E5C4F"/>
    <w:rsid w:val="007E6914"/>
    <w:rsid w:val="007E70FD"/>
    <w:rsid w:val="007E7F78"/>
    <w:rsid w:val="007F0179"/>
    <w:rsid w:val="007F0FF8"/>
    <w:rsid w:val="007F148A"/>
    <w:rsid w:val="007F159F"/>
    <w:rsid w:val="007F2640"/>
    <w:rsid w:val="007F27CB"/>
    <w:rsid w:val="007F2C13"/>
    <w:rsid w:val="007F2CEC"/>
    <w:rsid w:val="007F2ED1"/>
    <w:rsid w:val="007F3435"/>
    <w:rsid w:val="007F4D57"/>
    <w:rsid w:val="007F503A"/>
    <w:rsid w:val="007F505D"/>
    <w:rsid w:val="007F531B"/>
    <w:rsid w:val="007F54CF"/>
    <w:rsid w:val="007F55DE"/>
    <w:rsid w:val="007F5BAC"/>
    <w:rsid w:val="007F6153"/>
    <w:rsid w:val="007F6ACC"/>
    <w:rsid w:val="007F718F"/>
    <w:rsid w:val="007F762D"/>
    <w:rsid w:val="007F78B8"/>
    <w:rsid w:val="007F78F0"/>
    <w:rsid w:val="007F78FF"/>
    <w:rsid w:val="008001C5"/>
    <w:rsid w:val="00800F6C"/>
    <w:rsid w:val="00801065"/>
    <w:rsid w:val="0080148E"/>
    <w:rsid w:val="008015A1"/>
    <w:rsid w:val="008024CA"/>
    <w:rsid w:val="00802C0B"/>
    <w:rsid w:val="00802D83"/>
    <w:rsid w:val="0080319D"/>
    <w:rsid w:val="00803ADF"/>
    <w:rsid w:val="00803DF1"/>
    <w:rsid w:val="00804206"/>
    <w:rsid w:val="0080425E"/>
    <w:rsid w:val="00805040"/>
    <w:rsid w:val="008051FC"/>
    <w:rsid w:val="008055A9"/>
    <w:rsid w:val="008056C4"/>
    <w:rsid w:val="008057FD"/>
    <w:rsid w:val="00805D8B"/>
    <w:rsid w:val="00806C33"/>
    <w:rsid w:val="00806F21"/>
    <w:rsid w:val="00807BF7"/>
    <w:rsid w:val="0081010F"/>
    <w:rsid w:val="008109E0"/>
    <w:rsid w:val="00810BB6"/>
    <w:rsid w:val="00810E8E"/>
    <w:rsid w:val="00811A50"/>
    <w:rsid w:val="00812C44"/>
    <w:rsid w:val="008135E1"/>
    <w:rsid w:val="00813779"/>
    <w:rsid w:val="00813792"/>
    <w:rsid w:val="00813AA2"/>
    <w:rsid w:val="00813E26"/>
    <w:rsid w:val="00813EAD"/>
    <w:rsid w:val="00814321"/>
    <w:rsid w:val="0081481D"/>
    <w:rsid w:val="00814B60"/>
    <w:rsid w:val="00814BE8"/>
    <w:rsid w:val="00814D94"/>
    <w:rsid w:val="00814F6E"/>
    <w:rsid w:val="00815B84"/>
    <w:rsid w:val="00816342"/>
    <w:rsid w:val="008166F6"/>
    <w:rsid w:val="00816897"/>
    <w:rsid w:val="00816BE9"/>
    <w:rsid w:val="00817A39"/>
    <w:rsid w:val="00817D10"/>
    <w:rsid w:val="00821191"/>
    <w:rsid w:val="00822518"/>
    <w:rsid w:val="008225D3"/>
    <w:rsid w:val="008226F5"/>
    <w:rsid w:val="00823FAA"/>
    <w:rsid w:val="00823FC6"/>
    <w:rsid w:val="00824306"/>
    <w:rsid w:val="00824B1F"/>
    <w:rsid w:val="00825C74"/>
    <w:rsid w:val="00825CFA"/>
    <w:rsid w:val="00825F10"/>
    <w:rsid w:val="00826AB9"/>
    <w:rsid w:val="00826E0E"/>
    <w:rsid w:val="00826EB7"/>
    <w:rsid w:val="00827D11"/>
    <w:rsid w:val="00827E0F"/>
    <w:rsid w:val="00827F6E"/>
    <w:rsid w:val="0083077E"/>
    <w:rsid w:val="00830E66"/>
    <w:rsid w:val="00831758"/>
    <w:rsid w:val="008317D9"/>
    <w:rsid w:val="00831AEC"/>
    <w:rsid w:val="0083279F"/>
    <w:rsid w:val="00832CE9"/>
    <w:rsid w:val="008334DB"/>
    <w:rsid w:val="00833B7F"/>
    <w:rsid w:val="00833B82"/>
    <w:rsid w:val="00833D2C"/>
    <w:rsid w:val="00833E8E"/>
    <w:rsid w:val="0083407B"/>
    <w:rsid w:val="00834906"/>
    <w:rsid w:val="00835202"/>
    <w:rsid w:val="00836075"/>
    <w:rsid w:val="00836417"/>
    <w:rsid w:val="00836BC6"/>
    <w:rsid w:val="00836D47"/>
    <w:rsid w:val="008373B7"/>
    <w:rsid w:val="00837526"/>
    <w:rsid w:val="00837BB1"/>
    <w:rsid w:val="008407A7"/>
    <w:rsid w:val="00842275"/>
    <w:rsid w:val="0084322B"/>
    <w:rsid w:val="008433A0"/>
    <w:rsid w:val="00843F81"/>
    <w:rsid w:val="00844087"/>
    <w:rsid w:val="008448F1"/>
    <w:rsid w:val="00844A56"/>
    <w:rsid w:val="0084519E"/>
    <w:rsid w:val="00845CAE"/>
    <w:rsid w:val="008462C5"/>
    <w:rsid w:val="008462FA"/>
    <w:rsid w:val="00846370"/>
    <w:rsid w:val="00846873"/>
    <w:rsid w:val="00846D33"/>
    <w:rsid w:val="00847366"/>
    <w:rsid w:val="008474A6"/>
    <w:rsid w:val="00847544"/>
    <w:rsid w:val="008477E7"/>
    <w:rsid w:val="00847C2B"/>
    <w:rsid w:val="00850272"/>
    <w:rsid w:val="008506B9"/>
    <w:rsid w:val="0085086F"/>
    <w:rsid w:val="00850B42"/>
    <w:rsid w:val="00851822"/>
    <w:rsid w:val="00851C16"/>
    <w:rsid w:val="00851E20"/>
    <w:rsid w:val="00852744"/>
    <w:rsid w:val="008532BF"/>
    <w:rsid w:val="008539B2"/>
    <w:rsid w:val="00853BF4"/>
    <w:rsid w:val="00853F94"/>
    <w:rsid w:val="00854294"/>
    <w:rsid w:val="00854295"/>
    <w:rsid w:val="008545CE"/>
    <w:rsid w:val="0085572E"/>
    <w:rsid w:val="008577C8"/>
    <w:rsid w:val="0085788B"/>
    <w:rsid w:val="00857A9E"/>
    <w:rsid w:val="00857D1F"/>
    <w:rsid w:val="00857DE2"/>
    <w:rsid w:val="00857EEE"/>
    <w:rsid w:val="00857F1A"/>
    <w:rsid w:val="0086003D"/>
    <w:rsid w:val="00861D63"/>
    <w:rsid w:val="0086358C"/>
    <w:rsid w:val="00863A8E"/>
    <w:rsid w:val="0086407F"/>
    <w:rsid w:val="008640BE"/>
    <w:rsid w:val="008644DD"/>
    <w:rsid w:val="008645E3"/>
    <w:rsid w:val="0086486A"/>
    <w:rsid w:val="00864E79"/>
    <w:rsid w:val="00864EC0"/>
    <w:rsid w:val="0086542D"/>
    <w:rsid w:val="0086572B"/>
    <w:rsid w:val="008665BF"/>
    <w:rsid w:val="00866615"/>
    <w:rsid w:val="0086661F"/>
    <w:rsid w:val="00866A0D"/>
    <w:rsid w:val="00866DB5"/>
    <w:rsid w:val="0086701D"/>
    <w:rsid w:val="0086702B"/>
    <w:rsid w:val="008672E2"/>
    <w:rsid w:val="0086784E"/>
    <w:rsid w:val="0087110C"/>
    <w:rsid w:val="0087121C"/>
    <w:rsid w:val="00871225"/>
    <w:rsid w:val="00871EB0"/>
    <w:rsid w:val="00871FD2"/>
    <w:rsid w:val="00872084"/>
    <w:rsid w:val="00872827"/>
    <w:rsid w:val="00872A32"/>
    <w:rsid w:val="0087321D"/>
    <w:rsid w:val="00873653"/>
    <w:rsid w:val="00873D25"/>
    <w:rsid w:val="00873E90"/>
    <w:rsid w:val="00874911"/>
    <w:rsid w:val="008754E4"/>
    <w:rsid w:val="00876EAE"/>
    <w:rsid w:val="00877305"/>
    <w:rsid w:val="0087778B"/>
    <w:rsid w:val="00877983"/>
    <w:rsid w:val="00877A02"/>
    <w:rsid w:val="00880106"/>
    <w:rsid w:val="00880F95"/>
    <w:rsid w:val="00881EE2"/>
    <w:rsid w:val="00882910"/>
    <w:rsid w:val="00882B44"/>
    <w:rsid w:val="008838AD"/>
    <w:rsid w:val="008841D3"/>
    <w:rsid w:val="008847DB"/>
    <w:rsid w:val="00884940"/>
    <w:rsid w:val="00885381"/>
    <w:rsid w:val="0088572B"/>
    <w:rsid w:val="00885BC9"/>
    <w:rsid w:val="008864B3"/>
    <w:rsid w:val="008865E5"/>
    <w:rsid w:val="0088682F"/>
    <w:rsid w:val="008871B0"/>
    <w:rsid w:val="00887A0B"/>
    <w:rsid w:val="008905A6"/>
    <w:rsid w:val="00890B57"/>
    <w:rsid w:val="008916BA"/>
    <w:rsid w:val="0089217C"/>
    <w:rsid w:val="00892476"/>
    <w:rsid w:val="00892790"/>
    <w:rsid w:val="00893671"/>
    <w:rsid w:val="0089445B"/>
    <w:rsid w:val="008945B9"/>
    <w:rsid w:val="0089493F"/>
    <w:rsid w:val="00894979"/>
    <w:rsid w:val="00895838"/>
    <w:rsid w:val="00895A1E"/>
    <w:rsid w:val="00895A72"/>
    <w:rsid w:val="00895CDF"/>
    <w:rsid w:val="00895EE3"/>
    <w:rsid w:val="00896046"/>
    <w:rsid w:val="0089615A"/>
    <w:rsid w:val="00896679"/>
    <w:rsid w:val="00896D8C"/>
    <w:rsid w:val="00897184"/>
    <w:rsid w:val="008A0717"/>
    <w:rsid w:val="008A0FAC"/>
    <w:rsid w:val="008A0FC9"/>
    <w:rsid w:val="008A14C8"/>
    <w:rsid w:val="008A1956"/>
    <w:rsid w:val="008A1A7C"/>
    <w:rsid w:val="008A2CE2"/>
    <w:rsid w:val="008A3F0C"/>
    <w:rsid w:val="008A40D3"/>
    <w:rsid w:val="008A413F"/>
    <w:rsid w:val="008A451F"/>
    <w:rsid w:val="008A469C"/>
    <w:rsid w:val="008A50FB"/>
    <w:rsid w:val="008A51D1"/>
    <w:rsid w:val="008A5C90"/>
    <w:rsid w:val="008A5DCE"/>
    <w:rsid w:val="008A75D3"/>
    <w:rsid w:val="008A7F09"/>
    <w:rsid w:val="008B00D6"/>
    <w:rsid w:val="008B05DD"/>
    <w:rsid w:val="008B062C"/>
    <w:rsid w:val="008B07B8"/>
    <w:rsid w:val="008B17E8"/>
    <w:rsid w:val="008B1D32"/>
    <w:rsid w:val="008B2C45"/>
    <w:rsid w:val="008B2E7C"/>
    <w:rsid w:val="008B399A"/>
    <w:rsid w:val="008B3C16"/>
    <w:rsid w:val="008B45F0"/>
    <w:rsid w:val="008B4A70"/>
    <w:rsid w:val="008B502F"/>
    <w:rsid w:val="008B54FD"/>
    <w:rsid w:val="008B5692"/>
    <w:rsid w:val="008B5F31"/>
    <w:rsid w:val="008B6CE5"/>
    <w:rsid w:val="008B6DFC"/>
    <w:rsid w:val="008B7227"/>
    <w:rsid w:val="008C02FB"/>
    <w:rsid w:val="008C04E0"/>
    <w:rsid w:val="008C191C"/>
    <w:rsid w:val="008C1DA4"/>
    <w:rsid w:val="008C2138"/>
    <w:rsid w:val="008C2608"/>
    <w:rsid w:val="008C29B0"/>
    <w:rsid w:val="008C2CD5"/>
    <w:rsid w:val="008C33AE"/>
    <w:rsid w:val="008C3618"/>
    <w:rsid w:val="008C39E7"/>
    <w:rsid w:val="008C43AD"/>
    <w:rsid w:val="008C49A3"/>
    <w:rsid w:val="008C4C1E"/>
    <w:rsid w:val="008C5A63"/>
    <w:rsid w:val="008C602A"/>
    <w:rsid w:val="008C6118"/>
    <w:rsid w:val="008C6341"/>
    <w:rsid w:val="008C653D"/>
    <w:rsid w:val="008C731F"/>
    <w:rsid w:val="008C74D9"/>
    <w:rsid w:val="008C7569"/>
    <w:rsid w:val="008C7726"/>
    <w:rsid w:val="008D06EC"/>
    <w:rsid w:val="008D2050"/>
    <w:rsid w:val="008D21DD"/>
    <w:rsid w:val="008D2D79"/>
    <w:rsid w:val="008D35CA"/>
    <w:rsid w:val="008D3B2D"/>
    <w:rsid w:val="008D5433"/>
    <w:rsid w:val="008D58D9"/>
    <w:rsid w:val="008D5AD4"/>
    <w:rsid w:val="008D5E4E"/>
    <w:rsid w:val="008D5E9D"/>
    <w:rsid w:val="008D5F65"/>
    <w:rsid w:val="008D62B3"/>
    <w:rsid w:val="008D695E"/>
    <w:rsid w:val="008D6DD5"/>
    <w:rsid w:val="008D6E59"/>
    <w:rsid w:val="008D7155"/>
    <w:rsid w:val="008D76E0"/>
    <w:rsid w:val="008E03A3"/>
    <w:rsid w:val="008E079C"/>
    <w:rsid w:val="008E0B29"/>
    <w:rsid w:val="008E141A"/>
    <w:rsid w:val="008E1810"/>
    <w:rsid w:val="008E1A44"/>
    <w:rsid w:val="008E1EED"/>
    <w:rsid w:val="008E26CA"/>
    <w:rsid w:val="008E2859"/>
    <w:rsid w:val="008E28E6"/>
    <w:rsid w:val="008E2C57"/>
    <w:rsid w:val="008E3232"/>
    <w:rsid w:val="008E3674"/>
    <w:rsid w:val="008E3B6C"/>
    <w:rsid w:val="008E3DE7"/>
    <w:rsid w:val="008E5227"/>
    <w:rsid w:val="008E562C"/>
    <w:rsid w:val="008E5FB9"/>
    <w:rsid w:val="008E611D"/>
    <w:rsid w:val="008E6540"/>
    <w:rsid w:val="008E6758"/>
    <w:rsid w:val="008E6A1C"/>
    <w:rsid w:val="008E6FBE"/>
    <w:rsid w:val="008E77D4"/>
    <w:rsid w:val="008E7ADD"/>
    <w:rsid w:val="008F091F"/>
    <w:rsid w:val="008F1548"/>
    <w:rsid w:val="008F17B2"/>
    <w:rsid w:val="008F22B3"/>
    <w:rsid w:val="008F241E"/>
    <w:rsid w:val="008F2759"/>
    <w:rsid w:val="008F2F1F"/>
    <w:rsid w:val="008F312B"/>
    <w:rsid w:val="008F357B"/>
    <w:rsid w:val="008F366E"/>
    <w:rsid w:val="008F36DE"/>
    <w:rsid w:val="008F3B56"/>
    <w:rsid w:val="008F44CA"/>
    <w:rsid w:val="008F4547"/>
    <w:rsid w:val="008F4578"/>
    <w:rsid w:val="008F49D3"/>
    <w:rsid w:val="008F51D3"/>
    <w:rsid w:val="008F5B69"/>
    <w:rsid w:val="008F6519"/>
    <w:rsid w:val="008F68C5"/>
    <w:rsid w:val="008F694F"/>
    <w:rsid w:val="008F6AC1"/>
    <w:rsid w:val="008F6B67"/>
    <w:rsid w:val="008F6F4C"/>
    <w:rsid w:val="008F7012"/>
    <w:rsid w:val="008F7576"/>
    <w:rsid w:val="008F7ADA"/>
    <w:rsid w:val="008F7B17"/>
    <w:rsid w:val="00900042"/>
    <w:rsid w:val="0090034B"/>
    <w:rsid w:val="009005D7"/>
    <w:rsid w:val="0090087C"/>
    <w:rsid w:val="00900D2F"/>
    <w:rsid w:val="00901121"/>
    <w:rsid w:val="00901B50"/>
    <w:rsid w:val="00902623"/>
    <w:rsid w:val="009029CF"/>
    <w:rsid w:val="00902A67"/>
    <w:rsid w:val="00902C5E"/>
    <w:rsid w:val="009032F7"/>
    <w:rsid w:val="009035FA"/>
    <w:rsid w:val="00904BE4"/>
    <w:rsid w:val="0090504A"/>
    <w:rsid w:val="009051F5"/>
    <w:rsid w:val="00905221"/>
    <w:rsid w:val="0090530B"/>
    <w:rsid w:val="00905664"/>
    <w:rsid w:val="009058FC"/>
    <w:rsid w:val="00905A7C"/>
    <w:rsid w:val="00905D7E"/>
    <w:rsid w:val="00907037"/>
    <w:rsid w:val="00907259"/>
    <w:rsid w:val="00907929"/>
    <w:rsid w:val="00910577"/>
    <w:rsid w:val="00910C5D"/>
    <w:rsid w:val="0091112C"/>
    <w:rsid w:val="009113F2"/>
    <w:rsid w:val="0091160A"/>
    <w:rsid w:val="00911A41"/>
    <w:rsid w:val="00912A06"/>
    <w:rsid w:val="00912E04"/>
    <w:rsid w:val="00913258"/>
    <w:rsid w:val="00913851"/>
    <w:rsid w:val="00913BB0"/>
    <w:rsid w:val="0091456C"/>
    <w:rsid w:val="009145DE"/>
    <w:rsid w:val="00914C58"/>
    <w:rsid w:val="00914D78"/>
    <w:rsid w:val="009151FC"/>
    <w:rsid w:val="009153D3"/>
    <w:rsid w:val="0091564D"/>
    <w:rsid w:val="009156DA"/>
    <w:rsid w:val="00915774"/>
    <w:rsid w:val="00916BC5"/>
    <w:rsid w:val="0091726A"/>
    <w:rsid w:val="0091733B"/>
    <w:rsid w:val="00917571"/>
    <w:rsid w:val="00917C01"/>
    <w:rsid w:val="00920184"/>
    <w:rsid w:val="00920421"/>
    <w:rsid w:val="00920EA4"/>
    <w:rsid w:val="00921792"/>
    <w:rsid w:val="00921BEA"/>
    <w:rsid w:val="009223AF"/>
    <w:rsid w:val="009227BE"/>
    <w:rsid w:val="00922C83"/>
    <w:rsid w:val="009233CE"/>
    <w:rsid w:val="009238FD"/>
    <w:rsid w:val="00923998"/>
    <w:rsid w:val="00923DB4"/>
    <w:rsid w:val="0092420B"/>
    <w:rsid w:val="0092430E"/>
    <w:rsid w:val="00924451"/>
    <w:rsid w:val="00926112"/>
    <w:rsid w:val="0092625F"/>
    <w:rsid w:val="00926B28"/>
    <w:rsid w:val="00926D9C"/>
    <w:rsid w:val="00927028"/>
    <w:rsid w:val="0092708F"/>
    <w:rsid w:val="0092734A"/>
    <w:rsid w:val="00927763"/>
    <w:rsid w:val="00927A2D"/>
    <w:rsid w:val="00927B37"/>
    <w:rsid w:val="00930CC5"/>
    <w:rsid w:val="009314B1"/>
    <w:rsid w:val="009321B1"/>
    <w:rsid w:val="0093236E"/>
    <w:rsid w:val="009327F0"/>
    <w:rsid w:val="00932A42"/>
    <w:rsid w:val="00932ECE"/>
    <w:rsid w:val="00932ED7"/>
    <w:rsid w:val="00933278"/>
    <w:rsid w:val="00933E30"/>
    <w:rsid w:val="0093422D"/>
    <w:rsid w:val="0093483B"/>
    <w:rsid w:val="00934CF9"/>
    <w:rsid w:val="00934DD7"/>
    <w:rsid w:val="00934F9C"/>
    <w:rsid w:val="00934FEB"/>
    <w:rsid w:val="009357C9"/>
    <w:rsid w:val="00935CB2"/>
    <w:rsid w:val="00936898"/>
    <w:rsid w:val="009369A9"/>
    <w:rsid w:val="00936CF7"/>
    <w:rsid w:val="0093748F"/>
    <w:rsid w:val="00937783"/>
    <w:rsid w:val="00937EAD"/>
    <w:rsid w:val="00937F28"/>
    <w:rsid w:val="009401F5"/>
    <w:rsid w:val="00940FE1"/>
    <w:rsid w:val="0094117A"/>
    <w:rsid w:val="00941474"/>
    <w:rsid w:val="00942306"/>
    <w:rsid w:val="009424B8"/>
    <w:rsid w:val="0094286B"/>
    <w:rsid w:val="009432E2"/>
    <w:rsid w:val="009440DD"/>
    <w:rsid w:val="00944668"/>
    <w:rsid w:val="00944DC6"/>
    <w:rsid w:val="00945829"/>
    <w:rsid w:val="009458B0"/>
    <w:rsid w:val="00945B52"/>
    <w:rsid w:val="00945B7A"/>
    <w:rsid w:val="00945F05"/>
    <w:rsid w:val="00945FE0"/>
    <w:rsid w:val="00946348"/>
    <w:rsid w:val="00946B10"/>
    <w:rsid w:val="0094708D"/>
    <w:rsid w:val="009471C2"/>
    <w:rsid w:val="00947224"/>
    <w:rsid w:val="00947797"/>
    <w:rsid w:val="009478A2"/>
    <w:rsid w:val="00947942"/>
    <w:rsid w:val="00950181"/>
    <w:rsid w:val="00950402"/>
    <w:rsid w:val="00950865"/>
    <w:rsid w:val="0095321D"/>
    <w:rsid w:val="009533BD"/>
    <w:rsid w:val="00953557"/>
    <w:rsid w:val="009536FB"/>
    <w:rsid w:val="00953808"/>
    <w:rsid w:val="009539A6"/>
    <w:rsid w:val="00953C3A"/>
    <w:rsid w:val="00954032"/>
    <w:rsid w:val="00954537"/>
    <w:rsid w:val="0095472D"/>
    <w:rsid w:val="00954F0F"/>
    <w:rsid w:val="00955342"/>
    <w:rsid w:val="00955D57"/>
    <w:rsid w:val="00955FBB"/>
    <w:rsid w:val="0095694B"/>
    <w:rsid w:val="00956BD5"/>
    <w:rsid w:val="00956D84"/>
    <w:rsid w:val="00956F1E"/>
    <w:rsid w:val="009577B5"/>
    <w:rsid w:val="00957D66"/>
    <w:rsid w:val="00960491"/>
    <w:rsid w:val="009608E6"/>
    <w:rsid w:val="00960F57"/>
    <w:rsid w:val="00961669"/>
    <w:rsid w:val="009618AF"/>
    <w:rsid w:val="00961C26"/>
    <w:rsid w:val="00961C90"/>
    <w:rsid w:val="00962A26"/>
    <w:rsid w:val="00965186"/>
    <w:rsid w:val="00965443"/>
    <w:rsid w:val="00965954"/>
    <w:rsid w:val="00965A21"/>
    <w:rsid w:val="00965C3A"/>
    <w:rsid w:val="00965E55"/>
    <w:rsid w:val="0096608E"/>
    <w:rsid w:val="00966522"/>
    <w:rsid w:val="00966926"/>
    <w:rsid w:val="00966C33"/>
    <w:rsid w:val="00967288"/>
    <w:rsid w:val="009678D3"/>
    <w:rsid w:val="00970F18"/>
    <w:rsid w:val="00971CF1"/>
    <w:rsid w:val="00971F5D"/>
    <w:rsid w:val="009721E9"/>
    <w:rsid w:val="009722B5"/>
    <w:rsid w:val="00972C2E"/>
    <w:rsid w:val="00973330"/>
    <w:rsid w:val="009733D3"/>
    <w:rsid w:val="00973772"/>
    <w:rsid w:val="00974240"/>
    <w:rsid w:val="00974610"/>
    <w:rsid w:val="00975499"/>
    <w:rsid w:val="0097560A"/>
    <w:rsid w:val="0097598F"/>
    <w:rsid w:val="00975E1E"/>
    <w:rsid w:val="00975E70"/>
    <w:rsid w:val="009761DE"/>
    <w:rsid w:val="009766D4"/>
    <w:rsid w:val="009766FA"/>
    <w:rsid w:val="00976E80"/>
    <w:rsid w:val="00977714"/>
    <w:rsid w:val="00977944"/>
    <w:rsid w:val="00977CD6"/>
    <w:rsid w:val="009803E3"/>
    <w:rsid w:val="0098048B"/>
    <w:rsid w:val="00980908"/>
    <w:rsid w:val="00980DF9"/>
    <w:rsid w:val="00981CD8"/>
    <w:rsid w:val="0098243D"/>
    <w:rsid w:val="009825EF"/>
    <w:rsid w:val="00982C19"/>
    <w:rsid w:val="00982D26"/>
    <w:rsid w:val="00983B6E"/>
    <w:rsid w:val="00983FE5"/>
    <w:rsid w:val="00984544"/>
    <w:rsid w:val="009849E9"/>
    <w:rsid w:val="00984AFF"/>
    <w:rsid w:val="00985048"/>
    <w:rsid w:val="009855AC"/>
    <w:rsid w:val="009859E4"/>
    <w:rsid w:val="00985D7F"/>
    <w:rsid w:val="00987812"/>
    <w:rsid w:val="00987A48"/>
    <w:rsid w:val="00987B39"/>
    <w:rsid w:val="009900FE"/>
    <w:rsid w:val="00990225"/>
    <w:rsid w:val="00990678"/>
    <w:rsid w:val="00991307"/>
    <w:rsid w:val="0099157D"/>
    <w:rsid w:val="00991FAA"/>
    <w:rsid w:val="00991FD2"/>
    <w:rsid w:val="00992A13"/>
    <w:rsid w:val="00993DB1"/>
    <w:rsid w:val="00994AAD"/>
    <w:rsid w:val="00995150"/>
    <w:rsid w:val="009957A6"/>
    <w:rsid w:val="00995D67"/>
    <w:rsid w:val="009968C5"/>
    <w:rsid w:val="00997613"/>
    <w:rsid w:val="009A013B"/>
    <w:rsid w:val="009A02F4"/>
    <w:rsid w:val="009A0617"/>
    <w:rsid w:val="009A06BF"/>
    <w:rsid w:val="009A09C5"/>
    <w:rsid w:val="009A0D17"/>
    <w:rsid w:val="009A2494"/>
    <w:rsid w:val="009A32B1"/>
    <w:rsid w:val="009A33A3"/>
    <w:rsid w:val="009A36F2"/>
    <w:rsid w:val="009A40C3"/>
    <w:rsid w:val="009A40D5"/>
    <w:rsid w:val="009A5268"/>
    <w:rsid w:val="009A5296"/>
    <w:rsid w:val="009A57D0"/>
    <w:rsid w:val="009A6559"/>
    <w:rsid w:val="009A68FC"/>
    <w:rsid w:val="009A6AE6"/>
    <w:rsid w:val="009A6CE4"/>
    <w:rsid w:val="009A7514"/>
    <w:rsid w:val="009A7665"/>
    <w:rsid w:val="009A7E7A"/>
    <w:rsid w:val="009B021B"/>
    <w:rsid w:val="009B0925"/>
    <w:rsid w:val="009B1584"/>
    <w:rsid w:val="009B18F0"/>
    <w:rsid w:val="009B194E"/>
    <w:rsid w:val="009B1F4C"/>
    <w:rsid w:val="009B2203"/>
    <w:rsid w:val="009B2471"/>
    <w:rsid w:val="009B2B52"/>
    <w:rsid w:val="009B314F"/>
    <w:rsid w:val="009B439C"/>
    <w:rsid w:val="009B49A1"/>
    <w:rsid w:val="009B4A6C"/>
    <w:rsid w:val="009B4DA8"/>
    <w:rsid w:val="009B4FA6"/>
    <w:rsid w:val="009B5125"/>
    <w:rsid w:val="009B519A"/>
    <w:rsid w:val="009B53E6"/>
    <w:rsid w:val="009B620C"/>
    <w:rsid w:val="009B6454"/>
    <w:rsid w:val="009B64CC"/>
    <w:rsid w:val="009B6753"/>
    <w:rsid w:val="009B676C"/>
    <w:rsid w:val="009B6A26"/>
    <w:rsid w:val="009C079D"/>
    <w:rsid w:val="009C0C12"/>
    <w:rsid w:val="009C0D70"/>
    <w:rsid w:val="009C1282"/>
    <w:rsid w:val="009C13D1"/>
    <w:rsid w:val="009C14A3"/>
    <w:rsid w:val="009C1E9D"/>
    <w:rsid w:val="009C2913"/>
    <w:rsid w:val="009C2BD4"/>
    <w:rsid w:val="009C2C5F"/>
    <w:rsid w:val="009C32F0"/>
    <w:rsid w:val="009C334C"/>
    <w:rsid w:val="009C3EED"/>
    <w:rsid w:val="009C4596"/>
    <w:rsid w:val="009C52FB"/>
    <w:rsid w:val="009C5314"/>
    <w:rsid w:val="009C5AFE"/>
    <w:rsid w:val="009C6606"/>
    <w:rsid w:val="009C6CE5"/>
    <w:rsid w:val="009C6D50"/>
    <w:rsid w:val="009C72B2"/>
    <w:rsid w:val="009C7547"/>
    <w:rsid w:val="009D05EC"/>
    <w:rsid w:val="009D18D4"/>
    <w:rsid w:val="009D1E82"/>
    <w:rsid w:val="009D1FCF"/>
    <w:rsid w:val="009D209F"/>
    <w:rsid w:val="009D2F60"/>
    <w:rsid w:val="009D3A2E"/>
    <w:rsid w:val="009D3E61"/>
    <w:rsid w:val="009D4C2E"/>
    <w:rsid w:val="009D53C0"/>
    <w:rsid w:val="009D5912"/>
    <w:rsid w:val="009D5ADE"/>
    <w:rsid w:val="009D5BAC"/>
    <w:rsid w:val="009D5C56"/>
    <w:rsid w:val="009D5EBC"/>
    <w:rsid w:val="009D6265"/>
    <w:rsid w:val="009D64BD"/>
    <w:rsid w:val="009D6CB1"/>
    <w:rsid w:val="009D799C"/>
    <w:rsid w:val="009E0286"/>
    <w:rsid w:val="009E0A4B"/>
    <w:rsid w:val="009E153F"/>
    <w:rsid w:val="009E18C5"/>
    <w:rsid w:val="009E2758"/>
    <w:rsid w:val="009E2B98"/>
    <w:rsid w:val="009E322A"/>
    <w:rsid w:val="009E32F4"/>
    <w:rsid w:val="009E3483"/>
    <w:rsid w:val="009E393E"/>
    <w:rsid w:val="009E42FD"/>
    <w:rsid w:val="009E444E"/>
    <w:rsid w:val="009E454D"/>
    <w:rsid w:val="009E4968"/>
    <w:rsid w:val="009E4E01"/>
    <w:rsid w:val="009E5676"/>
    <w:rsid w:val="009E663C"/>
    <w:rsid w:val="009E684A"/>
    <w:rsid w:val="009E6BB1"/>
    <w:rsid w:val="009E6E14"/>
    <w:rsid w:val="009E794A"/>
    <w:rsid w:val="009E7B26"/>
    <w:rsid w:val="009E7C14"/>
    <w:rsid w:val="009F0494"/>
    <w:rsid w:val="009F0CD9"/>
    <w:rsid w:val="009F1A79"/>
    <w:rsid w:val="009F1F57"/>
    <w:rsid w:val="009F246E"/>
    <w:rsid w:val="009F249F"/>
    <w:rsid w:val="009F2DDD"/>
    <w:rsid w:val="009F32B4"/>
    <w:rsid w:val="009F3447"/>
    <w:rsid w:val="009F4BBF"/>
    <w:rsid w:val="009F5847"/>
    <w:rsid w:val="009F65F4"/>
    <w:rsid w:val="009F6763"/>
    <w:rsid w:val="009F676B"/>
    <w:rsid w:val="009F6D2D"/>
    <w:rsid w:val="009F6D54"/>
    <w:rsid w:val="00A004DF"/>
    <w:rsid w:val="00A00A52"/>
    <w:rsid w:val="00A00EE6"/>
    <w:rsid w:val="00A00FD5"/>
    <w:rsid w:val="00A012C0"/>
    <w:rsid w:val="00A019A8"/>
    <w:rsid w:val="00A01B03"/>
    <w:rsid w:val="00A01B89"/>
    <w:rsid w:val="00A02C66"/>
    <w:rsid w:val="00A02C84"/>
    <w:rsid w:val="00A035E1"/>
    <w:rsid w:val="00A03842"/>
    <w:rsid w:val="00A04394"/>
    <w:rsid w:val="00A0464C"/>
    <w:rsid w:val="00A04F3F"/>
    <w:rsid w:val="00A050BB"/>
    <w:rsid w:val="00A05128"/>
    <w:rsid w:val="00A0521B"/>
    <w:rsid w:val="00A05262"/>
    <w:rsid w:val="00A054E0"/>
    <w:rsid w:val="00A05D91"/>
    <w:rsid w:val="00A06972"/>
    <w:rsid w:val="00A0734B"/>
    <w:rsid w:val="00A0740B"/>
    <w:rsid w:val="00A07ED3"/>
    <w:rsid w:val="00A10162"/>
    <w:rsid w:val="00A10CA8"/>
    <w:rsid w:val="00A10D5A"/>
    <w:rsid w:val="00A11042"/>
    <w:rsid w:val="00A12579"/>
    <w:rsid w:val="00A12CDC"/>
    <w:rsid w:val="00A12E1D"/>
    <w:rsid w:val="00A1304B"/>
    <w:rsid w:val="00A133D8"/>
    <w:rsid w:val="00A13464"/>
    <w:rsid w:val="00A13553"/>
    <w:rsid w:val="00A13F58"/>
    <w:rsid w:val="00A14382"/>
    <w:rsid w:val="00A15480"/>
    <w:rsid w:val="00A15655"/>
    <w:rsid w:val="00A160B0"/>
    <w:rsid w:val="00A1740C"/>
    <w:rsid w:val="00A17904"/>
    <w:rsid w:val="00A20069"/>
    <w:rsid w:val="00A2244D"/>
    <w:rsid w:val="00A2253D"/>
    <w:rsid w:val="00A2267F"/>
    <w:rsid w:val="00A22CDB"/>
    <w:rsid w:val="00A22D95"/>
    <w:rsid w:val="00A247B8"/>
    <w:rsid w:val="00A24914"/>
    <w:rsid w:val="00A2495A"/>
    <w:rsid w:val="00A24C7A"/>
    <w:rsid w:val="00A24D8F"/>
    <w:rsid w:val="00A25366"/>
    <w:rsid w:val="00A254D1"/>
    <w:rsid w:val="00A25B8B"/>
    <w:rsid w:val="00A2689F"/>
    <w:rsid w:val="00A26D30"/>
    <w:rsid w:val="00A26ECA"/>
    <w:rsid w:val="00A272C6"/>
    <w:rsid w:val="00A2734E"/>
    <w:rsid w:val="00A27461"/>
    <w:rsid w:val="00A27AE5"/>
    <w:rsid w:val="00A27D67"/>
    <w:rsid w:val="00A27EE9"/>
    <w:rsid w:val="00A27F23"/>
    <w:rsid w:val="00A30ABC"/>
    <w:rsid w:val="00A30D1F"/>
    <w:rsid w:val="00A310FB"/>
    <w:rsid w:val="00A320F4"/>
    <w:rsid w:val="00A3267D"/>
    <w:rsid w:val="00A3354D"/>
    <w:rsid w:val="00A33B74"/>
    <w:rsid w:val="00A3467F"/>
    <w:rsid w:val="00A34B4C"/>
    <w:rsid w:val="00A35030"/>
    <w:rsid w:val="00A3551A"/>
    <w:rsid w:val="00A3588F"/>
    <w:rsid w:val="00A36015"/>
    <w:rsid w:val="00A366A0"/>
    <w:rsid w:val="00A36952"/>
    <w:rsid w:val="00A37196"/>
    <w:rsid w:val="00A37209"/>
    <w:rsid w:val="00A37381"/>
    <w:rsid w:val="00A37584"/>
    <w:rsid w:val="00A376E8"/>
    <w:rsid w:val="00A37F8E"/>
    <w:rsid w:val="00A4103C"/>
    <w:rsid w:val="00A411DA"/>
    <w:rsid w:val="00A41537"/>
    <w:rsid w:val="00A41678"/>
    <w:rsid w:val="00A41737"/>
    <w:rsid w:val="00A42AD4"/>
    <w:rsid w:val="00A42B8F"/>
    <w:rsid w:val="00A42D8E"/>
    <w:rsid w:val="00A43254"/>
    <w:rsid w:val="00A43896"/>
    <w:rsid w:val="00A43951"/>
    <w:rsid w:val="00A43A26"/>
    <w:rsid w:val="00A4429D"/>
    <w:rsid w:val="00A447A0"/>
    <w:rsid w:val="00A4505E"/>
    <w:rsid w:val="00A459F5"/>
    <w:rsid w:val="00A45FC0"/>
    <w:rsid w:val="00A467AF"/>
    <w:rsid w:val="00A468C7"/>
    <w:rsid w:val="00A46B74"/>
    <w:rsid w:val="00A46E6A"/>
    <w:rsid w:val="00A47BF7"/>
    <w:rsid w:val="00A47ECC"/>
    <w:rsid w:val="00A50171"/>
    <w:rsid w:val="00A50418"/>
    <w:rsid w:val="00A504FA"/>
    <w:rsid w:val="00A50E40"/>
    <w:rsid w:val="00A5102E"/>
    <w:rsid w:val="00A5132E"/>
    <w:rsid w:val="00A51375"/>
    <w:rsid w:val="00A51533"/>
    <w:rsid w:val="00A516D4"/>
    <w:rsid w:val="00A51F1A"/>
    <w:rsid w:val="00A52E32"/>
    <w:rsid w:val="00A531D4"/>
    <w:rsid w:val="00A53622"/>
    <w:rsid w:val="00A53736"/>
    <w:rsid w:val="00A53C42"/>
    <w:rsid w:val="00A5429C"/>
    <w:rsid w:val="00A54572"/>
    <w:rsid w:val="00A559D8"/>
    <w:rsid w:val="00A566D5"/>
    <w:rsid w:val="00A570F2"/>
    <w:rsid w:val="00A575B8"/>
    <w:rsid w:val="00A6020A"/>
    <w:rsid w:val="00A60CE7"/>
    <w:rsid w:val="00A60CF8"/>
    <w:rsid w:val="00A619BB"/>
    <w:rsid w:val="00A61C60"/>
    <w:rsid w:val="00A61ECB"/>
    <w:rsid w:val="00A63D58"/>
    <w:rsid w:val="00A63FE9"/>
    <w:rsid w:val="00A6410C"/>
    <w:rsid w:val="00A647B1"/>
    <w:rsid w:val="00A64DEF"/>
    <w:rsid w:val="00A65311"/>
    <w:rsid w:val="00A654D2"/>
    <w:rsid w:val="00A665DF"/>
    <w:rsid w:val="00A67331"/>
    <w:rsid w:val="00A673F1"/>
    <w:rsid w:val="00A674DB"/>
    <w:rsid w:val="00A67625"/>
    <w:rsid w:val="00A67FCC"/>
    <w:rsid w:val="00A702C3"/>
    <w:rsid w:val="00A70AA5"/>
    <w:rsid w:val="00A70C03"/>
    <w:rsid w:val="00A70C34"/>
    <w:rsid w:val="00A71256"/>
    <w:rsid w:val="00A7147C"/>
    <w:rsid w:val="00A71CB8"/>
    <w:rsid w:val="00A72172"/>
    <w:rsid w:val="00A7217B"/>
    <w:rsid w:val="00A722D7"/>
    <w:rsid w:val="00A723A3"/>
    <w:rsid w:val="00A73861"/>
    <w:rsid w:val="00A738EE"/>
    <w:rsid w:val="00A739A6"/>
    <w:rsid w:val="00A73C97"/>
    <w:rsid w:val="00A740ED"/>
    <w:rsid w:val="00A74229"/>
    <w:rsid w:val="00A746C7"/>
    <w:rsid w:val="00A74C29"/>
    <w:rsid w:val="00A74C62"/>
    <w:rsid w:val="00A75A70"/>
    <w:rsid w:val="00A75EF9"/>
    <w:rsid w:val="00A7642C"/>
    <w:rsid w:val="00A7657C"/>
    <w:rsid w:val="00A76B5E"/>
    <w:rsid w:val="00A76BD8"/>
    <w:rsid w:val="00A76E4E"/>
    <w:rsid w:val="00A7744F"/>
    <w:rsid w:val="00A80018"/>
    <w:rsid w:val="00A80A5D"/>
    <w:rsid w:val="00A81E9C"/>
    <w:rsid w:val="00A81ECA"/>
    <w:rsid w:val="00A821D4"/>
    <w:rsid w:val="00A82764"/>
    <w:rsid w:val="00A8311C"/>
    <w:rsid w:val="00A835D0"/>
    <w:rsid w:val="00A83821"/>
    <w:rsid w:val="00A84150"/>
    <w:rsid w:val="00A84761"/>
    <w:rsid w:val="00A84BA0"/>
    <w:rsid w:val="00A84C5F"/>
    <w:rsid w:val="00A85240"/>
    <w:rsid w:val="00A85930"/>
    <w:rsid w:val="00A86116"/>
    <w:rsid w:val="00A863F7"/>
    <w:rsid w:val="00A86604"/>
    <w:rsid w:val="00A86ACC"/>
    <w:rsid w:val="00A87519"/>
    <w:rsid w:val="00A90213"/>
    <w:rsid w:val="00A90870"/>
    <w:rsid w:val="00A90C73"/>
    <w:rsid w:val="00A914DA"/>
    <w:rsid w:val="00A91E71"/>
    <w:rsid w:val="00A9246D"/>
    <w:rsid w:val="00A92C64"/>
    <w:rsid w:val="00A92CCA"/>
    <w:rsid w:val="00A93456"/>
    <w:rsid w:val="00A93BD0"/>
    <w:rsid w:val="00A93CC2"/>
    <w:rsid w:val="00A9451D"/>
    <w:rsid w:val="00A94D4B"/>
    <w:rsid w:val="00A951EE"/>
    <w:rsid w:val="00A95320"/>
    <w:rsid w:val="00A956AC"/>
    <w:rsid w:val="00A9592C"/>
    <w:rsid w:val="00A95A90"/>
    <w:rsid w:val="00A974CC"/>
    <w:rsid w:val="00A97EE7"/>
    <w:rsid w:val="00A97FC3"/>
    <w:rsid w:val="00AA0A68"/>
    <w:rsid w:val="00AA1F34"/>
    <w:rsid w:val="00AA2001"/>
    <w:rsid w:val="00AA217C"/>
    <w:rsid w:val="00AA2B5C"/>
    <w:rsid w:val="00AA32D2"/>
    <w:rsid w:val="00AA33AA"/>
    <w:rsid w:val="00AA3A5C"/>
    <w:rsid w:val="00AA3AA4"/>
    <w:rsid w:val="00AA3B8B"/>
    <w:rsid w:val="00AA4016"/>
    <w:rsid w:val="00AA416D"/>
    <w:rsid w:val="00AA4976"/>
    <w:rsid w:val="00AA4C1F"/>
    <w:rsid w:val="00AA4F0C"/>
    <w:rsid w:val="00AA5328"/>
    <w:rsid w:val="00AA5393"/>
    <w:rsid w:val="00AA5881"/>
    <w:rsid w:val="00AA63D4"/>
    <w:rsid w:val="00AA7931"/>
    <w:rsid w:val="00AA7BE1"/>
    <w:rsid w:val="00AB03FD"/>
    <w:rsid w:val="00AB09B8"/>
    <w:rsid w:val="00AB1678"/>
    <w:rsid w:val="00AB1812"/>
    <w:rsid w:val="00AB199F"/>
    <w:rsid w:val="00AB1C40"/>
    <w:rsid w:val="00AB2000"/>
    <w:rsid w:val="00AB21CC"/>
    <w:rsid w:val="00AB2C06"/>
    <w:rsid w:val="00AB38CB"/>
    <w:rsid w:val="00AB3BEC"/>
    <w:rsid w:val="00AB4080"/>
    <w:rsid w:val="00AB44E4"/>
    <w:rsid w:val="00AB4AEB"/>
    <w:rsid w:val="00AB4E5F"/>
    <w:rsid w:val="00AB5352"/>
    <w:rsid w:val="00AB56AE"/>
    <w:rsid w:val="00AB62D5"/>
    <w:rsid w:val="00AB65B5"/>
    <w:rsid w:val="00AB6DCD"/>
    <w:rsid w:val="00AB6EE0"/>
    <w:rsid w:val="00AB7240"/>
    <w:rsid w:val="00AB780C"/>
    <w:rsid w:val="00AB7D43"/>
    <w:rsid w:val="00AB7ECC"/>
    <w:rsid w:val="00AC1325"/>
    <w:rsid w:val="00AC13DA"/>
    <w:rsid w:val="00AC17A2"/>
    <w:rsid w:val="00AC3096"/>
    <w:rsid w:val="00AC33F3"/>
    <w:rsid w:val="00AC40B7"/>
    <w:rsid w:val="00AC49E2"/>
    <w:rsid w:val="00AC4EAC"/>
    <w:rsid w:val="00AC531F"/>
    <w:rsid w:val="00AC5448"/>
    <w:rsid w:val="00AC5459"/>
    <w:rsid w:val="00AC5B36"/>
    <w:rsid w:val="00AC5FFE"/>
    <w:rsid w:val="00AC6377"/>
    <w:rsid w:val="00AC651A"/>
    <w:rsid w:val="00AC66A4"/>
    <w:rsid w:val="00AC6CB1"/>
    <w:rsid w:val="00AC75E9"/>
    <w:rsid w:val="00AC7965"/>
    <w:rsid w:val="00AC7D6D"/>
    <w:rsid w:val="00AC7D76"/>
    <w:rsid w:val="00AD0091"/>
    <w:rsid w:val="00AD046F"/>
    <w:rsid w:val="00AD04C1"/>
    <w:rsid w:val="00AD1119"/>
    <w:rsid w:val="00AD1315"/>
    <w:rsid w:val="00AD21D4"/>
    <w:rsid w:val="00AD23EF"/>
    <w:rsid w:val="00AD2662"/>
    <w:rsid w:val="00AD307B"/>
    <w:rsid w:val="00AD34C4"/>
    <w:rsid w:val="00AD355F"/>
    <w:rsid w:val="00AD36D2"/>
    <w:rsid w:val="00AD3992"/>
    <w:rsid w:val="00AD4014"/>
    <w:rsid w:val="00AD41B3"/>
    <w:rsid w:val="00AD452D"/>
    <w:rsid w:val="00AD5721"/>
    <w:rsid w:val="00AD69F0"/>
    <w:rsid w:val="00AD7127"/>
    <w:rsid w:val="00AD730C"/>
    <w:rsid w:val="00AE04FD"/>
    <w:rsid w:val="00AE0F90"/>
    <w:rsid w:val="00AE123A"/>
    <w:rsid w:val="00AE1539"/>
    <w:rsid w:val="00AE1FB8"/>
    <w:rsid w:val="00AE28A7"/>
    <w:rsid w:val="00AE2A98"/>
    <w:rsid w:val="00AE2CA0"/>
    <w:rsid w:val="00AE2CF2"/>
    <w:rsid w:val="00AE2F19"/>
    <w:rsid w:val="00AE3012"/>
    <w:rsid w:val="00AE3297"/>
    <w:rsid w:val="00AE33A6"/>
    <w:rsid w:val="00AE34EE"/>
    <w:rsid w:val="00AE3513"/>
    <w:rsid w:val="00AE3729"/>
    <w:rsid w:val="00AE3C81"/>
    <w:rsid w:val="00AE4A3E"/>
    <w:rsid w:val="00AE4CCE"/>
    <w:rsid w:val="00AE59DB"/>
    <w:rsid w:val="00AE5C6A"/>
    <w:rsid w:val="00AE6358"/>
    <w:rsid w:val="00AE7058"/>
    <w:rsid w:val="00AE7280"/>
    <w:rsid w:val="00AE7B5F"/>
    <w:rsid w:val="00AF01FA"/>
    <w:rsid w:val="00AF033A"/>
    <w:rsid w:val="00AF0D26"/>
    <w:rsid w:val="00AF118E"/>
    <w:rsid w:val="00AF1658"/>
    <w:rsid w:val="00AF1699"/>
    <w:rsid w:val="00AF18D1"/>
    <w:rsid w:val="00AF1BA4"/>
    <w:rsid w:val="00AF1FD3"/>
    <w:rsid w:val="00AF237E"/>
    <w:rsid w:val="00AF2910"/>
    <w:rsid w:val="00AF34B8"/>
    <w:rsid w:val="00AF3896"/>
    <w:rsid w:val="00AF39C9"/>
    <w:rsid w:val="00AF3F97"/>
    <w:rsid w:val="00AF3FC2"/>
    <w:rsid w:val="00AF4DEC"/>
    <w:rsid w:val="00AF62F0"/>
    <w:rsid w:val="00AF6B57"/>
    <w:rsid w:val="00AF6BB9"/>
    <w:rsid w:val="00B003FF"/>
    <w:rsid w:val="00B0098A"/>
    <w:rsid w:val="00B00A5F"/>
    <w:rsid w:val="00B0116A"/>
    <w:rsid w:val="00B0139C"/>
    <w:rsid w:val="00B029B8"/>
    <w:rsid w:val="00B02F60"/>
    <w:rsid w:val="00B02F94"/>
    <w:rsid w:val="00B032B8"/>
    <w:rsid w:val="00B0396A"/>
    <w:rsid w:val="00B04074"/>
    <w:rsid w:val="00B04721"/>
    <w:rsid w:val="00B04B15"/>
    <w:rsid w:val="00B04B46"/>
    <w:rsid w:val="00B0534D"/>
    <w:rsid w:val="00B05685"/>
    <w:rsid w:val="00B05F9F"/>
    <w:rsid w:val="00B06070"/>
    <w:rsid w:val="00B062BE"/>
    <w:rsid w:val="00B06368"/>
    <w:rsid w:val="00B068DA"/>
    <w:rsid w:val="00B06A00"/>
    <w:rsid w:val="00B06FC6"/>
    <w:rsid w:val="00B0710D"/>
    <w:rsid w:val="00B074C9"/>
    <w:rsid w:val="00B07A70"/>
    <w:rsid w:val="00B07D9D"/>
    <w:rsid w:val="00B11AE5"/>
    <w:rsid w:val="00B12263"/>
    <w:rsid w:val="00B12ECA"/>
    <w:rsid w:val="00B12FE6"/>
    <w:rsid w:val="00B1303F"/>
    <w:rsid w:val="00B1364A"/>
    <w:rsid w:val="00B13859"/>
    <w:rsid w:val="00B13EC9"/>
    <w:rsid w:val="00B14319"/>
    <w:rsid w:val="00B14A06"/>
    <w:rsid w:val="00B14CF8"/>
    <w:rsid w:val="00B158E1"/>
    <w:rsid w:val="00B1599B"/>
    <w:rsid w:val="00B15C0E"/>
    <w:rsid w:val="00B15CCD"/>
    <w:rsid w:val="00B16715"/>
    <w:rsid w:val="00B16FFA"/>
    <w:rsid w:val="00B1768E"/>
    <w:rsid w:val="00B17910"/>
    <w:rsid w:val="00B20D7C"/>
    <w:rsid w:val="00B20F18"/>
    <w:rsid w:val="00B20FB7"/>
    <w:rsid w:val="00B21516"/>
    <w:rsid w:val="00B21723"/>
    <w:rsid w:val="00B219D9"/>
    <w:rsid w:val="00B21A37"/>
    <w:rsid w:val="00B21D23"/>
    <w:rsid w:val="00B21F62"/>
    <w:rsid w:val="00B223A4"/>
    <w:rsid w:val="00B22CE0"/>
    <w:rsid w:val="00B22F2E"/>
    <w:rsid w:val="00B232BF"/>
    <w:rsid w:val="00B23738"/>
    <w:rsid w:val="00B23BEF"/>
    <w:rsid w:val="00B247BB"/>
    <w:rsid w:val="00B2504A"/>
    <w:rsid w:val="00B25EE6"/>
    <w:rsid w:val="00B27365"/>
    <w:rsid w:val="00B3043F"/>
    <w:rsid w:val="00B3115A"/>
    <w:rsid w:val="00B3178B"/>
    <w:rsid w:val="00B31825"/>
    <w:rsid w:val="00B31A5C"/>
    <w:rsid w:val="00B32265"/>
    <w:rsid w:val="00B325CC"/>
    <w:rsid w:val="00B3276D"/>
    <w:rsid w:val="00B33331"/>
    <w:rsid w:val="00B333C8"/>
    <w:rsid w:val="00B33B06"/>
    <w:rsid w:val="00B33C19"/>
    <w:rsid w:val="00B33E0B"/>
    <w:rsid w:val="00B3462E"/>
    <w:rsid w:val="00B353A7"/>
    <w:rsid w:val="00B35A15"/>
    <w:rsid w:val="00B35B45"/>
    <w:rsid w:val="00B36165"/>
    <w:rsid w:val="00B36A99"/>
    <w:rsid w:val="00B37395"/>
    <w:rsid w:val="00B40385"/>
    <w:rsid w:val="00B40C29"/>
    <w:rsid w:val="00B419BB"/>
    <w:rsid w:val="00B42264"/>
    <w:rsid w:val="00B434B2"/>
    <w:rsid w:val="00B43B9E"/>
    <w:rsid w:val="00B43CA0"/>
    <w:rsid w:val="00B43D45"/>
    <w:rsid w:val="00B448C4"/>
    <w:rsid w:val="00B459AF"/>
    <w:rsid w:val="00B468F2"/>
    <w:rsid w:val="00B469DE"/>
    <w:rsid w:val="00B47286"/>
    <w:rsid w:val="00B4772A"/>
    <w:rsid w:val="00B47EB4"/>
    <w:rsid w:val="00B50234"/>
    <w:rsid w:val="00B5052F"/>
    <w:rsid w:val="00B51641"/>
    <w:rsid w:val="00B51BF4"/>
    <w:rsid w:val="00B521A2"/>
    <w:rsid w:val="00B52279"/>
    <w:rsid w:val="00B522D7"/>
    <w:rsid w:val="00B5235E"/>
    <w:rsid w:val="00B527AD"/>
    <w:rsid w:val="00B52C68"/>
    <w:rsid w:val="00B5324B"/>
    <w:rsid w:val="00B5372B"/>
    <w:rsid w:val="00B542FE"/>
    <w:rsid w:val="00B54360"/>
    <w:rsid w:val="00B546D2"/>
    <w:rsid w:val="00B5525E"/>
    <w:rsid w:val="00B55A1B"/>
    <w:rsid w:val="00B561DB"/>
    <w:rsid w:val="00B5645C"/>
    <w:rsid w:val="00B568A1"/>
    <w:rsid w:val="00B56DF9"/>
    <w:rsid w:val="00B56E80"/>
    <w:rsid w:val="00B570EC"/>
    <w:rsid w:val="00B571F1"/>
    <w:rsid w:val="00B5770A"/>
    <w:rsid w:val="00B6001F"/>
    <w:rsid w:val="00B600BD"/>
    <w:rsid w:val="00B60CB4"/>
    <w:rsid w:val="00B60E4E"/>
    <w:rsid w:val="00B61274"/>
    <w:rsid w:val="00B613F6"/>
    <w:rsid w:val="00B6141E"/>
    <w:rsid w:val="00B61DCE"/>
    <w:rsid w:val="00B62188"/>
    <w:rsid w:val="00B621D6"/>
    <w:rsid w:val="00B622E3"/>
    <w:rsid w:val="00B62F79"/>
    <w:rsid w:val="00B62F82"/>
    <w:rsid w:val="00B63028"/>
    <w:rsid w:val="00B6306A"/>
    <w:rsid w:val="00B635E3"/>
    <w:rsid w:val="00B64388"/>
    <w:rsid w:val="00B64B9A"/>
    <w:rsid w:val="00B662FF"/>
    <w:rsid w:val="00B665B8"/>
    <w:rsid w:val="00B665F6"/>
    <w:rsid w:val="00B66679"/>
    <w:rsid w:val="00B66C87"/>
    <w:rsid w:val="00B70139"/>
    <w:rsid w:val="00B70145"/>
    <w:rsid w:val="00B701C9"/>
    <w:rsid w:val="00B7035F"/>
    <w:rsid w:val="00B710AD"/>
    <w:rsid w:val="00B71A92"/>
    <w:rsid w:val="00B721D8"/>
    <w:rsid w:val="00B730CA"/>
    <w:rsid w:val="00B732EA"/>
    <w:rsid w:val="00B73747"/>
    <w:rsid w:val="00B747C5"/>
    <w:rsid w:val="00B74F2F"/>
    <w:rsid w:val="00B753ED"/>
    <w:rsid w:val="00B75C6D"/>
    <w:rsid w:val="00B7665F"/>
    <w:rsid w:val="00B769BC"/>
    <w:rsid w:val="00B770F7"/>
    <w:rsid w:val="00B77349"/>
    <w:rsid w:val="00B7761E"/>
    <w:rsid w:val="00B8020C"/>
    <w:rsid w:val="00B80A3D"/>
    <w:rsid w:val="00B80B04"/>
    <w:rsid w:val="00B821E4"/>
    <w:rsid w:val="00B823E0"/>
    <w:rsid w:val="00B8260D"/>
    <w:rsid w:val="00B82694"/>
    <w:rsid w:val="00B8286F"/>
    <w:rsid w:val="00B82B78"/>
    <w:rsid w:val="00B82FD9"/>
    <w:rsid w:val="00B845A8"/>
    <w:rsid w:val="00B845B4"/>
    <w:rsid w:val="00B84662"/>
    <w:rsid w:val="00B84C74"/>
    <w:rsid w:val="00B84CE9"/>
    <w:rsid w:val="00B84F6E"/>
    <w:rsid w:val="00B85191"/>
    <w:rsid w:val="00B85412"/>
    <w:rsid w:val="00B858A1"/>
    <w:rsid w:val="00B85FEC"/>
    <w:rsid w:val="00B864A3"/>
    <w:rsid w:val="00B867B8"/>
    <w:rsid w:val="00B86C2A"/>
    <w:rsid w:val="00B87575"/>
    <w:rsid w:val="00B902A5"/>
    <w:rsid w:val="00B90420"/>
    <w:rsid w:val="00B90848"/>
    <w:rsid w:val="00B91146"/>
    <w:rsid w:val="00B913E4"/>
    <w:rsid w:val="00B91DB9"/>
    <w:rsid w:val="00B91FF3"/>
    <w:rsid w:val="00B925F8"/>
    <w:rsid w:val="00B9330A"/>
    <w:rsid w:val="00B93EFE"/>
    <w:rsid w:val="00B944B9"/>
    <w:rsid w:val="00B94602"/>
    <w:rsid w:val="00B94956"/>
    <w:rsid w:val="00B94C7F"/>
    <w:rsid w:val="00B94E93"/>
    <w:rsid w:val="00B956B5"/>
    <w:rsid w:val="00B95956"/>
    <w:rsid w:val="00B96DF2"/>
    <w:rsid w:val="00B96E18"/>
    <w:rsid w:val="00B96F5A"/>
    <w:rsid w:val="00B97AF7"/>
    <w:rsid w:val="00BA02CF"/>
    <w:rsid w:val="00BA0A69"/>
    <w:rsid w:val="00BA0B39"/>
    <w:rsid w:val="00BA0CB2"/>
    <w:rsid w:val="00BA0E26"/>
    <w:rsid w:val="00BA138B"/>
    <w:rsid w:val="00BA207E"/>
    <w:rsid w:val="00BA238F"/>
    <w:rsid w:val="00BA2471"/>
    <w:rsid w:val="00BA305B"/>
    <w:rsid w:val="00BA31BF"/>
    <w:rsid w:val="00BA3258"/>
    <w:rsid w:val="00BA3C0F"/>
    <w:rsid w:val="00BA3FC7"/>
    <w:rsid w:val="00BA478B"/>
    <w:rsid w:val="00BA5224"/>
    <w:rsid w:val="00BA575E"/>
    <w:rsid w:val="00BA67B1"/>
    <w:rsid w:val="00BA69D5"/>
    <w:rsid w:val="00BA7524"/>
    <w:rsid w:val="00BA756D"/>
    <w:rsid w:val="00BA76B7"/>
    <w:rsid w:val="00BA7E3B"/>
    <w:rsid w:val="00BB078D"/>
    <w:rsid w:val="00BB079C"/>
    <w:rsid w:val="00BB0D7A"/>
    <w:rsid w:val="00BB10E1"/>
    <w:rsid w:val="00BB23BF"/>
    <w:rsid w:val="00BB2471"/>
    <w:rsid w:val="00BB3035"/>
    <w:rsid w:val="00BB3039"/>
    <w:rsid w:val="00BB39C1"/>
    <w:rsid w:val="00BB3DF5"/>
    <w:rsid w:val="00BB3EA7"/>
    <w:rsid w:val="00BB45BC"/>
    <w:rsid w:val="00BB4653"/>
    <w:rsid w:val="00BB5D16"/>
    <w:rsid w:val="00BB5E55"/>
    <w:rsid w:val="00BB6180"/>
    <w:rsid w:val="00BB6290"/>
    <w:rsid w:val="00BB69DC"/>
    <w:rsid w:val="00BB69E6"/>
    <w:rsid w:val="00BB7323"/>
    <w:rsid w:val="00BB73CA"/>
    <w:rsid w:val="00BB7BE5"/>
    <w:rsid w:val="00BB7C6D"/>
    <w:rsid w:val="00BC08BD"/>
    <w:rsid w:val="00BC1002"/>
    <w:rsid w:val="00BC11E8"/>
    <w:rsid w:val="00BC1418"/>
    <w:rsid w:val="00BC1B7A"/>
    <w:rsid w:val="00BC2C17"/>
    <w:rsid w:val="00BC3149"/>
    <w:rsid w:val="00BC3ACD"/>
    <w:rsid w:val="00BC3B20"/>
    <w:rsid w:val="00BC3EE4"/>
    <w:rsid w:val="00BC4A6C"/>
    <w:rsid w:val="00BC577D"/>
    <w:rsid w:val="00BC588C"/>
    <w:rsid w:val="00BC6E73"/>
    <w:rsid w:val="00BC74D3"/>
    <w:rsid w:val="00BC7ACA"/>
    <w:rsid w:val="00BC7E6E"/>
    <w:rsid w:val="00BD0014"/>
    <w:rsid w:val="00BD01D8"/>
    <w:rsid w:val="00BD1C96"/>
    <w:rsid w:val="00BD1E3A"/>
    <w:rsid w:val="00BD1F36"/>
    <w:rsid w:val="00BD255F"/>
    <w:rsid w:val="00BD2895"/>
    <w:rsid w:val="00BD4236"/>
    <w:rsid w:val="00BD4400"/>
    <w:rsid w:val="00BD483B"/>
    <w:rsid w:val="00BD4FBA"/>
    <w:rsid w:val="00BD51F9"/>
    <w:rsid w:val="00BD5BD8"/>
    <w:rsid w:val="00BD5CD4"/>
    <w:rsid w:val="00BD65D9"/>
    <w:rsid w:val="00BD6922"/>
    <w:rsid w:val="00BD6DF3"/>
    <w:rsid w:val="00BD6E09"/>
    <w:rsid w:val="00BD6EF9"/>
    <w:rsid w:val="00BE045C"/>
    <w:rsid w:val="00BE0ACB"/>
    <w:rsid w:val="00BE11F3"/>
    <w:rsid w:val="00BE1843"/>
    <w:rsid w:val="00BE2260"/>
    <w:rsid w:val="00BE25DA"/>
    <w:rsid w:val="00BE2826"/>
    <w:rsid w:val="00BE2D95"/>
    <w:rsid w:val="00BE2F75"/>
    <w:rsid w:val="00BE3917"/>
    <w:rsid w:val="00BE3D7E"/>
    <w:rsid w:val="00BE4A76"/>
    <w:rsid w:val="00BE4E87"/>
    <w:rsid w:val="00BE50FD"/>
    <w:rsid w:val="00BE51CA"/>
    <w:rsid w:val="00BE537F"/>
    <w:rsid w:val="00BE5B73"/>
    <w:rsid w:val="00BE5D77"/>
    <w:rsid w:val="00BE630A"/>
    <w:rsid w:val="00BE638C"/>
    <w:rsid w:val="00BE6914"/>
    <w:rsid w:val="00BE6BA1"/>
    <w:rsid w:val="00BE6D47"/>
    <w:rsid w:val="00BE6F9B"/>
    <w:rsid w:val="00BE6FBF"/>
    <w:rsid w:val="00BE7032"/>
    <w:rsid w:val="00BE7330"/>
    <w:rsid w:val="00BE77A7"/>
    <w:rsid w:val="00BF01C5"/>
    <w:rsid w:val="00BF061A"/>
    <w:rsid w:val="00BF066A"/>
    <w:rsid w:val="00BF0771"/>
    <w:rsid w:val="00BF0EDE"/>
    <w:rsid w:val="00BF14CC"/>
    <w:rsid w:val="00BF1821"/>
    <w:rsid w:val="00BF214F"/>
    <w:rsid w:val="00BF22E9"/>
    <w:rsid w:val="00BF3FE4"/>
    <w:rsid w:val="00BF4342"/>
    <w:rsid w:val="00BF4704"/>
    <w:rsid w:val="00BF4FFC"/>
    <w:rsid w:val="00BF5050"/>
    <w:rsid w:val="00BF50D1"/>
    <w:rsid w:val="00BF5422"/>
    <w:rsid w:val="00BF59B1"/>
    <w:rsid w:val="00BF5C4D"/>
    <w:rsid w:val="00BF6625"/>
    <w:rsid w:val="00BF6A78"/>
    <w:rsid w:val="00BF6B3F"/>
    <w:rsid w:val="00BF7118"/>
    <w:rsid w:val="00BF7695"/>
    <w:rsid w:val="00BF775D"/>
    <w:rsid w:val="00BF79B4"/>
    <w:rsid w:val="00BF7C61"/>
    <w:rsid w:val="00C00366"/>
    <w:rsid w:val="00C00686"/>
    <w:rsid w:val="00C013AC"/>
    <w:rsid w:val="00C01427"/>
    <w:rsid w:val="00C014C7"/>
    <w:rsid w:val="00C031CF"/>
    <w:rsid w:val="00C04172"/>
    <w:rsid w:val="00C047AB"/>
    <w:rsid w:val="00C053CF"/>
    <w:rsid w:val="00C058AF"/>
    <w:rsid w:val="00C069E5"/>
    <w:rsid w:val="00C06EAB"/>
    <w:rsid w:val="00C0709D"/>
    <w:rsid w:val="00C07136"/>
    <w:rsid w:val="00C075B6"/>
    <w:rsid w:val="00C10027"/>
    <w:rsid w:val="00C1118B"/>
    <w:rsid w:val="00C124C1"/>
    <w:rsid w:val="00C128AE"/>
    <w:rsid w:val="00C12BA8"/>
    <w:rsid w:val="00C13094"/>
    <w:rsid w:val="00C1359F"/>
    <w:rsid w:val="00C136D6"/>
    <w:rsid w:val="00C13D5B"/>
    <w:rsid w:val="00C141D7"/>
    <w:rsid w:val="00C16074"/>
    <w:rsid w:val="00C163A7"/>
    <w:rsid w:val="00C16F9E"/>
    <w:rsid w:val="00C1711B"/>
    <w:rsid w:val="00C17526"/>
    <w:rsid w:val="00C17AE2"/>
    <w:rsid w:val="00C20140"/>
    <w:rsid w:val="00C20CD6"/>
    <w:rsid w:val="00C20F27"/>
    <w:rsid w:val="00C215CF"/>
    <w:rsid w:val="00C21A89"/>
    <w:rsid w:val="00C21C6D"/>
    <w:rsid w:val="00C2244B"/>
    <w:rsid w:val="00C22711"/>
    <w:rsid w:val="00C2280A"/>
    <w:rsid w:val="00C22B0D"/>
    <w:rsid w:val="00C22BFF"/>
    <w:rsid w:val="00C23522"/>
    <w:rsid w:val="00C23581"/>
    <w:rsid w:val="00C23E71"/>
    <w:rsid w:val="00C24015"/>
    <w:rsid w:val="00C240C1"/>
    <w:rsid w:val="00C241CD"/>
    <w:rsid w:val="00C244A1"/>
    <w:rsid w:val="00C24AED"/>
    <w:rsid w:val="00C250D0"/>
    <w:rsid w:val="00C252AC"/>
    <w:rsid w:val="00C25C0F"/>
    <w:rsid w:val="00C26567"/>
    <w:rsid w:val="00C26923"/>
    <w:rsid w:val="00C271C9"/>
    <w:rsid w:val="00C27214"/>
    <w:rsid w:val="00C27597"/>
    <w:rsid w:val="00C27E5E"/>
    <w:rsid w:val="00C30382"/>
    <w:rsid w:val="00C30772"/>
    <w:rsid w:val="00C30D6F"/>
    <w:rsid w:val="00C31063"/>
    <w:rsid w:val="00C311E7"/>
    <w:rsid w:val="00C31492"/>
    <w:rsid w:val="00C31B7E"/>
    <w:rsid w:val="00C320D1"/>
    <w:rsid w:val="00C320E8"/>
    <w:rsid w:val="00C322D1"/>
    <w:rsid w:val="00C323E6"/>
    <w:rsid w:val="00C3242A"/>
    <w:rsid w:val="00C33201"/>
    <w:rsid w:val="00C3328B"/>
    <w:rsid w:val="00C33A39"/>
    <w:rsid w:val="00C33F55"/>
    <w:rsid w:val="00C343FF"/>
    <w:rsid w:val="00C34619"/>
    <w:rsid w:val="00C348D9"/>
    <w:rsid w:val="00C35D01"/>
    <w:rsid w:val="00C360B3"/>
    <w:rsid w:val="00C36451"/>
    <w:rsid w:val="00C365EA"/>
    <w:rsid w:val="00C367F0"/>
    <w:rsid w:val="00C37027"/>
    <w:rsid w:val="00C373BF"/>
    <w:rsid w:val="00C37B15"/>
    <w:rsid w:val="00C37B19"/>
    <w:rsid w:val="00C37B38"/>
    <w:rsid w:val="00C40B87"/>
    <w:rsid w:val="00C41318"/>
    <w:rsid w:val="00C41349"/>
    <w:rsid w:val="00C413CB"/>
    <w:rsid w:val="00C41429"/>
    <w:rsid w:val="00C41558"/>
    <w:rsid w:val="00C41F9F"/>
    <w:rsid w:val="00C42752"/>
    <w:rsid w:val="00C42973"/>
    <w:rsid w:val="00C43426"/>
    <w:rsid w:val="00C45267"/>
    <w:rsid w:val="00C4542D"/>
    <w:rsid w:val="00C46A3D"/>
    <w:rsid w:val="00C46B95"/>
    <w:rsid w:val="00C4712A"/>
    <w:rsid w:val="00C476B5"/>
    <w:rsid w:val="00C478F8"/>
    <w:rsid w:val="00C47E99"/>
    <w:rsid w:val="00C5001E"/>
    <w:rsid w:val="00C5034F"/>
    <w:rsid w:val="00C505D2"/>
    <w:rsid w:val="00C50830"/>
    <w:rsid w:val="00C52436"/>
    <w:rsid w:val="00C52479"/>
    <w:rsid w:val="00C5266E"/>
    <w:rsid w:val="00C52C59"/>
    <w:rsid w:val="00C5349E"/>
    <w:rsid w:val="00C539FF"/>
    <w:rsid w:val="00C54215"/>
    <w:rsid w:val="00C544BD"/>
    <w:rsid w:val="00C54D3D"/>
    <w:rsid w:val="00C55A30"/>
    <w:rsid w:val="00C55E1C"/>
    <w:rsid w:val="00C56076"/>
    <w:rsid w:val="00C561FB"/>
    <w:rsid w:val="00C56384"/>
    <w:rsid w:val="00C567E9"/>
    <w:rsid w:val="00C56ED2"/>
    <w:rsid w:val="00C60F8C"/>
    <w:rsid w:val="00C61424"/>
    <w:rsid w:val="00C61794"/>
    <w:rsid w:val="00C617AE"/>
    <w:rsid w:val="00C623E3"/>
    <w:rsid w:val="00C62A48"/>
    <w:rsid w:val="00C62AC4"/>
    <w:rsid w:val="00C62B59"/>
    <w:rsid w:val="00C62F96"/>
    <w:rsid w:val="00C631E1"/>
    <w:rsid w:val="00C638D8"/>
    <w:rsid w:val="00C63A43"/>
    <w:rsid w:val="00C63AE7"/>
    <w:rsid w:val="00C63D26"/>
    <w:rsid w:val="00C64127"/>
    <w:rsid w:val="00C6540A"/>
    <w:rsid w:val="00C65CF7"/>
    <w:rsid w:val="00C668A1"/>
    <w:rsid w:val="00C66E72"/>
    <w:rsid w:val="00C67223"/>
    <w:rsid w:val="00C67F42"/>
    <w:rsid w:val="00C707B8"/>
    <w:rsid w:val="00C712AC"/>
    <w:rsid w:val="00C7158C"/>
    <w:rsid w:val="00C71C15"/>
    <w:rsid w:val="00C71F3D"/>
    <w:rsid w:val="00C72767"/>
    <w:rsid w:val="00C72AA4"/>
    <w:rsid w:val="00C72F53"/>
    <w:rsid w:val="00C74035"/>
    <w:rsid w:val="00C748EA"/>
    <w:rsid w:val="00C74921"/>
    <w:rsid w:val="00C76FB0"/>
    <w:rsid w:val="00C77818"/>
    <w:rsid w:val="00C8063F"/>
    <w:rsid w:val="00C808BE"/>
    <w:rsid w:val="00C8121A"/>
    <w:rsid w:val="00C81282"/>
    <w:rsid w:val="00C8155F"/>
    <w:rsid w:val="00C8198D"/>
    <w:rsid w:val="00C82167"/>
    <w:rsid w:val="00C827B4"/>
    <w:rsid w:val="00C83214"/>
    <w:rsid w:val="00C8329F"/>
    <w:rsid w:val="00C84E65"/>
    <w:rsid w:val="00C84F8A"/>
    <w:rsid w:val="00C85743"/>
    <w:rsid w:val="00C85846"/>
    <w:rsid w:val="00C85BA4"/>
    <w:rsid w:val="00C8618F"/>
    <w:rsid w:val="00C8625D"/>
    <w:rsid w:val="00C863FA"/>
    <w:rsid w:val="00C865AD"/>
    <w:rsid w:val="00C86612"/>
    <w:rsid w:val="00C87402"/>
    <w:rsid w:val="00C90372"/>
    <w:rsid w:val="00C9041F"/>
    <w:rsid w:val="00C9166B"/>
    <w:rsid w:val="00C91945"/>
    <w:rsid w:val="00C91A45"/>
    <w:rsid w:val="00C91BA5"/>
    <w:rsid w:val="00C91FB4"/>
    <w:rsid w:val="00C92150"/>
    <w:rsid w:val="00C92328"/>
    <w:rsid w:val="00C928D6"/>
    <w:rsid w:val="00C9292F"/>
    <w:rsid w:val="00C92D42"/>
    <w:rsid w:val="00C938C2"/>
    <w:rsid w:val="00C9397B"/>
    <w:rsid w:val="00C93F8A"/>
    <w:rsid w:val="00C942C2"/>
    <w:rsid w:val="00C94EA1"/>
    <w:rsid w:val="00C95745"/>
    <w:rsid w:val="00C95813"/>
    <w:rsid w:val="00C95902"/>
    <w:rsid w:val="00C95999"/>
    <w:rsid w:val="00C95CCD"/>
    <w:rsid w:val="00C962E3"/>
    <w:rsid w:val="00C968C9"/>
    <w:rsid w:val="00C978E2"/>
    <w:rsid w:val="00C97997"/>
    <w:rsid w:val="00CA10A2"/>
    <w:rsid w:val="00CA1D83"/>
    <w:rsid w:val="00CA1FEB"/>
    <w:rsid w:val="00CA25C0"/>
    <w:rsid w:val="00CA2BFB"/>
    <w:rsid w:val="00CA3451"/>
    <w:rsid w:val="00CA35C6"/>
    <w:rsid w:val="00CA475F"/>
    <w:rsid w:val="00CA4948"/>
    <w:rsid w:val="00CA52F9"/>
    <w:rsid w:val="00CA5368"/>
    <w:rsid w:val="00CA547B"/>
    <w:rsid w:val="00CA568B"/>
    <w:rsid w:val="00CA573A"/>
    <w:rsid w:val="00CA58E0"/>
    <w:rsid w:val="00CA5C58"/>
    <w:rsid w:val="00CA68B2"/>
    <w:rsid w:val="00CA73A1"/>
    <w:rsid w:val="00CA7656"/>
    <w:rsid w:val="00CA7FB0"/>
    <w:rsid w:val="00CB0CC1"/>
    <w:rsid w:val="00CB160B"/>
    <w:rsid w:val="00CB17D8"/>
    <w:rsid w:val="00CB19D7"/>
    <w:rsid w:val="00CB19FE"/>
    <w:rsid w:val="00CB1AAE"/>
    <w:rsid w:val="00CB1C3F"/>
    <w:rsid w:val="00CB1FCA"/>
    <w:rsid w:val="00CB2364"/>
    <w:rsid w:val="00CB24C5"/>
    <w:rsid w:val="00CB2FEE"/>
    <w:rsid w:val="00CB304C"/>
    <w:rsid w:val="00CB3933"/>
    <w:rsid w:val="00CB5010"/>
    <w:rsid w:val="00CB53E8"/>
    <w:rsid w:val="00CB594A"/>
    <w:rsid w:val="00CB5CB2"/>
    <w:rsid w:val="00CB6979"/>
    <w:rsid w:val="00CB7A04"/>
    <w:rsid w:val="00CB7DDE"/>
    <w:rsid w:val="00CB7F55"/>
    <w:rsid w:val="00CC01D8"/>
    <w:rsid w:val="00CC043E"/>
    <w:rsid w:val="00CC04F2"/>
    <w:rsid w:val="00CC0A3D"/>
    <w:rsid w:val="00CC22B8"/>
    <w:rsid w:val="00CC2FF0"/>
    <w:rsid w:val="00CC33B8"/>
    <w:rsid w:val="00CC3A84"/>
    <w:rsid w:val="00CC3C53"/>
    <w:rsid w:val="00CC3D24"/>
    <w:rsid w:val="00CC3F91"/>
    <w:rsid w:val="00CC405D"/>
    <w:rsid w:val="00CC47EE"/>
    <w:rsid w:val="00CC4ACD"/>
    <w:rsid w:val="00CC4B0A"/>
    <w:rsid w:val="00CC5387"/>
    <w:rsid w:val="00CC544A"/>
    <w:rsid w:val="00CC57EA"/>
    <w:rsid w:val="00CC5954"/>
    <w:rsid w:val="00CC5CF8"/>
    <w:rsid w:val="00CC5F4B"/>
    <w:rsid w:val="00CC629B"/>
    <w:rsid w:val="00CC66A2"/>
    <w:rsid w:val="00CC6C4E"/>
    <w:rsid w:val="00CC7709"/>
    <w:rsid w:val="00CC770A"/>
    <w:rsid w:val="00CC7B1F"/>
    <w:rsid w:val="00CD009D"/>
    <w:rsid w:val="00CD05A2"/>
    <w:rsid w:val="00CD1049"/>
    <w:rsid w:val="00CD29D4"/>
    <w:rsid w:val="00CD2B5C"/>
    <w:rsid w:val="00CD2CA1"/>
    <w:rsid w:val="00CD2FF3"/>
    <w:rsid w:val="00CD3323"/>
    <w:rsid w:val="00CD3324"/>
    <w:rsid w:val="00CD356A"/>
    <w:rsid w:val="00CD37AE"/>
    <w:rsid w:val="00CD38F5"/>
    <w:rsid w:val="00CD3BF2"/>
    <w:rsid w:val="00CD437E"/>
    <w:rsid w:val="00CD4AAF"/>
    <w:rsid w:val="00CD5DAD"/>
    <w:rsid w:val="00CD5FFB"/>
    <w:rsid w:val="00CD72C5"/>
    <w:rsid w:val="00CD74E3"/>
    <w:rsid w:val="00CD79A7"/>
    <w:rsid w:val="00CD7B44"/>
    <w:rsid w:val="00CD7FAD"/>
    <w:rsid w:val="00CE074B"/>
    <w:rsid w:val="00CE0789"/>
    <w:rsid w:val="00CE0E8D"/>
    <w:rsid w:val="00CE1A03"/>
    <w:rsid w:val="00CE233E"/>
    <w:rsid w:val="00CE2346"/>
    <w:rsid w:val="00CE25B2"/>
    <w:rsid w:val="00CE2748"/>
    <w:rsid w:val="00CE312F"/>
    <w:rsid w:val="00CE3529"/>
    <w:rsid w:val="00CE35C8"/>
    <w:rsid w:val="00CE3962"/>
    <w:rsid w:val="00CE43FA"/>
    <w:rsid w:val="00CE4D0A"/>
    <w:rsid w:val="00CE4D1A"/>
    <w:rsid w:val="00CE4E8A"/>
    <w:rsid w:val="00CE5105"/>
    <w:rsid w:val="00CE5525"/>
    <w:rsid w:val="00CE56BD"/>
    <w:rsid w:val="00CE5EC0"/>
    <w:rsid w:val="00CE68AD"/>
    <w:rsid w:val="00CE6BA5"/>
    <w:rsid w:val="00CE6EA4"/>
    <w:rsid w:val="00CE6F15"/>
    <w:rsid w:val="00CE6F9F"/>
    <w:rsid w:val="00CE781A"/>
    <w:rsid w:val="00CE7B08"/>
    <w:rsid w:val="00CE7B7A"/>
    <w:rsid w:val="00CE7D52"/>
    <w:rsid w:val="00CF0AAA"/>
    <w:rsid w:val="00CF0AB7"/>
    <w:rsid w:val="00CF1D74"/>
    <w:rsid w:val="00CF1F8D"/>
    <w:rsid w:val="00CF2BE2"/>
    <w:rsid w:val="00CF371A"/>
    <w:rsid w:val="00CF37C2"/>
    <w:rsid w:val="00CF3DE4"/>
    <w:rsid w:val="00CF3DEB"/>
    <w:rsid w:val="00CF42C9"/>
    <w:rsid w:val="00CF4363"/>
    <w:rsid w:val="00CF4626"/>
    <w:rsid w:val="00CF55F9"/>
    <w:rsid w:val="00CF578D"/>
    <w:rsid w:val="00CF63B2"/>
    <w:rsid w:val="00CF7074"/>
    <w:rsid w:val="00CF7495"/>
    <w:rsid w:val="00CF76D6"/>
    <w:rsid w:val="00D00314"/>
    <w:rsid w:val="00D01CF9"/>
    <w:rsid w:val="00D01F93"/>
    <w:rsid w:val="00D021E8"/>
    <w:rsid w:val="00D02AA3"/>
    <w:rsid w:val="00D0334D"/>
    <w:rsid w:val="00D0374D"/>
    <w:rsid w:val="00D0411B"/>
    <w:rsid w:val="00D05614"/>
    <w:rsid w:val="00D05D5C"/>
    <w:rsid w:val="00D06312"/>
    <w:rsid w:val="00D06B62"/>
    <w:rsid w:val="00D06D7B"/>
    <w:rsid w:val="00D06DA5"/>
    <w:rsid w:val="00D07191"/>
    <w:rsid w:val="00D07319"/>
    <w:rsid w:val="00D07813"/>
    <w:rsid w:val="00D07F1D"/>
    <w:rsid w:val="00D10558"/>
    <w:rsid w:val="00D10AA3"/>
    <w:rsid w:val="00D10EE8"/>
    <w:rsid w:val="00D11140"/>
    <w:rsid w:val="00D11739"/>
    <w:rsid w:val="00D119A6"/>
    <w:rsid w:val="00D11D4D"/>
    <w:rsid w:val="00D11DB1"/>
    <w:rsid w:val="00D126DC"/>
    <w:rsid w:val="00D12B03"/>
    <w:rsid w:val="00D13E70"/>
    <w:rsid w:val="00D13EE7"/>
    <w:rsid w:val="00D147BE"/>
    <w:rsid w:val="00D148A0"/>
    <w:rsid w:val="00D158D5"/>
    <w:rsid w:val="00D15ECD"/>
    <w:rsid w:val="00D15FCD"/>
    <w:rsid w:val="00D16C58"/>
    <w:rsid w:val="00D17019"/>
    <w:rsid w:val="00D1705A"/>
    <w:rsid w:val="00D17ABA"/>
    <w:rsid w:val="00D17D34"/>
    <w:rsid w:val="00D17FC8"/>
    <w:rsid w:val="00D2015B"/>
    <w:rsid w:val="00D202B2"/>
    <w:rsid w:val="00D207E7"/>
    <w:rsid w:val="00D20B44"/>
    <w:rsid w:val="00D21168"/>
    <w:rsid w:val="00D21A90"/>
    <w:rsid w:val="00D21C3A"/>
    <w:rsid w:val="00D2224A"/>
    <w:rsid w:val="00D22700"/>
    <w:rsid w:val="00D230BF"/>
    <w:rsid w:val="00D2385D"/>
    <w:rsid w:val="00D23AAD"/>
    <w:rsid w:val="00D23FB9"/>
    <w:rsid w:val="00D23FF4"/>
    <w:rsid w:val="00D2438C"/>
    <w:rsid w:val="00D247E0"/>
    <w:rsid w:val="00D2585A"/>
    <w:rsid w:val="00D25920"/>
    <w:rsid w:val="00D259B0"/>
    <w:rsid w:val="00D259C2"/>
    <w:rsid w:val="00D26586"/>
    <w:rsid w:val="00D26C3F"/>
    <w:rsid w:val="00D27185"/>
    <w:rsid w:val="00D27338"/>
    <w:rsid w:val="00D3028A"/>
    <w:rsid w:val="00D30E98"/>
    <w:rsid w:val="00D3125C"/>
    <w:rsid w:val="00D3214D"/>
    <w:rsid w:val="00D32A92"/>
    <w:rsid w:val="00D32CF5"/>
    <w:rsid w:val="00D33488"/>
    <w:rsid w:val="00D33AB3"/>
    <w:rsid w:val="00D33F24"/>
    <w:rsid w:val="00D34160"/>
    <w:rsid w:val="00D343BA"/>
    <w:rsid w:val="00D346B8"/>
    <w:rsid w:val="00D34DCA"/>
    <w:rsid w:val="00D35AC8"/>
    <w:rsid w:val="00D36F05"/>
    <w:rsid w:val="00D36F87"/>
    <w:rsid w:val="00D37DF9"/>
    <w:rsid w:val="00D37E4E"/>
    <w:rsid w:val="00D40672"/>
    <w:rsid w:val="00D417D8"/>
    <w:rsid w:val="00D41F78"/>
    <w:rsid w:val="00D42687"/>
    <w:rsid w:val="00D42ABC"/>
    <w:rsid w:val="00D42E6C"/>
    <w:rsid w:val="00D430A5"/>
    <w:rsid w:val="00D4351C"/>
    <w:rsid w:val="00D43B80"/>
    <w:rsid w:val="00D44348"/>
    <w:rsid w:val="00D4485C"/>
    <w:rsid w:val="00D44988"/>
    <w:rsid w:val="00D45828"/>
    <w:rsid w:val="00D45B4C"/>
    <w:rsid w:val="00D45BA4"/>
    <w:rsid w:val="00D45C8D"/>
    <w:rsid w:val="00D471AF"/>
    <w:rsid w:val="00D471E2"/>
    <w:rsid w:val="00D4724F"/>
    <w:rsid w:val="00D47A34"/>
    <w:rsid w:val="00D50252"/>
    <w:rsid w:val="00D50519"/>
    <w:rsid w:val="00D50702"/>
    <w:rsid w:val="00D50779"/>
    <w:rsid w:val="00D50D4C"/>
    <w:rsid w:val="00D51601"/>
    <w:rsid w:val="00D51EC3"/>
    <w:rsid w:val="00D51ECB"/>
    <w:rsid w:val="00D520DE"/>
    <w:rsid w:val="00D5264C"/>
    <w:rsid w:val="00D52BBC"/>
    <w:rsid w:val="00D537FE"/>
    <w:rsid w:val="00D53CC9"/>
    <w:rsid w:val="00D54A6A"/>
    <w:rsid w:val="00D54B8F"/>
    <w:rsid w:val="00D55848"/>
    <w:rsid w:val="00D55951"/>
    <w:rsid w:val="00D559F0"/>
    <w:rsid w:val="00D56455"/>
    <w:rsid w:val="00D5650F"/>
    <w:rsid w:val="00D56594"/>
    <w:rsid w:val="00D576A4"/>
    <w:rsid w:val="00D57EB6"/>
    <w:rsid w:val="00D608C0"/>
    <w:rsid w:val="00D60D6D"/>
    <w:rsid w:val="00D6128C"/>
    <w:rsid w:val="00D63B22"/>
    <w:rsid w:val="00D63DF9"/>
    <w:rsid w:val="00D66009"/>
    <w:rsid w:val="00D66A9F"/>
    <w:rsid w:val="00D66D8B"/>
    <w:rsid w:val="00D66F72"/>
    <w:rsid w:val="00D671B2"/>
    <w:rsid w:val="00D674BE"/>
    <w:rsid w:val="00D67863"/>
    <w:rsid w:val="00D70849"/>
    <w:rsid w:val="00D70DFA"/>
    <w:rsid w:val="00D72297"/>
    <w:rsid w:val="00D72A1C"/>
    <w:rsid w:val="00D72CC0"/>
    <w:rsid w:val="00D7308F"/>
    <w:rsid w:val="00D7313E"/>
    <w:rsid w:val="00D73396"/>
    <w:rsid w:val="00D73580"/>
    <w:rsid w:val="00D73802"/>
    <w:rsid w:val="00D73883"/>
    <w:rsid w:val="00D73C2C"/>
    <w:rsid w:val="00D73D52"/>
    <w:rsid w:val="00D73E70"/>
    <w:rsid w:val="00D745E7"/>
    <w:rsid w:val="00D74C25"/>
    <w:rsid w:val="00D75296"/>
    <w:rsid w:val="00D75FDA"/>
    <w:rsid w:val="00D774ED"/>
    <w:rsid w:val="00D776AD"/>
    <w:rsid w:val="00D777C3"/>
    <w:rsid w:val="00D7797C"/>
    <w:rsid w:val="00D77C44"/>
    <w:rsid w:val="00D77F88"/>
    <w:rsid w:val="00D8131B"/>
    <w:rsid w:val="00D81AFA"/>
    <w:rsid w:val="00D81EAA"/>
    <w:rsid w:val="00D81FE2"/>
    <w:rsid w:val="00D8259F"/>
    <w:rsid w:val="00D825F2"/>
    <w:rsid w:val="00D8285C"/>
    <w:rsid w:val="00D828B1"/>
    <w:rsid w:val="00D82A55"/>
    <w:rsid w:val="00D830F8"/>
    <w:rsid w:val="00D83174"/>
    <w:rsid w:val="00D83D49"/>
    <w:rsid w:val="00D84181"/>
    <w:rsid w:val="00D846AD"/>
    <w:rsid w:val="00D84754"/>
    <w:rsid w:val="00D84F27"/>
    <w:rsid w:val="00D853F0"/>
    <w:rsid w:val="00D85862"/>
    <w:rsid w:val="00D85892"/>
    <w:rsid w:val="00D85B03"/>
    <w:rsid w:val="00D86D47"/>
    <w:rsid w:val="00D8710C"/>
    <w:rsid w:val="00D871CE"/>
    <w:rsid w:val="00D873C6"/>
    <w:rsid w:val="00D87819"/>
    <w:rsid w:val="00D878A3"/>
    <w:rsid w:val="00D87FA5"/>
    <w:rsid w:val="00D9074A"/>
    <w:rsid w:val="00D9099E"/>
    <w:rsid w:val="00D90E18"/>
    <w:rsid w:val="00D9193A"/>
    <w:rsid w:val="00D91D05"/>
    <w:rsid w:val="00D923B2"/>
    <w:rsid w:val="00D92463"/>
    <w:rsid w:val="00D924E7"/>
    <w:rsid w:val="00D927B5"/>
    <w:rsid w:val="00D92981"/>
    <w:rsid w:val="00D92C81"/>
    <w:rsid w:val="00D93037"/>
    <w:rsid w:val="00D93E64"/>
    <w:rsid w:val="00D93F64"/>
    <w:rsid w:val="00D94CA4"/>
    <w:rsid w:val="00D95E99"/>
    <w:rsid w:val="00D965D5"/>
    <w:rsid w:val="00D96F7C"/>
    <w:rsid w:val="00D9714B"/>
    <w:rsid w:val="00D97DA2"/>
    <w:rsid w:val="00DA0485"/>
    <w:rsid w:val="00DA1A3A"/>
    <w:rsid w:val="00DA1FC3"/>
    <w:rsid w:val="00DA2351"/>
    <w:rsid w:val="00DA249E"/>
    <w:rsid w:val="00DA2D3D"/>
    <w:rsid w:val="00DA35D9"/>
    <w:rsid w:val="00DA3855"/>
    <w:rsid w:val="00DA39BA"/>
    <w:rsid w:val="00DA3A03"/>
    <w:rsid w:val="00DA4C30"/>
    <w:rsid w:val="00DA52B3"/>
    <w:rsid w:val="00DA538E"/>
    <w:rsid w:val="00DA5FB3"/>
    <w:rsid w:val="00DA6980"/>
    <w:rsid w:val="00DA6A44"/>
    <w:rsid w:val="00DA7A3C"/>
    <w:rsid w:val="00DB145E"/>
    <w:rsid w:val="00DB1A94"/>
    <w:rsid w:val="00DB1D52"/>
    <w:rsid w:val="00DB1E2B"/>
    <w:rsid w:val="00DB1F62"/>
    <w:rsid w:val="00DB21E7"/>
    <w:rsid w:val="00DB2E03"/>
    <w:rsid w:val="00DB3742"/>
    <w:rsid w:val="00DB38F2"/>
    <w:rsid w:val="00DB3C5A"/>
    <w:rsid w:val="00DB3E9B"/>
    <w:rsid w:val="00DB3F4B"/>
    <w:rsid w:val="00DB495F"/>
    <w:rsid w:val="00DB4A80"/>
    <w:rsid w:val="00DB5375"/>
    <w:rsid w:val="00DB6003"/>
    <w:rsid w:val="00DB6103"/>
    <w:rsid w:val="00DB6769"/>
    <w:rsid w:val="00DB67C1"/>
    <w:rsid w:val="00DB6C0B"/>
    <w:rsid w:val="00DB70F4"/>
    <w:rsid w:val="00DB748A"/>
    <w:rsid w:val="00DB7AC2"/>
    <w:rsid w:val="00DB7CB7"/>
    <w:rsid w:val="00DC1056"/>
    <w:rsid w:val="00DC1442"/>
    <w:rsid w:val="00DC1781"/>
    <w:rsid w:val="00DC21D8"/>
    <w:rsid w:val="00DC282A"/>
    <w:rsid w:val="00DC2DE8"/>
    <w:rsid w:val="00DC3054"/>
    <w:rsid w:val="00DC34DC"/>
    <w:rsid w:val="00DC3780"/>
    <w:rsid w:val="00DC3ADA"/>
    <w:rsid w:val="00DC3CC6"/>
    <w:rsid w:val="00DC3F55"/>
    <w:rsid w:val="00DC4782"/>
    <w:rsid w:val="00DC4B02"/>
    <w:rsid w:val="00DC514A"/>
    <w:rsid w:val="00DC67B1"/>
    <w:rsid w:val="00DC7EAE"/>
    <w:rsid w:val="00DC7FBC"/>
    <w:rsid w:val="00DD0019"/>
    <w:rsid w:val="00DD132B"/>
    <w:rsid w:val="00DD1571"/>
    <w:rsid w:val="00DD1725"/>
    <w:rsid w:val="00DD2159"/>
    <w:rsid w:val="00DD218B"/>
    <w:rsid w:val="00DD28BA"/>
    <w:rsid w:val="00DD2A18"/>
    <w:rsid w:val="00DD3044"/>
    <w:rsid w:val="00DD33D1"/>
    <w:rsid w:val="00DD3985"/>
    <w:rsid w:val="00DD5A55"/>
    <w:rsid w:val="00DD61E8"/>
    <w:rsid w:val="00DD62C0"/>
    <w:rsid w:val="00DD63F8"/>
    <w:rsid w:val="00DD64DE"/>
    <w:rsid w:val="00DD66DE"/>
    <w:rsid w:val="00DD7197"/>
    <w:rsid w:val="00DD76DA"/>
    <w:rsid w:val="00DD7859"/>
    <w:rsid w:val="00DD7B41"/>
    <w:rsid w:val="00DE0784"/>
    <w:rsid w:val="00DE0A1D"/>
    <w:rsid w:val="00DE1584"/>
    <w:rsid w:val="00DE15B2"/>
    <w:rsid w:val="00DE1A9A"/>
    <w:rsid w:val="00DE3D2C"/>
    <w:rsid w:val="00DE57D0"/>
    <w:rsid w:val="00DE5E82"/>
    <w:rsid w:val="00DE5EC5"/>
    <w:rsid w:val="00DE5F7F"/>
    <w:rsid w:val="00DE5FA6"/>
    <w:rsid w:val="00DE5FC9"/>
    <w:rsid w:val="00DE6792"/>
    <w:rsid w:val="00DE6AA1"/>
    <w:rsid w:val="00DE77A3"/>
    <w:rsid w:val="00DE7EF7"/>
    <w:rsid w:val="00DF015B"/>
    <w:rsid w:val="00DF02EC"/>
    <w:rsid w:val="00DF0404"/>
    <w:rsid w:val="00DF10FC"/>
    <w:rsid w:val="00DF1185"/>
    <w:rsid w:val="00DF1299"/>
    <w:rsid w:val="00DF132C"/>
    <w:rsid w:val="00DF155A"/>
    <w:rsid w:val="00DF158D"/>
    <w:rsid w:val="00DF1620"/>
    <w:rsid w:val="00DF1A70"/>
    <w:rsid w:val="00DF1E5F"/>
    <w:rsid w:val="00DF224B"/>
    <w:rsid w:val="00DF23A8"/>
    <w:rsid w:val="00DF2EE1"/>
    <w:rsid w:val="00DF2F27"/>
    <w:rsid w:val="00DF36B6"/>
    <w:rsid w:val="00DF4296"/>
    <w:rsid w:val="00DF4E8F"/>
    <w:rsid w:val="00DF5267"/>
    <w:rsid w:val="00DF53F0"/>
    <w:rsid w:val="00DF5700"/>
    <w:rsid w:val="00DF5F38"/>
    <w:rsid w:val="00DF604C"/>
    <w:rsid w:val="00DF6075"/>
    <w:rsid w:val="00DF6608"/>
    <w:rsid w:val="00DF6CCC"/>
    <w:rsid w:val="00DF6D0C"/>
    <w:rsid w:val="00DF6F64"/>
    <w:rsid w:val="00DF721E"/>
    <w:rsid w:val="00DF72F3"/>
    <w:rsid w:val="00DF73CD"/>
    <w:rsid w:val="00DF7549"/>
    <w:rsid w:val="00DF78D0"/>
    <w:rsid w:val="00DF7B8A"/>
    <w:rsid w:val="00DF7C87"/>
    <w:rsid w:val="00E009B0"/>
    <w:rsid w:val="00E00A12"/>
    <w:rsid w:val="00E00B39"/>
    <w:rsid w:val="00E00C49"/>
    <w:rsid w:val="00E01C9C"/>
    <w:rsid w:val="00E01D7A"/>
    <w:rsid w:val="00E01FF4"/>
    <w:rsid w:val="00E0219D"/>
    <w:rsid w:val="00E030D1"/>
    <w:rsid w:val="00E032D9"/>
    <w:rsid w:val="00E03D4C"/>
    <w:rsid w:val="00E04482"/>
    <w:rsid w:val="00E04C0F"/>
    <w:rsid w:val="00E05510"/>
    <w:rsid w:val="00E0570B"/>
    <w:rsid w:val="00E05B1D"/>
    <w:rsid w:val="00E069C5"/>
    <w:rsid w:val="00E102E1"/>
    <w:rsid w:val="00E1065D"/>
    <w:rsid w:val="00E10913"/>
    <w:rsid w:val="00E10B87"/>
    <w:rsid w:val="00E121CE"/>
    <w:rsid w:val="00E12209"/>
    <w:rsid w:val="00E12FE9"/>
    <w:rsid w:val="00E1362E"/>
    <w:rsid w:val="00E144C4"/>
    <w:rsid w:val="00E14585"/>
    <w:rsid w:val="00E1478B"/>
    <w:rsid w:val="00E14FAC"/>
    <w:rsid w:val="00E15007"/>
    <w:rsid w:val="00E15102"/>
    <w:rsid w:val="00E15DC6"/>
    <w:rsid w:val="00E16277"/>
    <w:rsid w:val="00E16EC7"/>
    <w:rsid w:val="00E17DCC"/>
    <w:rsid w:val="00E20627"/>
    <w:rsid w:val="00E219CE"/>
    <w:rsid w:val="00E21D93"/>
    <w:rsid w:val="00E22A86"/>
    <w:rsid w:val="00E22D2A"/>
    <w:rsid w:val="00E24071"/>
    <w:rsid w:val="00E24142"/>
    <w:rsid w:val="00E24DCA"/>
    <w:rsid w:val="00E24EBC"/>
    <w:rsid w:val="00E2522C"/>
    <w:rsid w:val="00E2552F"/>
    <w:rsid w:val="00E2599B"/>
    <w:rsid w:val="00E2656E"/>
    <w:rsid w:val="00E26759"/>
    <w:rsid w:val="00E2710C"/>
    <w:rsid w:val="00E272BD"/>
    <w:rsid w:val="00E27428"/>
    <w:rsid w:val="00E305B4"/>
    <w:rsid w:val="00E305DE"/>
    <w:rsid w:val="00E31AFA"/>
    <w:rsid w:val="00E31CB7"/>
    <w:rsid w:val="00E32463"/>
    <w:rsid w:val="00E324EE"/>
    <w:rsid w:val="00E3367B"/>
    <w:rsid w:val="00E34D2F"/>
    <w:rsid w:val="00E34DB1"/>
    <w:rsid w:val="00E35931"/>
    <w:rsid w:val="00E359FF"/>
    <w:rsid w:val="00E36337"/>
    <w:rsid w:val="00E3699A"/>
    <w:rsid w:val="00E371E1"/>
    <w:rsid w:val="00E37BFE"/>
    <w:rsid w:val="00E402C5"/>
    <w:rsid w:val="00E402F4"/>
    <w:rsid w:val="00E405F1"/>
    <w:rsid w:val="00E4076D"/>
    <w:rsid w:val="00E40913"/>
    <w:rsid w:val="00E417DB"/>
    <w:rsid w:val="00E41998"/>
    <w:rsid w:val="00E41BB1"/>
    <w:rsid w:val="00E423C5"/>
    <w:rsid w:val="00E427A0"/>
    <w:rsid w:val="00E43054"/>
    <w:rsid w:val="00E432D1"/>
    <w:rsid w:val="00E433B4"/>
    <w:rsid w:val="00E43655"/>
    <w:rsid w:val="00E44440"/>
    <w:rsid w:val="00E44A8B"/>
    <w:rsid w:val="00E45958"/>
    <w:rsid w:val="00E46013"/>
    <w:rsid w:val="00E4673F"/>
    <w:rsid w:val="00E46839"/>
    <w:rsid w:val="00E46DAD"/>
    <w:rsid w:val="00E47099"/>
    <w:rsid w:val="00E47284"/>
    <w:rsid w:val="00E477C3"/>
    <w:rsid w:val="00E5017E"/>
    <w:rsid w:val="00E50734"/>
    <w:rsid w:val="00E5140B"/>
    <w:rsid w:val="00E51E16"/>
    <w:rsid w:val="00E5290C"/>
    <w:rsid w:val="00E52990"/>
    <w:rsid w:val="00E52DED"/>
    <w:rsid w:val="00E53593"/>
    <w:rsid w:val="00E53730"/>
    <w:rsid w:val="00E5410A"/>
    <w:rsid w:val="00E5438D"/>
    <w:rsid w:val="00E54511"/>
    <w:rsid w:val="00E54E50"/>
    <w:rsid w:val="00E55288"/>
    <w:rsid w:val="00E56429"/>
    <w:rsid w:val="00E5682A"/>
    <w:rsid w:val="00E57577"/>
    <w:rsid w:val="00E57CDA"/>
    <w:rsid w:val="00E600E5"/>
    <w:rsid w:val="00E60F05"/>
    <w:rsid w:val="00E62043"/>
    <w:rsid w:val="00E626B9"/>
    <w:rsid w:val="00E627C9"/>
    <w:rsid w:val="00E630F3"/>
    <w:rsid w:val="00E6332F"/>
    <w:rsid w:val="00E637A5"/>
    <w:rsid w:val="00E637C9"/>
    <w:rsid w:val="00E6402D"/>
    <w:rsid w:val="00E64322"/>
    <w:rsid w:val="00E64A19"/>
    <w:rsid w:val="00E65AE0"/>
    <w:rsid w:val="00E6680A"/>
    <w:rsid w:val="00E66960"/>
    <w:rsid w:val="00E669E3"/>
    <w:rsid w:val="00E66D44"/>
    <w:rsid w:val="00E66F0D"/>
    <w:rsid w:val="00E679F6"/>
    <w:rsid w:val="00E67BFA"/>
    <w:rsid w:val="00E67EEB"/>
    <w:rsid w:val="00E7004F"/>
    <w:rsid w:val="00E70615"/>
    <w:rsid w:val="00E7159E"/>
    <w:rsid w:val="00E7161E"/>
    <w:rsid w:val="00E71BE3"/>
    <w:rsid w:val="00E72004"/>
    <w:rsid w:val="00E7207B"/>
    <w:rsid w:val="00E722CF"/>
    <w:rsid w:val="00E72880"/>
    <w:rsid w:val="00E7347A"/>
    <w:rsid w:val="00E73798"/>
    <w:rsid w:val="00E7384D"/>
    <w:rsid w:val="00E75383"/>
    <w:rsid w:val="00E75A36"/>
    <w:rsid w:val="00E75A47"/>
    <w:rsid w:val="00E75BB6"/>
    <w:rsid w:val="00E75C2B"/>
    <w:rsid w:val="00E75D8C"/>
    <w:rsid w:val="00E7719C"/>
    <w:rsid w:val="00E7757E"/>
    <w:rsid w:val="00E777F2"/>
    <w:rsid w:val="00E802C9"/>
    <w:rsid w:val="00E80BFB"/>
    <w:rsid w:val="00E80EC2"/>
    <w:rsid w:val="00E80F0A"/>
    <w:rsid w:val="00E81334"/>
    <w:rsid w:val="00E815D4"/>
    <w:rsid w:val="00E818FD"/>
    <w:rsid w:val="00E819BA"/>
    <w:rsid w:val="00E8291B"/>
    <w:rsid w:val="00E82E70"/>
    <w:rsid w:val="00E82F92"/>
    <w:rsid w:val="00E8395F"/>
    <w:rsid w:val="00E83C3D"/>
    <w:rsid w:val="00E83ECB"/>
    <w:rsid w:val="00E8408E"/>
    <w:rsid w:val="00E8410F"/>
    <w:rsid w:val="00E84358"/>
    <w:rsid w:val="00E84650"/>
    <w:rsid w:val="00E849D7"/>
    <w:rsid w:val="00E8559B"/>
    <w:rsid w:val="00E85868"/>
    <w:rsid w:val="00E85E41"/>
    <w:rsid w:val="00E85EA1"/>
    <w:rsid w:val="00E86703"/>
    <w:rsid w:val="00E86C01"/>
    <w:rsid w:val="00E87F57"/>
    <w:rsid w:val="00E900DA"/>
    <w:rsid w:val="00E91044"/>
    <w:rsid w:val="00E910D3"/>
    <w:rsid w:val="00E91CBA"/>
    <w:rsid w:val="00E92097"/>
    <w:rsid w:val="00E92154"/>
    <w:rsid w:val="00E923CF"/>
    <w:rsid w:val="00E93685"/>
    <w:rsid w:val="00E93B65"/>
    <w:rsid w:val="00E93C8C"/>
    <w:rsid w:val="00E93FED"/>
    <w:rsid w:val="00E94F33"/>
    <w:rsid w:val="00E95111"/>
    <w:rsid w:val="00E95D57"/>
    <w:rsid w:val="00E95FDF"/>
    <w:rsid w:val="00E960AD"/>
    <w:rsid w:val="00E9677F"/>
    <w:rsid w:val="00E96898"/>
    <w:rsid w:val="00E97043"/>
    <w:rsid w:val="00E97A16"/>
    <w:rsid w:val="00EA0185"/>
    <w:rsid w:val="00EA02A8"/>
    <w:rsid w:val="00EA14C8"/>
    <w:rsid w:val="00EA2110"/>
    <w:rsid w:val="00EA24AF"/>
    <w:rsid w:val="00EA283A"/>
    <w:rsid w:val="00EA2C90"/>
    <w:rsid w:val="00EA2E07"/>
    <w:rsid w:val="00EA2FF3"/>
    <w:rsid w:val="00EA383B"/>
    <w:rsid w:val="00EA44ED"/>
    <w:rsid w:val="00EA48F3"/>
    <w:rsid w:val="00EA4D46"/>
    <w:rsid w:val="00EA526B"/>
    <w:rsid w:val="00EA60BF"/>
    <w:rsid w:val="00EA6C71"/>
    <w:rsid w:val="00EA71B5"/>
    <w:rsid w:val="00EA7365"/>
    <w:rsid w:val="00EA763F"/>
    <w:rsid w:val="00EA77E9"/>
    <w:rsid w:val="00EA78A2"/>
    <w:rsid w:val="00EA7BBA"/>
    <w:rsid w:val="00EA7E61"/>
    <w:rsid w:val="00EB0548"/>
    <w:rsid w:val="00EB05D0"/>
    <w:rsid w:val="00EB1151"/>
    <w:rsid w:val="00EB1D49"/>
    <w:rsid w:val="00EB23D9"/>
    <w:rsid w:val="00EB39A0"/>
    <w:rsid w:val="00EB430A"/>
    <w:rsid w:val="00EB4CB9"/>
    <w:rsid w:val="00EB4EF7"/>
    <w:rsid w:val="00EB559F"/>
    <w:rsid w:val="00EB566C"/>
    <w:rsid w:val="00EB5A18"/>
    <w:rsid w:val="00EB5D09"/>
    <w:rsid w:val="00EB5F3D"/>
    <w:rsid w:val="00EB6C97"/>
    <w:rsid w:val="00EB7E87"/>
    <w:rsid w:val="00EC0317"/>
    <w:rsid w:val="00EC1CEB"/>
    <w:rsid w:val="00EC1DC0"/>
    <w:rsid w:val="00EC1DC2"/>
    <w:rsid w:val="00EC1E09"/>
    <w:rsid w:val="00EC210E"/>
    <w:rsid w:val="00EC21EC"/>
    <w:rsid w:val="00EC24B8"/>
    <w:rsid w:val="00EC268C"/>
    <w:rsid w:val="00EC3753"/>
    <w:rsid w:val="00EC3FB6"/>
    <w:rsid w:val="00EC471E"/>
    <w:rsid w:val="00EC4E71"/>
    <w:rsid w:val="00EC5409"/>
    <w:rsid w:val="00EC581D"/>
    <w:rsid w:val="00EC5B29"/>
    <w:rsid w:val="00EC5BC4"/>
    <w:rsid w:val="00EC5F1C"/>
    <w:rsid w:val="00EC7AEB"/>
    <w:rsid w:val="00ED033A"/>
    <w:rsid w:val="00ED0365"/>
    <w:rsid w:val="00ED0512"/>
    <w:rsid w:val="00ED0865"/>
    <w:rsid w:val="00ED0C1C"/>
    <w:rsid w:val="00ED1353"/>
    <w:rsid w:val="00ED1C60"/>
    <w:rsid w:val="00ED2EB9"/>
    <w:rsid w:val="00ED3722"/>
    <w:rsid w:val="00ED3A31"/>
    <w:rsid w:val="00ED4214"/>
    <w:rsid w:val="00ED4469"/>
    <w:rsid w:val="00ED5424"/>
    <w:rsid w:val="00ED5F23"/>
    <w:rsid w:val="00ED6DC0"/>
    <w:rsid w:val="00ED7A7A"/>
    <w:rsid w:val="00ED7F9C"/>
    <w:rsid w:val="00EE0327"/>
    <w:rsid w:val="00EE038C"/>
    <w:rsid w:val="00EE060A"/>
    <w:rsid w:val="00EE105A"/>
    <w:rsid w:val="00EE187A"/>
    <w:rsid w:val="00EE1D00"/>
    <w:rsid w:val="00EE1F23"/>
    <w:rsid w:val="00EE21F9"/>
    <w:rsid w:val="00EE259E"/>
    <w:rsid w:val="00EE25C8"/>
    <w:rsid w:val="00EE28C5"/>
    <w:rsid w:val="00EE2F09"/>
    <w:rsid w:val="00EE3244"/>
    <w:rsid w:val="00EE3FB2"/>
    <w:rsid w:val="00EE47C5"/>
    <w:rsid w:val="00EE490C"/>
    <w:rsid w:val="00EE4E57"/>
    <w:rsid w:val="00EE5738"/>
    <w:rsid w:val="00EE58BD"/>
    <w:rsid w:val="00EE5DDB"/>
    <w:rsid w:val="00EE5E59"/>
    <w:rsid w:val="00EE6108"/>
    <w:rsid w:val="00EE706B"/>
    <w:rsid w:val="00EE73D0"/>
    <w:rsid w:val="00EE7CB0"/>
    <w:rsid w:val="00EE7CD1"/>
    <w:rsid w:val="00EF08A8"/>
    <w:rsid w:val="00EF167B"/>
    <w:rsid w:val="00EF1C90"/>
    <w:rsid w:val="00EF2496"/>
    <w:rsid w:val="00EF2647"/>
    <w:rsid w:val="00EF270A"/>
    <w:rsid w:val="00EF41A8"/>
    <w:rsid w:val="00EF44FB"/>
    <w:rsid w:val="00EF474F"/>
    <w:rsid w:val="00EF5122"/>
    <w:rsid w:val="00EF5554"/>
    <w:rsid w:val="00EF5AD8"/>
    <w:rsid w:val="00EF6B90"/>
    <w:rsid w:val="00EF6DD7"/>
    <w:rsid w:val="00EF70C9"/>
    <w:rsid w:val="00EF741E"/>
    <w:rsid w:val="00EF7807"/>
    <w:rsid w:val="00EF79F7"/>
    <w:rsid w:val="00F006C0"/>
    <w:rsid w:val="00F00EB1"/>
    <w:rsid w:val="00F0125F"/>
    <w:rsid w:val="00F0176A"/>
    <w:rsid w:val="00F019AA"/>
    <w:rsid w:val="00F0267E"/>
    <w:rsid w:val="00F02686"/>
    <w:rsid w:val="00F030C0"/>
    <w:rsid w:val="00F03114"/>
    <w:rsid w:val="00F03291"/>
    <w:rsid w:val="00F036C9"/>
    <w:rsid w:val="00F03A85"/>
    <w:rsid w:val="00F04052"/>
    <w:rsid w:val="00F04314"/>
    <w:rsid w:val="00F0459B"/>
    <w:rsid w:val="00F04E15"/>
    <w:rsid w:val="00F056EC"/>
    <w:rsid w:val="00F05DF3"/>
    <w:rsid w:val="00F06829"/>
    <w:rsid w:val="00F069EA"/>
    <w:rsid w:val="00F06A4B"/>
    <w:rsid w:val="00F06A69"/>
    <w:rsid w:val="00F070E5"/>
    <w:rsid w:val="00F07D5E"/>
    <w:rsid w:val="00F07DDE"/>
    <w:rsid w:val="00F10396"/>
    <w:rsid w:val="00F10F30"/>
    <w:rsid w:val="00F11675"/>
    <w:rsid w:val="00F123DA"/>
    <w:rsid w:val="00F12557"/>
    <w:rsid w:val="00F1268D"/>
    <w:rsid w:val="00F127C8"/>
    <w:rsid w:val="00F12881"/>
    <w:rsid w:val="00F12C62"/>
    <w:rsid w:val="00F13321"/>
    <w:rsid w:val="00F134BA"/>
    <w:rsid w:val="00F13599"/>
    <w:rsid w:val="00F1372C"/>
    <w:rsid w:val="00F13A71"/>
    <w:rsid w:val="00F13B28"/>
    <w:rsid w:val="00F14DCD"/>
    <w:rsid w:val="00F151AB"/>
    <w:rsid w:val="00F156A0"/>
    <w:rsid w:val="00F15730"/>
    <w:rsid w:val="00F15AB9"/>
    <w:rsid w:val="00F16B7A"/>
    <w:rsid w:val="00F16CE3"/>
    <w:rsid w:val="00F176A6"/>
    <w:rsid w:val="00F17A24"/>
    <w:rsid w:val="00F202C2"/>
    <w:rsid w:val="00F204B3"/>
    <w:rsid w:val="00F20C3D"/>
    <w:rsid w:val="00F2124C"/>
    <w:rsid w:val="00F212F6"/>
    <w:rsid w:val="00F217F8"/>
    <w:rsid w:val="00F2190F"/>
    <w:rsid w:val="00F21B3B"/>
    <w:rsid w:val="00F22756"/>
    <w:rsid w:val="00F23248"/>
    <w:rsid w:val="00F23700"/>
    <w:rsid w:val="00F23890"/>
    <w:rsid w:val="00F23CD8"/>
    <w:rsid w:val="00F249A1"/>
    <w:rsid w:val="00F24FBA"/>
    <w:rsid w:val="00F2504D"/>
    <w:rsid w:val="00F2595D"/>
    <w:rsid w:val="00F25B26"/>
    <w:rsid w:val="00F2637F"/>
    <w:rsid w:val="00F268F7"/>
    <w:rsid w:val="00F30B83"/>
    <w:rsid w:val="00F30BDB"/>
    <w:rsid w:val="00F30CF8"/>
    <w:rsid w:val="00F31402"/>
    <w:rsid w:val="00F31EDF"/>
    <w:rsid w:val="00F32507"/>
    <w:rsid w:val="00F327D9"/>
    <w:rsid w:val="00F32CDE"/>
    <w:rsid w:val="00F32D4C"/>
    <w:rsid w:val="00F3327E"/>
    <w:rsid w:val="00F3343C"/>
    <w:rsid w:val="00F33746"/>
    <w:rsid w:val="00F33895"/>
    <w:rsid w:val="00F338C3"/>
    <w:rsid w:val="00F3401D"/>
    <w:rsid w:val="00F34B14"/>
    <w:rsid w:val="00F34CF1"/>
    <w:rsid w:val="00F34E35"/>
    <w:rsid w:val="00F34F58"/>
    <w:rsid w:val="00F3572F"/>
    <w:rsid w:val="00F35750"/>
    <w:rsid w:val="00F35DA7"/>
    <w:rsid w:val="00F35E35"/>
    <w:rsid w:val="00F36A6A"/>
    <w:rsid w:val="00F40101"/>
    <w:rsid w:val="00F404F7"/>
    <w:rsid w:val="00F40CCA"/>
    <w:rsid w:val="00F41968"/>
    <w:rsid w:val="00F41E02"/>
    <w:rsid w:val="00F42AA4"/>
    <w:rsid w:val="00F42D97"/>
    <w:rsid w:val="00F42F0E"/>
    <w:rsid w:val="00F42FCF"/>
    <w:rsid w:val="00F436B2"/>
    <w:rsid w:val="00F43813"/>
    <w:rsid w:val="00F43FEE"/>
    <w:rsid w:val="00F440B0"/>
    <w:rsid w:val="00F44114"/>
    <w:rsid w:val="00F4492F"/>
    <w:rsid w:val="00F44D46"/>
    <w:rsid w:val="00F45030"/>
    <w:rsid w:val="00F45A72"/>
    <w:rsid w:val="00F46723"/>
    <w:rsid w:val="00F46A81"/>
    <w:rsid w:val="00F4706D"/>
    <w:rsid w:val="00F47309"/>
    <w:rsid w:val="00F476E1"/>
    <w:rsid w:val="00F47855"/>
    <w:rsid w:val="00F47D1D"/>
    <w:rsid w:val="00F47F29"/>
    <w:rsid w:val="00F50016"/>
    <w:rsid w:val="00F5118A"/>
    <w:rsid w:val="00F515F3"/>
    <w:rsid w:val="00F51A21"/>
    <w:rsid w:val="00F51A35"/>
    <w:rsid w:val="00F523B9"/>
    <w:rsid w:val="00F52614"/>
    <w:rsid w:val="00F5276E"/>
    <w:rsid w:val="00F52E9F"/>
    <w:rsid w:val="00F532B2"/>
    <w:rsid w:val="00F53304"/>
    <w:rsid w:val="00F534C0"/>
    <w:rsid w:val="00F53B81"/>
    <w:rsid w:val="00F53C15"/>
    <w:rsid w:val="00F540FE"/>
    <w:rsid w:val="00F542F3"/>
    <w:rsid w:val="00F5459A"/>
    <w:rsid w:val="00F556FF"/>
    <w:rsid w:val="00F55D12"/>
    <w:rsid w:val="00F56836"/>
    <w:rsid w:val="00F5687F"/>
    <w:rsid w:val="00F56A02"/>
    <w:rsid w:val="00F56B58"/>
    <w:rsid w:val="00F56D3F"/>
    <w:rsid w:val="00F571AD"/>
    <w:rsid w:val="00F5725B"/>
    <w:rsid w:val="00F575C7"/>
    <w:rsid w:val="00F57CC1"/>
    <w:rsid w:val="00F57DF7"/>
    <w:rsid w:val="00F57FD0"/>
    <w:rsid w:val="00F60305"/>
    <w:rsid w:val="00F61B12"/>
    <w:rsid w:val="00F61C70"/>
    <w:rsid w:val="00F627D8"/>
    <w:rsid w:val="00F62869"/>
    <w:rsid w:val="00F62ED4"/>
    <w:rsid w:val="00F63264"/>
    <w:rsid w:val="00F634E4"/>
    <w:rsid w:val="00F6379E"/>
    <w:rsid w:val="00F64047"/>
    <w:rsid w:val="00F65171"/>
    <w:rsid w:val="00F6533A"/>
    <w:rsid w:val="00F6560D"/>
    <w:rsid w:val="00F6676A"/>
    <w:rsid w:val="00F669BD"/>
    <w:rsid w:val="00F67844"/>
    <w:rsid w:val="00F67B09"/>
    <w:rsid w:val="00F70221"/>
    <w:rsid w:val="00F705F6"/>
    <w:rsid w:val="00F70795"/>
    <w:rsid w:val="00F70799"/>
    <w:rsid w:val="00F70A8B"/>
    <w:rsid w:val="00F70B8D"/>
    <w:rsid w:val="00F70F0F"/>
    <w:rsid w:val="00F71236"/>
    <w:rsid w:val="00F71936"/>
    <w:rsid w:val="00F71F81"/>
    <w:rsid w:val="00F724FB"/>
    <w:rsid w:val="00F726B8"/>
    <w:rsid w:val="00F72A26"/>
    <w:rsid w:val="00F733C3"/>
    <w:rsid w:val="00F73E15"/>
    <w:rsid w:val="00F746A1"/>
    <w:rsid w:val="00F74820"/>
    <w:rsid w:val="00F74F08"/>
    <w:rsid w:val="00F7506D"/>
    <w:rsid w:val="00F755DD"/>
    <w:rsid w:val="00F756DD"/>
    <w:rsid w:val="00F77F4E"/>
    <w:rsid w:val="00F80047"/>
    <w:rsid w:val="00F800C7"/>
    <w:rsid w:val="00F8010B"/>
    <w:rsid w:val="00F80361"/>
    <w:rsid w:val="00F8104D"/>
    <w:rsid w:val="00F8153F"/>
    <w:rsid w:val="00F81587"/>
    <w:rsid w:val="00F819C3"/>
    <w:rsid w:val="00F81B2A"/>
    <w:rsid w:val="00F81B4C"/>
    <w:rsid w:val="00F81C12"/>
    <w:rsid w:val="00F81D9A"/>
    <w:rsid w:val="00F81DE7"/>
    <w:rsid w:val="00F8263C"/>
    <w:rsid w:val="00F8288F"/>
    <w:rsid w:val="00F82DD3"/>
    <w:rsid w:val="00F8376E"/>
    <w:rsid w:val="00F83C52"/>
    <w:rsid w:val="00F840EC"/>
    <w:rsid w:val="00F84802"/>
    <w:rsid w:val="00F84948"/>
    <w:rsid w:val="00F84B25"/>
    <w:rsid w:val="00F85B72"/>
    <w:rsid w:val="00F8652A"/>
    <w:rsid w:val="00F86540"/>
    <w:rsid w:val="00F865CE"/>
    <w:rsid w:val="00F8766F"/>
    <w:rsid w:val="00F901B3"/>
    <w:rsid w:val="00F90282"/>
    <w:rsid w:val="00F90BC8"/>
    <w:rsid w:val="00F91082"/>
    <w:rsid w:val="00F9116D"/>
    <w:rsid w:val="00F91171"/>
    <w:rsid w:val="00F91342"/>
    <w:rsid w:val="00F91543"/>
    <w:rsid w:val="00F91A9A"/>
    <w:rsid w:val="00F923AF"/>
    <w:rsid w:val="00F92634"/>
    <w:rsid w:val="00F933F3"/>
    <w:rsid w:val="00F93ABA"/>
    <w:rsid w:val="00F93ABB"/>
    <w:rsid w:val="00F94D79"/>
    <w:rsid w:val="00F95AEF"/>
    <w:rsid w:val="00F9658C"/>
    <w:rsid w:val="00F96EEB"/>
    <w:rsid w:val="00F9775D"/>
    <w:rsid w:val="00F97A7F"/>
    <w:rsid w:val="00F97CD0"/>
    <w:rsid w:val="00F97D7A"/>
    <w:rsid w:val="00FA00A3"/>
    <w:rsid w:val="00FA0152"/>
    <w:rsid w:val="00FA0889"/>
    <w:rsid w:val="00FA16E7"/>
    <w:rsid w:val="00FA1998"/>
    <w:rsid w:val="00FA1D69"/>
    <w:rsid w:val="00FA2897"/>
    <w:rsid w:val="00FA31C7"/>
    <w:rsid w:val="00FA4394"/>
    <w:rsid w:val="00FA472D"/>
    <w:rsid w:val="00FA4A82"/>
    <w:rsid w:val="00FA5A92"/>
    <w:rsid w:val="00FA681F"/>
    <w:rsid w:val="00FA7373"/>
    <w:rsid w:val="00FB0261"/>
    <w:rsid w:val="00FB0CBF"/>
    <w:rsid w:val="00FB18F6"/>
    <w:rsid w:val="00FB2A52"/>
    <w:rsid w:val="00FB3961"/>
    <w:rsid w:val="00FB39E0"/>
    <w:rsid w:val="00FB3F92"/>
    <w:rsid w:val="00FB52C7"/>
    <w:rsid w:val="00FB57DC"/>
    <w:rsid w:val="00FB5915"/>
    <w:rsid w:val="00FB6E19"/>
    <w:rsid w:val="00FB71F6"/>
    <w:rsid w:val="00FB74F1"/>
    <w:rsid w:val="00FC0670"/>
    <w:rsid w:val="00FC07AF"/>
    <w:rsid w:val="00FC0AF8"/>
    <w:rsid w:val="00FC0B69"/>
    <w:rsid w:val="00FC1055"/>
    <w:rsid w:val="00FC1238"/>
    <w:rsid w:val="00FC1483"/>
    <w:rsid w:val="00FC1BEF"/>
    <w:rsid w:val="00FC1C47"/>
    <w:rsid w:val="00FC1EA7"/>
    <w:rsid w:val="00FC26DB"/>
    <w:rsid w:val="00FC2866"/>
    <w:rsid w:val="00FC2869"/>
    <w:rsid w:val="00FC2F9E"/>
    <w:rsid w:val="00FC3102"/>
    <w:rsid w:val="00FC3848"/>
    <w:rsid w:val="00FC39ED"/>
    <w:rsid w:val="00FC3D40"/>
    <w:rsid w:val="00FC4419"/>
    <w:rsid w:val="00FC47E2"/>
    <w:rsid w:val="00FC4AA5"/>
    <w:rsid w:val="00FC4B88"/>
    <w:rsid w:val="00FC4BB8"/>
    <w:rsid w:val="00FC4DD8"/>
    <w:rsid w:val="00FC5148"/>
    <w:rsid w:val="00FC56F0"/>
    <w:rsid w:val="00FC6524"/>
    <w:rsid w:val="00FC6B58"/>
    <w:rsid w:val="00FC6DE3"/>
    <w:rsid w:val="00FC711D"/>
    <w:rsid w:val="00FC75AC"/>
    <w:rsid w:val="00FC7984"/>
    <w:rsid w:val="00FD01BF"/>
    <w:rsid w:val="00FD0525"/>
    <w:rsid w:val="00FD0AB7"/>
    <w:rsid w:val="00FD1000"/>
    <w:rsid w:val="00FD15F8"/>
    <w:rsid w:val="00FD297D"/>
    <w:rsid w:val="00FD29A8"/>
    <w:rsid w:val="00FD2D13"/>
    <w:rsid w:val="00FD374D"/>
    <w:rsid w:val="00FD40F7"/>
    <w:rsid w:val="00FD4D2A"/>
    <w:rsid w:val="00FD5FA5"/>
    <w:rsid w:val="00FD6071"/>
    <w:rsid w:val="00FD633B"/>
    <w:rsid w:val="00FD66ED"/>
    <w:rsid w:val="00FD6ABA"/>
    <w:rsid w:val="00FD7AAD"/>
    <w:rsid w:val="00FE02C5"/>
    <w:rsid w:val="00FE0794"/>
    <w:rsid w:val="00FE1041"/>
    <w:rsid w:val="00FE1614"/>
    <w:rsid w:val="00FE1D32"/>
    <w:rsid w:val="00FE24CB"/>
    <w:rsid w:val="00FE323F"/>
    <w:rsid w:val="00FE3473"/>
    <w:rsid w:val="00FE38E5"/>
    <w:rsid w:val="00FE4049"/>
    <w:rsid w:val="00FE4794"/>
    <w:rsid w:val="00FE480F"/>
    <w:rsid w:val="00FE4998"/>
    <w:rsid w:val="00FE4CA2"/>
    <w:rsid w:val="00FE5382"/>
    <w:rsid w:val="00FE57DE"/>
    <w:rsid w:val="00FE6715"/>
    <w:rsid w:val="00FE719F"/>
    <w:rsid w:val="00FE795F"/>
    <w:rsid w:val="00FE7A68"/>
    <w:rsid w:val="00FF00A3"/>
    <w:rsid w:val="00FF0231"/>
    <w:rsid w:val="00FF056D"/>
    <w:rsid w:val="00FF0F87"/>
    <w:rsid w:val="00FF19D5"/>
    <w:rsid w:val="00FF1C9B"/>
    <w:rsid w:val="00FF1D49"/>
    <w:rsid w:val="00FF203B"/>
    <w:rsid w:val="00FF2562"/>
    <w:rsid w:val="00FF3A41"/>
    <w:rsid w:val="00FF3E5B"/>
    <w:rsid w:val="00FF5183"/>
    <w:rsid w:val="00FF57E4"/>
    <w:rsid w:val="00FF5E26"/>
    <w:rsid w:val="00FF5ECD"/>
    <w:rsid w:val="00FF6D57"/>
    <w:rsid w:val="00FF78E5"/>
    <w:rsid w:val="01086C64"/>
    <w:rsid w:val="011E3D92"/>
    <w:rsid w:val="012C5FAF"/>
    <w:rsid w:val="0168325F"/>
    <w:rsid w:val="017D4F5C"/>
    <w:rsid w:val="0194674A"/>
    <w:rsid w:val="01AF3D99"/>
    <w:rsid w:val="02493090"/>
    <w:rsid w:val="02511F9D"/>
    <w:rsid w:val="02533F0F"/>
    <w:rsid w:val="02694A4D"/>
    <w:rsid w:val="028406FC"/>
    <w:rsid w:val="02AD361F"/>
    <w:rsid w:val="02D66012"/>
    <w:rsid w:val="02D74B40"/>
    <w:rsid w:val="02F343D6"/>
    <w:rsid w:val="031A67DB"/>
    <w:rsid w:val="034C72DC"/>
    <w:rsid w:val="03547F3F"/>
    <w:rsid w:val="037505CB"/>
    <w:rsid w:val="03800D34"/>
    <w:rsid w:val="039364D3"/>
    <w:rsid w:val="03A314B8"/>
    <w:rsid w:val="03D42E2E"/>
    <w:rsid w:val="03D8291E"/>
    <w:rsid w:val="03D82B98"/>
    <w:rsid w:val="03F01682"/>
    <w:rsid w:val="03F83E8B"/>
    <w:rsid w:val="041706AD"/>
    <w:rsid w:val="0422003D"/>
    <w:rsid w:val="04447786"/>
    <w:rsid w:val="049031F8"/>
    <w:rsid w:val="04B30C95"/>
    <w:rsid w:val="04F03369"/>
    <w:rsid w:val="04FB1E54"/>
    <w:rsid w:val="051649B5"/>
    <w:rsid w:val="05283C8F"/>
    <w:rsid w:val="052A711E"/>
    <w:rsid w:val="05347716"/>
    <w:rsid w:val="053C0C8A"/>
    <w:rsid w:val="05571D38"/>
    <w:rsid w:val="056C1DEE"/>
    <w:rsid w:val="056E57B7"/>
    <w:rsid w:val="05B918B5"/>
    <w:rsid w:val="05C148D2"/>
    <w:rsid w:val="05C56868"/>
    <w:rsid w:val="0620235A"/>
    <w:rsid w:val="06253F71"/>
    <w:rsid w:val="06410E51"/>
    <w:rsid w:val="066D6218"/>
    <w:rsid w:val="06846D8D"/>
    <w:rsid w:val="06AC0092"/>
    <w:rsid w:val="06FA0DFD"/>
    <w:rsid w:val="078D1C71"/>
    <w:rsid w:val="07A539BD"/>
    <w:rsid w:val="07B72767"/>
    <w:rsid w:val="08077E72"/>
    <w:rsid w:val="08882DD0"/>
    <w:rsid w:val="08951966"/>
    <w:rsid w:val="08F8136C"/>
    <w:rsid w:val="09063A89"/>
    <w:rsid w:val="09067F2D"/>
    <w:rsid w:val="093700E7"/>
    <w:rsid w:val="096220F4"/>
    <w:rsid w:val="09811362"/>
    <w:rsid w:val="09816C5A"/>
    <w:rsid w:val="09B339E0"/>
    <w:rsid w:val="09C37BCC"/>
    <w:rsid w:val="09CC2AAC"/>
    <w:rsid w:val="0A2A37A7"/>
    <w:rsid w:val="0A652D3E"/>
    <w:rsid w:val="0AAB2EDC"/>
    <w:rsid w:val="0AAB546D"/>
    <w:rsid w:val="0AC11166"/>
    <w:rsid w:val="0AD96F7B"/>
    <w:rsid w:val="0AF37BE2"/>
    <w:rsid w:val="0B326F2A"/>
    <w:rsid w:val="0B3F3282"/>
    <w:rsid w:val="0B520281"/>
    <w:rsid w:val="0B69468D"/>
    <w:rsid w:val="0B6E03FA"/>
    <w:rsid w:val="0B763970"/>
    <w:rsid w:val="0B81389B"/>
    <w:rsid w:val="0BA45EFE"/>
    <w:rsid w:val="0BC1292A"/>
    <w:rsid w:val="0BDB5186"/>
    <w:rsid w:val="0BF40511"/>
    <w:rsid w:val="0C076314"/>
    <w:rsid w:val="0C1E2888"/>
    <w:rsid w:val="0C3B6140"/>
    <w:rsid w:val="0C6E110E"/>
    <w:rsid w:val="0C92213C"/>
    <w:rsid w:val="0CC2027E"/>
    <w:rsid w:val="0CD12600"/>
    <w:rsid w:val="0CD36378"/>
    <w:rsid w:val="0CD9766A"/>
    <w:rsid w:val="0CDE6ACB"/>
    <w:rsid w:val="0CE265BB"/>
    <w:rsid w:val="0D1E1390"/>
    <w:rsid w:val="0D295F98"/>
    <w:rsid w:val="0D33382B"/>
    <w:rsid w:val="0D442DD2"/>
    <w:rsid w:val="0D7B0878"/>
    <w:rsid w:val="0D84032B"/>
    <w:rsid w:val="0E0E083C"/>
    <w:rsid w:val="0ECD6DF7"/>
    <w:rsid w:val="0F1F58A5"/>
    <w:rsid w:val="0F221070"/>
    <w:rsid w:val="0F2A74C4"/>
    <w:rsid w:val="0F3A0F53"/>
    <w:rsid w:val="0F3D2E06"/>
    <w:rsid w:val="0F957915"/>
    <w:rsid w:val="0FA97864"/>
    <w:rsid w:val="0FBC10A0"/>
    <w:rsid w:val="0FDB588F"/>
    <w:rsid w:val="102F7D69"/>
    <w:rsid w:val="10354C54"/>
    <w:rsid w:val="10466E61"/>
    <w:rsid w:val="105A5869"/>
    <w:rsid w:val="10655129"/>
    <w:rsid w:val="107C13BF"/>
    <w:rsid w:val="10863702"/>
    <w:rsid w:val="10A27F31"/>
    <w:rsid w:val="10B84498"/>
    <w:rsid w:val="10BB15FD"/>
    <w:rsid w:val="10EA0134"/>
    <w:rsid w:val="10F17C21"/>
    <w:rsid w:val="10F644F5"/>
    <w:rsid w:val="113849FC"/>
    <w:rsid w:val="11421D1E"/>
    <w:rsid w:val="11927058"/>
    <w:rsid w:val="120E171E"/>
    <w:rsid w:val="12695089"/>
    <w:rsid w:val="12764CB5"/>
    <w:rsid w:val="128A690E"/>
    <w:rsid w:val="12977E48"/>
    <w:rsid w:val="12A14823"/>
    <w:rsid w:val="12E05F13"/>
    <w:rsid w:val="12EA7F14"/>
    <w:rsid w:val="12F60AE4"/>
    <w:rsid w:val="131E40C5"/>
    <w:rsid w:val="13854144"/>
    <w:rsid w:val="138A175B"/>
    <w:rsid w:val="139237FD"/>
    <w:rsid w:val="13AF4F03"/>
    <w:rsid w:val="13C92283"/>
    <w:rsid w:val="13F10443"/>
    <w:rsid w:val="14220AD9"/>
    <w:rsid w:val="14736E66"/>
    <w:rsid w:val="147F458F"/>
    <w:rsid w:val="14A639E9"/>
    <w:rsid w:val="14AA65D7"/>
    <w:rsid w:val="14B51486"/>
    <w:rsid w:val="14E2738C"/>
    <w:rsid w:val="15113EE2"/>
    <w:rsid w:val="15170B31"/>
    <w:rsid w:val="1534169A"/>
    <w:rsid w:val="155D7127"/>
    <w:rsid w:val="15671D54"/>
    <w:rsid w:val="156B0CBC"/>
    <w:rsid w:val="15883A78"/>
    <w:rsid w:val="15C03E03"/>
    <w:rsid w:val="15D5514A"/>
    <w:rsid w:val="15D5522C"/>
    <w:rsid w:val="15EC363D"/>
    <w:rsid w:val="15EF2970"/>
    <w:rsid w:val="162A25EB"/>
    <w:rsid w:val="16353C00"/>
    <w:rsid w:val="163749D2"/>
    <w:rsid w:val="16735895"/>
    <w:rsid w:val="16AE5760"/>
    <w:rsid w:val="16D32446"/>
    <w:rsid w:val="16F44BE0"/>
    <w:rsid w:val="16FD2A55"/>
    <w:rsid w:val="17067C1A"/>
    <w:rsid w:val="172123D6"/>
    <w:rsid w:val="17366761"/>
    <w:rsid w:val="17401284"/>
    <w:rsid w:val="174D6D27"/>
    <w:rsid w:val="17502290"/>
    <w:rsid w:val="175E5D4B"/>
    <w:rsid w:val="176127D3"/>
    <w:rsid w:val="17693B98"/>
    <w:rsid w:val="177C01F0"/>
    <w:rsid w:val="178D3AF2"/>
    <w:rsid w:val="179C2929"/>
    <w:rsid w:val="179E3EFA"/>
    <w:rsid w:val="17CE6630"/>
    <w:rsid w:val="17FB2C27"/>
    <w:rsid w:val="18100480"/>
    <w:rsid w:val="184F4521"/>
    <w:rsid w:val="188E3A9B"/>
    <w:rsid w:val="18916A96"/>
    <w:rsid w:val="18A62B93"/>
    <w:rsid w:val="18B04FBB"/>
    <w:rsid w:val="18F27B86"/>
    <w:rsid w:val="1910625E"/>
    <w:rsid w:val="194A1770"/>
    <w:rsid w:val="194A2C48"/>
    <w:rsid w:val="19793E03"/>
    <w:rsid w:val="198634C1"/>
    <w:rsid w:val="198A6011"/>
    <w:rsid w:val="19940C3D"/>
    <w:rsid w:val="19AF6E48"/>
    <w:rsid w:val="19B412DF"/>
    <w:rsid w:val="19BE5CBA"/>
    <w:rsid w:val="19CA2986"/>
    <w:rsid w:val="19E576EB"/>
    <w:rsid w:val="1A141BA7"/>
    <w:rsid w:val="1A277827"/>
    <w:rsid w:val="1A5D681E"/>
    <w:rsid w:val="1A766102"/>
    <w:rsid w:val="1A7A6085"/>
    <w:rsid w:val="1A7C4890"/>
    <w:rsid w:val="1AB802CC"/>
    <w:rsid w:val="1AC14CDC"/>
    <w:rsid w:val="1AC47FA8"/>
    <w:rsid w:val="1AD54FF8"/>
    <w:rsid w:val="1AFF0AFE"/>
    <w:rsid w:val="1B1E5236"/>
    <w:rsid w:val="1B4A1EFB"/>
    <w:rsid w:val="1B4F19F8"/>
    <w:rsid w:val="1B520DB0"/>
    <w:rsid w:val="1BBB6955"/>
    <w:rsid w:val="1BD47A17"/>
    <w:rsid w:val="1BFD6F6E"/>
    <w:rsid w:val="1C2E35CB"/>
    <w:rsid w:val="1C7237A6"/>
    <w:rsid w:val="1C760DFB"/>
    <w:rsid w:val="1C874A89"/>
    <w:rsid w:val="1C8D7DE8"/>
    <w:rsid w:val="1CAB69CA"/>
    <w:rsid w:val="1CBB4686"/>
    <w:rsid w:val="1CEC6D3A"/>
    <w:rsid w:val="1DC75A85"/>
    <w:rsid w:val="1DCB4E4A"/>
    <w:rsid w:val="1DE657E0"/>
    <w:rsid w:val="1E104D37"/>
    <w:rsid w:val="1E364D78"/>
    <w:rsid w:val="1E57483D"/>
    <w:rsid w:val="1E6E2435"/>
    <w:rsid w:val="1E94348E"/>
    <w:rsid w:val="1EA25BAA"/>
    <w:rsid w:val="1ECC44FA"/>
    <w:rsid w:val="1F063325"/>
    <w:rsid w:val="1F194720"/>
    <w:rsid w:val="1F552C1D"/>
    <w:rsid w:val="1F5570C1"/>
    <w:rsid w:val="1F6115C2"/>
    <w:rsid w:val="1F6966C8"/>
    <w:rsid w:val="1F86727A"/>
    <w:rsid w:val="1FA82450"/>
    <w:rsid w:val="1FB02549"/>
    <w:rsid w:val="1FBC5DF5"/>
    <w:rsid w:val="1FC84F3F"/>
    <w:rsid w:val="1FC97050"/>
    <w:rsid w:val="1FDC50EC"/>
    <w:rsid w:val="1FF90588"/>
    <w:rsid w:val="201E3957"/>
    <w:rsid w:val="20326142"/>
    <w:rsid w:val="20A57BD4"/>
    <w:rsid w:val="20AE6A88"/>
    <w:rsid w:val="20C3623F"/>
    <w:rsid w:val="20D83B05"/>
    <w:rsid w:val="213D7E0C"/>
    <w:rsid w:val="21486EDD"/>
    <w:rsid w:val="214B2529"/>
    <w:rsid w:val="214E67BA"/>
    <w:rsid w:val="21781212"/>
    <w:rsid w:val="217952E8"/>
    <w:rsid w:val="218A61C7"/>
    <w:rsid w:val="21997739"/>
    <w:rsid w:val="219A4027"/>
    <w:rsid w:val="21AB746C"/>
    <w:rsid w:val="21B83F86"/>
    <w:rsid w:val="21BE719F"/>
    <w:rsid w:val="21C03E95"/>
    <w:rsid w:val="21E6176C"/>
    <w:rsid w:val="21FE64EE"/>
    <w:rsid w:val="21FF1482"/>
    <w:rsid w:val="221178A8"/>
    <w:rsid w:val="221213CF"/>
    <w:rsid w:val="221F7512"/>
    <w:rsid w:val="22217DCC"/>
    <w:rsid w:val="22327A92"/>
    <w:rsid w:val="225547C8"/>
    <w:rsid w:val="226854E4"/>
    <w:rsid w:val="229E48DB"/>
    <w:rsid w:val="22A26F7E"/>
    <w:rsid w:val="22AE7080"/>
    <w:rsid w:val="22BD2FB3"/>
    <w:rsid w:val="231D53A2"/>
    <w:rsid w:val="23244DE0"/>
    <w:rsid w:val="236D5383"/>
    <w:rsid w:val="239F090A"/>
    <w:rsid w:val="23B7504C"/>
    <w:rsid w:val="23DC1C69"/>
    <w:rsid w:val="23E94237"/>
    <w:rsid w:val="24571307"/>
    <w:rsid w:val="24643407"/>
    <w:rsid w:val="24DC02DA"/>
    <w:rsid w:val="24EF7C51"/>
    <w:rsid w:val="250C2F29"/>
    <w:rsid w:val="250F6BE1"/>
    <w:rsid w:val="25110A2A"/>
    <w:rsid w:val="25292DF5"/>
    <w:rsid w:val="252C08C4"/>
    <w:rsid w:val="25320FB6"/>
    <w:rsid w:val="253D03DB"/>
    <w:rsid w:val="255F2A47"/>
    <w:rsid w:val="256C0944"/>
    <w:rsid w:val="25A76845"/>
    <w:rsid w:val="25BE056F"/>
    <w:rsid w:val="25C468E2"/>
    <w:rsid w:val="262A748A"/>
    <w:rsid w:val="263C4B36"/>
    <w:rsid w:val="263C68E5"/>
    <w:rsid w:val="26446DE3"/>
    <w:rsid w:val="266400B7"/>
    <w:rsid w:val="26785E42"/>
    <w:rsid w:val="26877DFE"/>
    <w:rsid w:val="268D1AE4"/>
    <w:rsid w:val="269669E7"/>
    <w:rsid w:val="269B5596"/>
    <w:rsid w:val="26A270C1"/>
    <w:rsid w:val="26C32B62"/>
    <w:rsid w:val="26CF6BA4"/>
    <w:rsid w:val="26D7699F"/>
    <w:rsid w:val="270B6293"/>
    <w:rsid w:val="275E288B"/>
    <w:rsid w:val="27776C73"/>
    <w:rsid w:val="27B23302"/>
    <w:rsid w:val="27B5753C"/>
    <w:rsid w:val="27D532CE"/>
    <w:rsid w:val="281D3307"/>
    <w:rsid w:val="28414686"/>
    <w:rsid w:val="28680B8D"/>
    <w:rsid w:val="28AD4233"/>
    <w:rsid w:val="28B46C06"/>
    <w:rsid w:val="28CD6CD8"/>
    <w:rsid w:val="28D56B7C"/>
    <w:rsid w:val="28DC43AF"/>
    <w:rsid w:val="28E13773"/>
    <w:rsid w:val="28EB3809"/>
    <w:rsid w:val="28EF313D"/>
    <w:rsid w:val="28F74D45"/>
    <w:rsid w:val="29231FDE"/>
    <w:rsid w:val="293722C0"/>
    <w:rsid w:val="294855A0"/>
    <w:rsid w:val="299F78B6"/>
    <w:rsid w:val="29A273A6"/>
    <w:rsid w:val="29D75F7F"/>
    <w:rsid w:val="2A485187"/>
    <w:rsid w:val="2A816FBC"/>
    <w:rsid w:val="2AD6025F"/>
    <w:rsid w:val="2AD86F12"/>
    <w:rsid w:val="2B752B11"/>
    <w:rsid w:val="2B774624"/>
    <w:rsid w:val="2B7E5489"/>
    <w:rsid w:val="2B8E1816"/>
    <w:rsid w:val="2B9853AE"/>
    <w:rsid w:val="2BDF34CC"/>
    <w:rsid w:val="2C0E75DC"/>
    <w:rsid w:val="2C2422F5"/>
    <w:rsid w:val="2C364F00"/>
    <w:rsid w:val="2C663F4D"/>
    <w:rsid w:val="2C7A72BE"/>
    <w:rsid w:val="2C7E06F0"/>
    <w:rsid w:val="2C9A3C39"/>
    <w:rsid w:val="2C9A7D75"/>
    <w:rsid w:val="2CC17412"/>
    <w:rsid w:val="2CDD4252"/>
    <w:rsid w:val="2CE17220"/>
    <w:rsid w:val="2D0A6CAD"/>
    <w:rsid w:val="2D104627"/>
    <w:rsid w:val="2D1C4D7A"/>
    <w:rsid w:val="2D221265"/>
    <w:rsid w:val="2D4A5D8B"/>
    <w:rsid w:val="2D4F514F"/>
    <w:rsid w:val="2D614E83"/>
    <w:rsid w:val="2D630BFB"/>
    <w:rsid w:val="2D7C1E99"/>
    <w:rsid w:val="2D942563"/>
    <w:rsid w:val="2DB640F0"/>
    <w:rsid w:val="2DEC3316"/>
    <w:rsid w:val="2DF1604F"/>
    <w:rsid w:val="2E0917A2"/>
    <w:rsid w:val="2E2B796A"/>
    <w:rsid w:val="2E2E1209"/>
    <w:rsid w:val="2E4A3850"/>
    <w:rsid w:val="2E9976CE"/>
    <w:rsid w:val="2ECD27D0"/>
    <w:rsid w:val="2ECE4136"/>
    <w:rsid w:val="2ED51684"/>
    <w:rsid w:val="2EF01DEE"/>
    <w:rsid w:val="2F124686"/>
    <w:rsid w:val="2F214EC5"/>
    <w:rsid w:val="2F284843"/>
    <w:rsid w:val="2F401D3C"/>
    <w:rsid w:val="2F464330"/>
    <w:rsid w:val="2F5B24E1"/>
    <w:rsid w:val="2F7E6F0B"/>
    <w:rsid w:val="2F860BD0"/>
    <w:rsid w:val="2F975A5E"/>
    <w:rsid w:val="2FA95C88"/>
    <w:rsid w:val="2FF75BA9"/>
    <w:rsid w:val="3041370F"/>
    <w:rsid w:val="30490691"/>
    <w:rsid w:val="306727B0"/>
    <w:rsid w:val="309B1BA4"/>
    <w:rsid w:val="30B87FED"/>
    <w:rsid w:val="30BB2AFC"/>
    <w:rsid w:val="30C15055"/>
    <w:rsid w:val="30DA76A0"/>
    <w:rsid w:val="30DC368C"/>
    <w:rsid w:val="30F1651D"/>
    <w:rsid w:val="30F95E17"/>
    <w:rsid w:val="311A3CC6"/>
    <w:rsid w:val="312B50A3"/>
    <w:rsid w:val="313B0EBF"/>
    <w:rsid w:val="31412DDE"/>
    <w:rsid w:val="31766B66"/>
    <w:rsid w:val="31874834"/>
    <w:rsid w:val="31894FD2"/>
    <w:rsid w:val="31BE0AF5"/>
    <w:rsid w:val="31C37EBA"/>
    <w:rsid w:val="31D6798F"/>
    <w:rsid w:val="31DD3D98"/>
    <w:rsid w:val="321C6AAC"/>
    <w:rsid w:val="32453A27"/>
    <w:rsid w:val="3263064A"/>
    <w:rsid w:val="328E4700"/>
    <w:rsid w:val="329F628A"/>
    <w:rsid w:val="32A43132"/>
    <w:rsid w:val="32AC0C06"/>
    <w:rsid w:val="32DE787A"/>
    <w:rsid w:val="33177E39"/>
    <w:rsid w:val="331A1D5C"/>
    <w:rsid w:val="332901F1"/>
    <w:rsid w:val="33344EF5"/>
    <w:rsid w:val="33446853"/>
    <w:rsid w:val="337C6572"/>
    <w:rsid w:val="340065E3"/>
    <w:rsid w:val="34720F49"/>
    <w:rsid w:val="34A1711B"/>
    <w:rsid w:val="34B51C2B"/>
    <w:rsid w:val="34C8591D"/>
    <w:rsid w:val="34CA77B1"/>
    <w:rsid w:val="35020CF9"/>
    <w:rsid w:val="350537B2"/>
    <w:rsid w:val="3537234B"/>
    <w:rsid w:val="3537750C"/>
    <w:rsid w:val="3537798C"/>
    <w:rsid w:val="355D23D3"/>
    <w:rsid w:val="357C04F3"/>
    <w:rsid w:val="35C13FC9"/>
    <w:rsid w:val="35D42696"/>
    <w:rsid w:val="35EB5D05"/>
    <w:rsid w:val="35FF41CE"/>
    <w:rsid w:val="360311CD"/>
    <w:rsid w:val="3614749E"/>
    <w:rsid w:val="36190A43"/>
    <w:rsid w:val="36372B05"/>
    <w:rsid w:val="364257B6"/>
    <w:rsid w:val="36567254"/>
    <w:rsid w:val="36D87F64"/>
    <w:rsid w:val="370F139B"/>
    <w:rsid w:val="377229B0"/>
    <w:rsid w:val="379C37FE"/>
    <w:rsid w:val="37AC357C"/>
    <w:rsid w:val="37C134DB"/>
    <w:rsid w:val="37EA0FC9"/>
    <w:rsid w:val="37EA5922"/>
    <w:rsid w:val="37F94635"/>
    <w:rsid w:val="380B25BB"/>
    <w:rsid w:val="380D565E"/>
    <w:rsid w:val="38276B93"/>
    <w:rsid w:val="382E58B8"/>
    <w:rsid w:val="384004B6"/>
    <w:rsid w:val="38505C6D"/>
    <w:rsid w:val="388905CF"/>
    <w:rsid w:val="38AC3431"/>
    <w:rsid w:val="39072D82"/>
    <w:rsid w:val="390D47C7"/>
    <w:rsid w:val="3911775D"/>
    <w:rsid w:val="392F2E16"/>
    <w:rsid w:val="39474884"/>
    <w:rsid w:val="394F0285"/>
    <w:rsid w:val="39697599"/>
    <w:rsid w:val="396C6330"/>
    <w:rsid w:val="397B107A"/>
    <w:rsid w:val="398C0710"/>
    <w:rsid w:val="39A43C3F"/>
    <w:rsid w:val="39A86313"/>
    <w:rsid w:val="39D60FA5"/>
    <w:rsid w:val="39E00529"/>
    <w:rsid w:val="3A0B64A7"/>
    <w:rsid w:val="3A523F65"/>
    <w:rsid w:val="3A574DDA"/>
    <w:rsid w:val="3A647D60"/>
    <w:rsid w:val="3AC712F1"/>
    <w:rsid w:val="3ACD1DA9"/>
    <w:rsid w:val="3AD3075A"/>
    <w:rsid w:val="3AEA64B7"/>
    <w:rsid w:val="3AF663C1"/>
    <w:rsid w:val="3AF74C02"/>
    <w:rsid w:val="3B146A06"/>
    <w:rsid w:val="3B77491A"/>
    <w:rsid w:val="3B8526FD"/>
    <w:rsid w:val="3BA725FA"/>
    <w:rsid w:val="3BC62185"/>
    <w:rsid w:val="3BE367B2"/>
    <w:rsid w:val="3C0059A5"/>
    <w:rsid w:val="3C0C4034"/>
    <w:rsid w:val="3C134E78"/>
    <w:rsid w:val="3C224D26"/>
    <w:rsid w:val="3C3E4D0D"/>
    <w:rsid w:val="3C925059"/>
    <w:rsid w:val="3CC432D7"/>
    <w:rsid w:val="3CC869FE"/>
    <w:rsid w:val="3CFB2BFE"/>
    <w:rsid w:val="3D1E66D3"/>
    <w:rsid w:val="3D3839F5"/>
    <w:rsid w:val="3D583BAC"/>
    <w:rsid w:val="3D801355"/>
    <w:rsid w:val="3DA0781E"/>
    <w:rsid w:val="3DF6345D"/>
    <w:rsid w:val="3E2B5515"/>
    <w:rsid w:val="3E4D4F28"/>
    <w:rsid w:val="3EA11583"/>
    <w:rsid w:val="3ED92EC4"/>
    <w:rsid w:val="3EE13701"/>
    <w:rsid w:val="3F006E6E"/>
    <w:rsid w:val="3F0E5933"/>
    <w:rsid w:val="3F1A4BB3"/>
    <w:rsid w:val="3F2378DA"/>
    <w:rsid w:val="3F277CDA"/>
    <w:rsid w:val="3F4A699C"/>
    <w:rsid w:val="3F750EB7"/>
    <w:rsid w:val="3FA806EF"/>
    <w:rsid w:val="3FBD3EA1"/>
    <w:rsid w:val="3FD00372"/>
    <w:rsid w:val="3FF73B50"/>
    <w:rsid w:val="40192BA6"/>
    <w:rsid w:val="405D34E9"/>
    <w:rsid w:val="409C78E4"/>
    <w:rsid w:val="40B72457"/>
    <w:rsid w:val="40C63523"/>
    <w:rsid w:val="410F0E81"/>
    <w:rsid w:val="412A1D04"/>
    <w:rsid w:val="41474664"/>
    <w:rsid w:val="414C4F90"/>
    <w:rsid w:val="41766EA9"/>
    <w:rsid w:val="41870F04"/>
    <w:rsid w:val="41A73354"/>
    <w:rsid w:val="41AD2FCF"/>
    <w:rsid w:val="41FB36A0"/>
    <w:rsid w:val="420267DC"/>
    <w:rsid w:val="422229DB"/>
    <w:rsid w:val="42550A18"/>
    <w:rsid w:val="42687A1F"/>
    <w:rsid w:val="427270B8"/>
    <w:rsid w:val="427614B6"/>
    <w:rsid w:val="428C5C86"/>
    <w:rsid w:val="429D496A"/>
    <w:rsid w:val="429E4757"/>
    <w:rsid w:val="42A604A9"/>
    <w:rsid w:val="42BF46CD"/>
    <w:rsid w:val="42C27D1A"/>
    <w:rsid w:val="42D77C69"/>
    <w:rsid w:val="42E11DB1"/>
    <w:rsid w:val="42F473A1"/>
    <w:rsid w:val="433E153D"/>
    <w:rsid w:val="434C3EF4"/>
    <w:rsid w:val="43617533"/>
    <w:rsid w:val="437217EA"/>
    <w:rsid w:val="43AB7156"/>
    <w:rsid w:val="43B63258"/>
    <w:rsid w:val="43C57825"/>
    <w:rsid w:val="43FF60DE"/>
    <w:rsid w:val="440C4DD4"/>
    <w:rsid w:val="44103433"/>
    <w:rsid w:val="44174B03"/>
    <w:rsid w:val="441E62C0"/>
    <w:rsid w:val="445204E1"/>
    <w:rsid w:val="44562E10"/>
    <w:rsid w:val="44657B4B"/>
    <w:rsid w:val="447137A5"/>
    <w:rsid w:val="447A29CE"/>
    <w:rsid w:val="4484797D"/>
    <w:rsid w:val="44E17879"/>
    <w:rsid w:val="451C1963"/>
    <w:rsid w:val="45325D14"/>
    <w:rsid w:val="45575091"/>
    <w:rsid w:val="45603F46"/>
    <w:rsid w:val="45811C7C"/>
    <w:rsid w:val="45906116"/>
    <w:rsid w:val="45931B8C"/>
    <w:rsid w:val="45944B48"/>
    <w:rsid w:val="45C36283"/>
    <w:rsid w:val="45DB42AF"/>
    <w:rsid w:val="45E81B6F"/>
    <w:rsid w:val="45EF2552"/>
    <w:rsid w:val="46133710"/>
    <w:rsid w:val="463076B2"/>
    <w:rsid w:val="46317690"/>
    <w:rsid w:val="46560EA5"/>
    <w:rsid w:val="46761547"/>
    <w:rsid w:val="468B3EFB"/>
    <w:rsid w:val="46B5206F"/>
    <w:rsid w:val="46E44703"/>
    <w:rsid w:val="470923BB"/>
    <w:rsid w:val="470A6193"/>
    <w:rsid w:val="47385210"/>
    <w:rsid w:val="475510F8"/>
    <w:rsid w:val="475A2C17"/>
    <w:rsid w:val="47617472"/>
    <w:rsid w:val="476530F8"/>
    <w:rsid w:val="47655843"/>
    <w:rsid w:val="47D6229D"/>
    <w:rsid w:val="47D83363"/>
    <w:rsid w:val="47DC4F5C"/>
    <w:rsid w:val="47E30E5E"/>
    <w:rsid w:val="47E413B9"/>
    <w:rsid w:val="47EA3F9B"/>
    <w:rsid w:val="4805602C"/>
    <w:rsid w:val="48061E29"/>
    <w:rsid w:val="48096DEF"/>
    <w:rsid w:val="482C45B3"/>
    <w:rsid w:val="484C72F8"/>
    <w:rsid w:val="485C6DF9"/>
    <w:rsid w:val="48B40671"/>
    <w:rsid w:val="48D34A2F"/>
    <w:rsid w:val="48EC789E"/>
    <w:rsid w:val="48F23BFA"/>
    <w:rsid w:val="491867F3"/>
    <w:rsid w:val="494067E1"/>
    <w:rsid w:val="49523BA5"/>
    <w:rsid w:val="495711BC"/>
    <w:rsid w:val="495C67D2"/>
    <w:rsid w:val="49865F45"/>
    <w:rsid w:val="499B5738"/>
    <w:rsid w:val="499F244D"/>
    <w:rsid w:val="49A26D21"/>
    <w:rsid w:val="49AE2DA6"/>
    <w:rsid w:val="4A161D99"/>
    <w:rsid w:val="4A225C6E"/>
    <w:rsid w:val="4A630034"/>
    <w:rsid w:val="4A973F3F"/>
    <w:rsid w:val="4AB470BD"/>
    <w:rsid w:val="4AC42881"/>
    <w:rsid w:val="4AF96BC7"/>
    <w:rsid w:val="4B044259"/>
    <w:rsid w:val="4B2477C4"/>
    <w:rsid w:val="4B315A3D"/>
    <w:rsid w:val="4B514962"/>
    <w:rsid w:val="4B62209A"/>
    <w:rsid w:val="4B862A85"/>
    <w:rsid w:val="4B8D35BB"/>
    <w:rsid w:val="4BE07B8E"/>
    <w:rsid w:val="4BEB6533"/>
    <w:rsid w:val="4C4023B4"/>
    <w:rsid w:val="4C5466FD"/>
    <w:rsid w:val="4C7327B1"/>
    <w:rsid w:val="4C9E5354"/>
    <w:rsid w:val="4CCC3996"/>
    <w:rsid w:val="4CED3881"/>
    <w:rsid w:val="4CEF36E2"/>
    <w:rsid w:val="4CEF4DC5"/>
    <w:rsid w:val="4D0C68CE"/>
    <w:rsid w:val="4D111FCA"/>
    <w:rsid w:val="4D2471C8"/>
    <w:rsid w:val="4D255587"/>
    <w:rsid w:val="4D297313"/>
    <w:rsid w:val="4D4979FB"/>
    <w:rsid w:val="4D6250D2"/>
    <w:rsid w:val="4E257655"/>
    <w:rsid w:val="4E45017D"/>
    <w:rsid w:val="4E52289A"/>
    <w:rsid w:val="4EBB4707"/>
    <w:rsid w:val="4F0C5D1C"/>
    <w:rsid w:val="4F1C0CF8"/>
    <w:rsid w:val="4F372380"/>
    <w:rsid w:val="4F372FFB"/>
    <w:rsid w:val="4F4A531F"/>
    <w:rsid w:val="4F4D44F6"/>
    <w:rsid w:val="4F9071D6"/>
    <w:rsid w:val="4FB1539E"/>
    <w:rsid w:val="4FB629B4"/>
    <w:rsid w:val="4FDA66A3"/>
    <w:rsid w:val="4FF97471"/>
    <w:rsid w:val="5025116D"/>
    <w:rsid w:val="5039786D"/>
    <w:rsid w:val="50792360"/>
    <w:rsid w:val="50AB50B1"/>
    <w:rsid w:val="50C33018"/>
    <w:rsid w:val="50C53BB8"/>
    <w:rsid w:val="50F47C38"/>
    <w:rsid w:val="50FE3202"/>
    <w:rsid w:val="51163DAC"/>
    <w:rsid w:val="51273B6A"/>
    <w:rsid w:val="51346287"/>
    <w:rsid w:val="51C25640"/>
    <w:rsid w:val="521C3DB7"/>
    <w:rsid w:val="52395ECD"/>
    <w:rsid w:val="52530D65"/>
    <w:rsid w:val="52A31394"/>
    <w:rsid w:val="52AB1BAD"/>
    <w:rsid w:val="52C10D75"/>
    <w:rsid w:val="535A6478"/>
    <w:rsid w:val="536845DB"/>
    <w:rsid w:val="53723C74"/>
    <w:rsid w:val="53874D93"/>
    <w:rsid w:val="53BD07B5"/>
    <w:rsid w:val="53C27FF8"/>
    <w:rsid w:val="53DF5A01"/>
    <w:rsid w:val="541F321E"/>
    <w:rsid w:val="54453340"/>
    <w:rsid w:val="544F3B03"/>
    <w:rsid w:val="545C1D7C"/>
    <w:rsid w:val="54806794"/>
    <w:rsid w:val="5492579E"/>
    <w:rsid w:val="54972DB4"/>
    <w:rsid w:val="549E05E7"/>
    <w:rsid w:val="549E1A80"/>
    <w:rsid w:val="549F4E8E"/>
    <w:rsid w:val="54AC2F51"/>
    <w:rsid w:val="54B26397"/>
    <w:rsid w:val="54B70BCE"/>
    <w:rsid w:val="54C658F4"/>
    <w:rsid w:val="550C4BD7"/>
    <w:rsid w:val="5547605D"/>
    <w:rsid w:val="554C1D56"/>
    <w:rsid w:val="55562C6F"/>
    <w:rsid w:val="55572986"/>
    <w:rsid w:val="559319C8"/>
    <w:rsid w:val="55A82D9F"/>
    <w:rsid w:val="55BF6A67"/>
    <w:rsid w:val="5625150B"/>
    <w:rsid w:val="562C577E"/>
    <w:rsid w:val="56521689"/>
    <w:rsid w:val="565340FA"/>
    <w:rsid w:val="5678342A"/>
    <w:rsid w:val="56903F5F"/>
    <w:rsid w:val="569C6DA8"/>
    <w:rsid w:val="56A65531"/>
    <w:rsid w:val="56AD5F59"/>
    <w:rsid w:val="56BB5B01"/>
    <w:rsid w:val="56BC2FA6"/>
    <w:rsid w:val="56C60774"/>
    <w:rsid w:val="56E542AB"/>
    <w:rsid w:val="56E57DD8"/>
    <w:rsid w:val="56FE711B"/>
    <w:rsid w:val="572A7F10"/>
    <w:rsid w:val="576D604E"/>
    <w:rsid w:val="57730750"/>
    <w:rsid w:val="57853398"/>
    <w:rsid w:val="57B12A52"/>
    <w:rsid w:val="57EE718F"/>
    <w:rsid w:val="580544D9"/>
    <w:rsid w:val="583152CE"/>
    <w:rsid w:val="58666012"/>
    <w:rsid w:val="586F3C21"/>
    <w:rsid w:val="58931AE5"/>
    <w:rsid w:val="58937D37"/>
    <w:rsid w:val="58C173D1"/>
    <w:rsid w:val="58D345D7"/>
    <w:rsid w:val="58DC16DE"/>
    <w:rsid w:val="59692AFB"/>
    <w:rsid w:val="5987108A"/>
    <w:rsid w:val="59BB13A8"/>
    <w:rsid w:val="59D56296"/>
    <w:rsid w:val="59D92C03"/>
    <w:rsid w:val="5A146C55"/>
    <w:rsid w:val="5A2F2CC8"/>
    <w:rsid w:val="5A655703"/>
    <w:rsid w:val="5A744438"/>
    <w:rsid w:val="5A89319F"/>
    <w:rsid w:val="5AA9189B"/>
    <w:rsid w:val="5AAC486C"/>
    <w:rsid w:val="5AC5412C"/>
    <w:rsid w:val="5AC65776"/>
    <w:rsid w:val="5AFE0D50"/>
    <w:rsid w:val="5B9E26E1"/>
    <w:rsid w:val="5BA340AA"/>
    <w:rsid w:val="5BA81D4B"/>
    <w:rsid w:val="5BA92094"/>
    <w:rsid w:val="5BDC2832"/>
    <w:rsid w:val="5BE911A2"/>
    <w:rsid w:val="5BF750C3"/>
    <w:rsid w:val="5C087759"/>
    <w:rsid w:val="5C087836"/>
    <w:rsid w:val="5C10702D"/>
    <w:rsid w:val="5C152601"/>
    <w:rsid w:val="5C4F21C6"/>
    <w:rsid w:val="5C502358"/>
    <w:rsid w:val="5C591F03"/>
    <w:rsid w:val="5C8A1B2F"/>
    <w:rsid w:val="5C92361A"/>
    <w:rsid w:val="5CF35248"/>
    <w:rsid w:val="5D1F2603"/>
    <w:rsid w:val="5D5F10C3"/>
    <w:rsid w:val="5D602E0A"/>
    <w:rsid w:val="5DCF7A25"/>
    <w:rsid w:val="5E341674"/>
    <w:rsid w:val="5E550B8D"/>
    <w:rsid w:val="5E5E000D"/>
    <w:rsid w:val="5E782489"/>
    <w:rsid w:val="5E7F7B66"/>
    <w:rsid w:val="5EC7073A"/>
    <w:rsid w:val="5ED30E8D"/>
    <w:rsid w:val="5F1641AD"/>
    <w:rsid w:val="5F561B72"/>
    <w:rsid w:val="5F945056"/>
    <w:rsid w:val="5FAB1E0A"/>
    <w:rsid w:val="5FC40363"/>
    <w:rsid w:val="5FE175D9"/>
    <w:rsid w:val="5FE64BF0"/>
    <w:rsid w:val="604A517F"/>
    <w:rsid w:val="604F4E8B"/>
    <w:rsid w:val="606007BB"/>
    <w:rsid w:val="606D5311"/>
    <w:rsid w:val="60746789"/>
    <w:rsid w:val="60AC7F66"/>
    <w:rsid w:val="60FE6409"/>
    <w:rsid w:val="61047F6E"/>
    <w:rsid w:val="61460F0D"/>
    <w:rsid w:val="616E6A18"/>
    <w:rsid w:val="617B3AFA"/>
    <w:rsid w:val="61BF10D9"/>
    <w:rsid w:val="61E3588B"/>
    <w:rsid w:val="62070D75"/>
    <w:rsid w:val="62261C1B"/>
    <w:rsid w:val="626C1660"/>
    <w:rsid w:val="62774225"/>
    <w:rsid w:val="62845123"/>
    <w:rsid w:val="628726BA"/>
    <w:rsid w:val="62AC22DC"/>
    <w:rsid w:val="62AF0693"/>
    <w:rsid w:val="62BF00A6"/>
    <w:rsid w:val="62D358FF"/>
    <w:rsid w:val="6324615B"/>
    <w:rsid w:val="63464323"/>
    <w:rsid w:val="637459A7"/>
    <w:rsid w:val="63881832"/>
    <w:rsid w:val="638B61DA"/>
    <w:rsid w:val="638C56B7"/>
    <w:rsid w:val="638F7CB1"/>
    <w:rsid w:val="63A22BFD"/>
    <w:rsid w:val="63F56A0D"/>
    <w:rsid w:val="640403EC"/>
    <w:rsid w:val="64136C58"/>
    <w:rsid w:val="64177A6E"/>
    <w:rsid w:val="64373C6C"/>
    <w:rsid w:val="64616F3B"/>
    <w:rsid w:val="64D140C0"/>
    <w:rsid w:val="64D21BE7"/>
    <w:rsid w:val="64DD1E43"/>
    <w:rsid w:val="64E45EF7"/>
    <w:rsid w:val="64F67983"/>
    <w:rsid w:val="658C2E2C"/>
    <w:rsid w:val="658E3D60"/>
    <w:rsid w:val="65B075A8"/>
    <w:rsid w:val="660109D5"/>
    <w:rsid w:val="66304E17"/>
    <w:rsid w:val="663F0B50"/>
    <w:rsid w:val="66576847"/>
    <w:rsid w:val="665F3074"/>
    <w:rsid w:val="6667477E"/>
    <w:rsid w:val="666A3E3A"/>
    <w:rsid w:val="667F18FA"/>
    <w:rsid w:val="667F3EFA"/>
    <w:rsid w:val="66803B32"/>
    <w:rsid w:val="668D2F0F"/>
    <w:rsid w:val="6691014E"/>
    <w:rsid w:val="66952ECC"/>
    <w:rsid w:val="66C518B5"/>
    <w:rsid w:val="66C87CCE"/>
    <w:rsid w:val="66D460EA"/>
    <w:rsid w:val="66F95B50"/>
    <w:rsid w:val="67230ADB"/>
    <w:rsid w:val="672506F4"/>
    <w:rsid w:val="673D38C2"/>
    <w:rsid w:val="67401089"/>
    <w:rsid w:val="676A6106"/>
    <w:rsid w:val="677435B2"/>
    <w:rsid w:val="677F6056"/>
    <w:rsid w:val="679E02E1"/>
    <w:rsid w:val="67B464CA"/>
    <w:rsid w:val="67C223E6"/>
    <w:rsid w:val="67EE31DB"/>
    <w:rsid w:val="67EF75F1"/>
    <w:rsid w:val="683E7CBF"/>
    <w:rsid w:val="684F4F11"/>
    <w:rsid w:val="68721717"/>
    <w:rsid w:val="68723267"/>
    <w:rsid w:val="68A67612"/>
    <w:rsid w:val="68CF138D"/>
    <w:rsid w:val="68E65C61"/>
    <w:rsid w:val="69124F16"/>
    <w:rsid w:val="691259D1"/>
    <w:rsid w:val="698971FC"/>
    <w:rsid w:val="698A6B32"/>
    <w:rsid w:val="69A267ED"/>
    <w:rsid w:val="69CB37D4"/>
    <w:rsid w:val="69CD5C14"/>
    <w:rsid w:val="69CF0D33"/>
    <w:rsid w:val="69D275D6"/>
    <w:rsid w:val="69E14DA6"/>
    <w:rsid w:val="6A2E1811"/>
    <w:rsid w:val="6B7B7763"/>
    <w:rsid w:val="6B9946B3"/>
    <w:rsid w:val="6BB42357"/>
    <w:rsid w:val="6BCC6446"/>
    <w:rsid w:val="6BE518DA"/>
    <w:rsid w:val="6BF87981"/>
    <w:rsid w:val="6C276F3A"/>
    <w:rsid w:val="6C404D2D"/>
    <w:rsid w:val="6C68355C"/>
    <w:rsid w:val="6C6B4DFB"/>
    <w:rsid w:val="6C7007C7"/>
    <w:rsid w:val="6CB0280D"/>
    <w:rsid w:val="6CD02EB0"/>
    <w:rsid w:val="6CDE55CC"/>
    <w:rsid w:val="6CFA1CDB"/>
    <w:rsid w:val="6CFD7212"/>
    <w:rsid w:val="6D201BB4"/>
    <w:rsid w:val="6D723F67"/>
    <w:rsid w:val="6D8F4B19"/>
    <w:rsid w:val="6D995997"/>
    <w:rsid w:val="6DA46816"/>
    <w:rsid w:val="6DAC56CB"/>
    <w:rsid w:val="6DE2733E"/>
    <w:rsid w:val="6DE74955"/>
    <w:rsid w:val="6DE76850"/>
    <w:rsid w:val="6DFA4688"/>
    <w:rsid w:val="6E0237F2"/>
    <w:rsid w:val="6E427DDD"/>
    <w:rsid w:val="6E5F2D2A"/>
    <w:rsid w:val="6E6E0DBB"/>
    <w:rsid w:val="6E6F3CAE"/>
    <w:rsid w:val="6E822FF4"/>
    <w:rsid w:val="6E8503A3"/>
    <w:rsid w:val="6EC41BAB"/>
    <w:rsid w:val="6ED05B89"/>
    <w:rsid w:val="6ED924EF"/>
    <w:rsid w:val="6EF52990"/>
    <w:rsid w:val="6EFC51A7"/>
    <w:rsid w:val="6F262767"/>
    <w:rsid w:val="6F321C00"/>
    <w:rsid w:val="6F4F630E"/>
    <w:rsid w:val="6F524917"/>
    <w:rsid w:val="6F6A75EB"/>
    <w:rsid w:val="6F762246"/>
    <w:rsid w:val="6FA17290"/>
    <w:rsid w:val="6FB20BD4"/>
    <w:rsid w:val="6FBA59BE"/>
    <w:rsid w:val="6FDF1D36"/>
    <w:rsid w:val="6FF85A00"/>
    <w:rsid w:val="6FFC4F8A"/>
    <w:rsid w:val="70194B6E"/>
    <w:rsid w:val="70296B3E"/>
    <w:rsid w:val="703B27FD"/>
    <w:rsid w:val="7047792D"/>
    <w:rsid w:val="70611204"/>
    <w:rsid w:val="708905AF"/>
    <w:rsid w:val="70891CF3"/>
    <w:rsid w:val="70B84386"/>
    <w:rsid w:val="70E138DD"/>
    <w:rsid w:val="70E94540"/>
    <w:rsid w:val="71267CAF"/>
    <w:rsid w:val="71326C5B"/>
    <w:rsid w:val="7165620F"/>
    <w:rsid w:val="717039F8"/>
    <w:rsid w:val="717D06BD"/>
    <w:rsid w:val="71A66598"/>
    <w:rsid w:val="71B36501"/>
    <w:rsid w:val="723E0221"/>
    <w:rsid w:val="724A7260"/>
    <w:rsid w:val="725E4ABA"/>
    <w:rsid w:val="726A7902"/>
    <w:rsid w:val="7289422C"/>
    <w:rsid w:val="72C65A98"/>
    <w:rsid w:val="72E4154B"/>
    <w:rsid w:val="72F71196"/>
    <w:rsid w:val="73247AB1"/>
    <w:rsid w:val="732B7092"/>
    <w:rsid w:val="73410663"/>
    <w:rsid w:val="73420E78"/>
    <w:rsid w:val="737676C1"/>
    <w:rsid w:val="737A3B75"/>
    <w:rsid w:val="739534EB"/>
    <w:rsid w:val="739F35DC"/>
    <w:rsid w:val="73AD3F4B"/>
    <w:rsid w:val="73AF1064"/>
    <w:rsid w:val="73B52DFF"/>
    <w:rsid w:val="74123DAE"/>
    <w:rsid w:val="74235FBB"/>
    <w:rsid w:val="742860C3"/>
    <w:rsid w:val="742C1313"/>
    <w:rsid w:val="744A3547"/>
    <w:rsid w:val="745F3497"/>
    <w:rsid w:val="74BA2FE1"/>
    <w:rsid w:val="74D13AD5"/>
    <w:rsid w:val="74E50B73"/>
    <w:rsid w:val="74E76FE8"/>
    <w:rsid w:val="74FA2C30"/>
    <w:rsid w:val="753932BF"/>
    <w:rsid w:val="754D5C4B"/>
    <w:rsid w:val="75565D41"/>
    <w:rsid w:val="7560380C"/>
    <w:rsid w:val="758331B5"/>
    <w:rsid w:val="758D193E"/>
    <w:rsid w:val="75935ED0"/>
    <w:rsid w:val="75AE6E8E"/>
    <w:rsid w:val="75C13CDD"/>
    <w:rsid w:val="75F61BD9"/>
    <w:rsid w:val="76297DEC"/>
    <w:rsid w:val="76A44B47"/>
    <w:rsid w:val="76C240A7"/>
    <w:rsid w:val="76DA416A"/>
    <w:rsid w:val="76EE0AE0"/>
    <w:rsid w:val="76EE465E"/>
    <w:rsid w:val="771F6F0D"/>
    <w:rsid w:val="7725204A"/>
    <w:rsid w:val="774921DC"/>
    <w:rsid w:val="775246B7"/>
    <w:rsid w:val="776628AE"/>
    <w:rsid w:val="776A5F57"/>
    <w:rsid w:val="77884AB3"/>
    <w:rsid w:val="779C67B0"/>
    <w:rsid w:val="77E25CD1"/>
    <w:rsid w:val="78011D55"/>
    <w:rsid w:val="78157DBD"/>
    <w:rsid w:val="781E69D1"/>
    <w:rsid w:val="78573DA0"/>
    <w:rsid w:val="788C05D2"/>
    <w:rsid w:val="78EA354B"/>
    <w:rsid w:val="78EC72C3"/>
    <w:rsid w:val="7901747F"/>
    <w:rsid w:val="791540CC"/>
    <w:rsid w:val="791B4953"/>
    <w:rsid w:val="79224A93"/>
    <w:rsid w:val="795F4EF7"/>
    <w:rsid w:val="79612E69"/>
    <w:rsid w:val="798D4602"/>
    <w:rsid w:val="79B309EB"/>
    <w:rsid w:val="79C30024"/>
    <w:rsid w:val="79DF0BD6"/>
    <w:rsid w:val="7A0D129F"/>
    <w:rsid w:val="7A0F3269"/>
    <w:rsid w:val="7A1A6B3A"/>
    <w:rsid w:val="7A1E34AC"/>
    <w:rsid w:val="7A263B6B"/>
    <w:rsid w:val="7A2A00A3"/>
    <w:rsid w:val="7A456C8B"/>
    <w:rsid w:val="7A480529"/>
    <w:rsid w:val="7A4D1FE3"/>
    <w:rsid w:val="7A677956"/>
    <w:rsid w:val="7A993CB5"/>
    <w:rsid w:val="7AA70800"/>
    <w:rsid w:val="7AD61F44"/>
    <w:rsid w:val="7AF46346"/>
    <w:rsid w:val="7B0F5EBF"/>
    <w:rsid w:val="7B130FB9"/>
    <w:rsid w:val="7B191EC6"/>
    <w:rsid w:val="7B8D5250"/>
    <w:rsid w:val="7BBA7205"/>
    <w:rsid w:val="7BD71E38"/>
    <w:rsid w:val="7BF64EDE"/>
    <w:rsid w:val="7C2702A1"/>
    <w:rsid w:val="7C400C1E"/>
    <w:rsid w:val="7C445DA6"/>
    <w:rsid w:val="7CA828C1"/>
    <w:rsid w:val="7CAD0B17"/>
    <w:rsid w:val="7CB73744"/>
    <w:rsid w:val="7CCA0287"/>
    <w:rsid w:val="7CD1075D"/>
    <w:rsid w:val="7CFF3EC4"/>
    <w:rsid w:val="7D1A22BC"/>
    <w:rsid w:val="7D543B7E"/>
    <w:rsid w:val="7D625DA6"/>
    <w:rsid w:val="7D676DC7"/>
    <w:rsid w:val="7D707D52"/>
    <w:rsid w:val="7D7D498E"/>
    <w:rsid w:val="7DAF3D55"/>
    <w:rsid w:val="7DB269A0"/>
    <w:rsid w:val="7DB3215D"/>
    <w:rsid w:val="7DD11708"/>
    <w:rsid w:val="7DD32B3D"/>
    <w:rsid w:val="7DEE4A4F"/>
    <w:rsid w:val="7DFD787D"/>
    <w:rsid w:val="7E1D4C4C"/>
    <w:rsid w:val="7E243C69"/>
    <w:rsid w:val="7E244E09"/>
    <w:rsid w:val="7E521976"/>
    <w:rsid w:val="7E584F14"/>
    <w:rsid w:val="7E660E5D"/>
    <w:rsid w:val="7E7933A7"/>
    <w:rsid w:val="7E823B55"/>
    <w:rsid w:val="7E885398"/>
    <w:rsid w:val="7EA47CF8"/>
    <w:rsid w:val="7EA807C5"/>
    <w:rsid w:val="7EAE6230"/>
    <w:rsid w:val="7EB63D6E"/>
    <w:rsid w:val="7EBD579E"/>
    <w:rsid w:val="7EC167BD"/>
    <w:rsid w:val="7EDB7BBE"/>
    <w:rsid w:val="7EE606BD"/>
    <w:rsid w:val="7EEF0674"/>
    <w:rsid w:val="7F052E8D"/>
    <w:rsid w:val="7F1255AA"/>
    <w:rsid w:val="7F14040A"/>
    <w:rsid w:val="7F17496E"/>
    <w:rsid w:val="7F272D9E"/>
    <w:rsid w:val="7F286B7B"/>
    <w:rsid w:val="7F477001"/>
    <w:rsid w:val="7F546B4E"/>
    <w:rsid w:val="7F63377E"/>
    <w:rsid w:val="7F9B10FB"/>
    <w:rsid w:val="7FE40CF4"/>
    <w:rsid w:val="979F7D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qFormat="1" w:unhideWhenUsed="0" w:uiPriority="99" w:name="index 4"/>
    <w:lsdException w:uiPriority="99" w:name="index 5"/>
    <w:lsdException w:qFormat="1" w:unhideWhenUsed="0" w:uiPriority="0" w:semiHidden="0"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qFormat="1" w:uiPriority="0" w:semiHidden="0"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7"/>
    <w:autoRedefine/>
    <w:qFormat/>
    <w:uiPriority w:val="99"/>
    <w:pPr>
      <w:keepNext/>
      <w:keepLines/>
      <w:spacing w:before="340" w:after="330" w:line="578" w:lineRule="auto"/>
      <w:outlineLvl w:val="0"/>
    </w:pPr>
    <w:rPr>
      <w:b/>
      <w:bCs/>
      <w:kern w:val="44"/>
      <w:sz w:val="44"/>
      <w:szCs w:val="44"/>
    </w:rPr>
  </w:style>
  <w:style w:type="paragraph" w:styleId="3">
    <w:name w:val="heading 2"/>
    <w:basedOn w:val="1"/>
    <w:link w:val="68"/>
    <w:autoRedefine/>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69"/>
    <w:qFormat/>
    <w:uiPriority w:val="99"/>
    <w:pPr>
      <w:keepNext/>
      <w:keepLines/>
      <w:spacing w:before="260" w:after="260" w:line="416" w:lineRule="auto"/>
      <w:outlineLvl w:val="2"/>
    </w:pPr>
    <w:rPr>
      <w:b/>
      <w:bCs/>
      <w:sz w:val="32"/>
      <w:szCs w:val="32"/>
    </w:rPr>
  </w:style>
  <w:style w:type="paragraph" w:styleId="5">
    <w:name w:val="heading 4"/>
    <w:basedOn w:val="1"/>
    <w:next w:val="1"/>
    <w:link w:val="70"/>
    <w:qFormat/>
    <w:uiPriority w:val="99"/>
    <w:pPr>
      <w:keepNext/>
      <w:keepLines/>
      <w:spacing w:line="360" w:lineRule="auto"/>
      <w:outlineLvl w:val="3"/>
    </w:pPr>
    <w:rPr>
      <w:rFonts w:ascii="Arial" w:hAnsi="Arial"/>
      <w:b/>
      <w:bCs/>
      <w:sz w:val="28"/>
      <w:szCs w:val="28"/>
    </w:rPr>
  </w:style>
  <w:style w:type="paragraph" w:styleId="6">
    <w:name w:val="heading 5"/>
    <w:basedOn w:val="1"/>
    <w:next w:val="7"/>
    <w:link w:val="71"/>
    <w:qFormat/>
    <w:uiPriority w:val="99"/>
    <w:pPr>
      <w:keepNext/>
      <w:keepLines/>
      <w:spacing w:before="280" w:after="290" w:line="376" w:lineRule="auto"/>
      <w:outlineLvl w:val="4"/>
    </w:pPr>
    <w:rPr>
      <w:b/>
      <w:bCs/>
      <w:sz w:val="28"/>
      <w:szCs w:val="28"/>
    </w:rPr>
  </w:style>
  <w:style w:type="paragraph" w:styleId="8">
    <w:name w:val="heading 6"/>
    <w:basedOn w:val="1"/>
    <w:next w:val="1"/>
    <w:link w:val="73"/>
    <w:qFormat/>
    <w:uiPriority w:val="9"/>
    <w:pPr>
      <w:keepNext/>
      <w:keepLines/>
      <w:spacing w:before="240" w:after="64" w:line="317" w:lineRule="auto"/>
      <w:outlineLvl w:val="5"/>
    </w:pPr>
    <w:rPr>
      <w:rFonts w:ascii="Cambria" w:hAnsi="Cambria"/>
      <w:b/>
      <w:bCs/>
      <w:kern w:val="0"/>
      <w:sz w:val="24"/>
    </w:rPr>
  </w:style>
  <w:style w:type="paragraph" w:styleId="9">
    <w:name w:val="heading 7"/>
    <w:basedOn w:val="1"/>
    <w:next w:val="1"/>
    <w:link w:val="74"/>
    <w:qFormat/>
    <w:uiPriority w:val="9"/>
    <w:pPr>
      <w:keepNext/>
      <w:keepLines/>
      <w:spacing w:before="240" w:after="64" w:line="317" w:lineRule="auto"/>
      <w:outlineLvl w:val="6"/>
    </w:pPr>
    <w:rPr>
      <w:b/>
      <w:bCs/>
      <w:kern w:val="0"/>
      <w:sz w:val="24"/>
    </w:rPr>
  </w:style>
  <w:style w:type="paragraph" w:styleId="10">
    <w:name w:val="heading 8"/>
    <w:basedOn w:val="1"/>
    <w:next w:val="1"/>
    <w:link w:val="75"/>
    <w:qFormat/>
    <w:uiPriority w:val="9"/>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76"/>
    <w:qFormat/>
    <w:uiPriority w:val="9"/>
    <w:pPr>
      <w:keepNext/>
      <w:keepLines/>
      <w:spacing w:before="240" w:after="64" w:line="317" w:lineRule="auto"/>
      <w:outlineLvl w:val="8"/>
    </w:pPr>
    <w:rPr>
      <w:rFonts w:ascii="Cambria" w:hAnsi="Cambria"/>
      <w:kern w:val="0"/>
      <w:sz w:val="2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72"/>
    <w:autoRedefine/>
    <w:qFormat/>
    <w:uiPriority w:val="99"/>
    <w:pPr>
      <w:ind w:firstLine="420"/>
    </w:pPr>
    <w:rPr>
      <w:szCs w:val="20"/>
    </w:rPr>
  </w:style>
  <w:style w:type="paragraph" w:styleId="12">
    <w:name w:val="toc 7"/>
    <w:basedOn w:val="1"/>
    <w:next w:val="1"/>
    <w:autoRedefine/>
    <w:qFormat/>
    <w:uiPriority w:val="39"/>
    <w:pPr>
      <w:ind w:left="2520" w:leftChars="1200"/>
    </w:pPr>
    <w:rPr>
      <w:rFonts w:ascii="Calibri" w:hAnsi="Calibri" w:cs="Calibri"/>
      <w:szCs w:val="21"/>
    </w:rPr>
  </w:style>
  <w:style w:type="paragraph" w:styleId="13">
    <w:name w:val="index 8"/>
    <w:basedOn w:val="1"/>
    <w:next w:val="1"/>
    <w:qFormat/>
    <w:uiPriority w:val="0"/>
    <w:pPr>
      <w:ind w:left="2940"/>
    </w:pPr>
  </w:style>
  <w:style w:type="paragraph" w:styleId="14">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autoRedefine/>
    <w:qFormat/>
    <w:uiPriority w:val="99"/>
    <w:rPr>
      <w:rFonts w:ascii="Cambria" w:hAnsi="Cambria" w:eastAsia="黑体" w:cs="Cambria"/>
      <w:sz w:val="20"/>
      <w:szCs w:val="20"/>
    </w:rPr>
  </w:style>
  <w:style w:type="paragraph" w:styleId="16">
    <w:name w:val="Document Map"/>
    <w:basedOn w:val="1"/>
    <w:link w:val="77"/>
    <w:autoRedefine/>
    <w:qFormat/>
    <w:uiPriority w:val="99"/>
    <w:pPr>
      <w:shd w:val="clear" w:color="auto" w:fill="000080"/>
    </w:pPr>
    <w:rPr>
      <w:sz w:val="24"/>
      <w:shd w:val="clear" w:color="auto" w:fill="000080"/>
    </w:rPr>
  </w:style>
  <w:style w:type="paragraph" w:styleId="17">
    <w:name w:val="annotation text"/>
    <w:basedOn w:val="18"/>
    <w:link w:val="78"/>
    <w:autoRedefine/>
    <w:qFormat/>
    <w:uiPriority w:val="99"/>
  </w:style>
  <w:style w:type="paragraph" w:customStyle="1" w:styleId="18">
    <w:name w:val="正文_2_0_0"/>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19">
    <w:name w:val="index 6"/>
    <w:basedOn w:val="1"/>
    <w:next w:val="1"/>
    <w:autoRedefine/>
    <w:qFormat/>
    <w:uiPriority w:val="0"/>
    <w:pPr>
      <w:ind w:left="1000" w:leftChars="1000"/>
    </w:pPr>
  </w:style>
  <w:style w:type="paragraph" w:styleId="20">
    <w:name w:val="Body Text 3"/>
    <w:basedOn w:val="1"/>
    <w:link w:val="79"/>
    <w:autoRedefine/>
    <w:unhideWhenUsed/>
    <w:qFormat/>
    <w:uiPriority w:val="99"/>
    <w:pPr>
      <w:spacing w:after="120"/>
    </w:pPr>
    <w:rPr>
      <w:sz w:val="16"/>
      <w:szCs w:val="16"/>
    </w:rPr>
  </w:style>
  <w:style w:type="paragraph" w:styleId="21">
    <w:name w:val="Body Text"/>
    <w:basedOn w:val="1"/>
    <w:next w:val="1"/>
    <w:link w:val="80"/>
    <w:autoRedefine/>
    <w:unhideWhenUsed/>
    <w:qFormat/>
    <w:uiPriority w:val="99"/>
    <w:pPr>
      <w:spacing w:after="120"/>
    </w:pPr>
  </w:style>
  <w:style w:type="paragraph" w:styleId="22">
    <w:name w:val="Body Text Indent"/>
    <w:basedOn w:val="1"/>
    <w:next w:val="23"/>
    <w:link w:val="81"/>
    <w:autoRedefine/>
    <w:qFormat/>
    <w:uiPriority w:val="0"/>
    <w:pPr>
      <w:ind w:firstLine="830" w:firstLineChars="352"/>
    </w:pPr>
    <w:rPr>
      <w:rFonts w:ascii="仿宋_GB2312" w:eastAsia="仿宋_GB2312"/>
      <w:kern w:val="0"/>
      <w:sz w:val="32"/>
      <w:szCs w:val="20"/>
    </w:rPr>
  </w:style>
  <w:style w:type="paragraph" w:styleId="23">
    <w:name w:val="envelope return"/>
    <w:basedOn w:val="1"/>
    <w:unhideWhenUsed/>
    <w:qFormat/>
    <w:uiPriority w:val="0"/>
    <w:pPr>
      <w:snapToGrid w:val="0"/>
    </w:pPr>
    <w:rPr>
      <w:rFonts w:ascii="Arial" w:hAnsi="Arial"/>
    </w:rPr>
  </w:style>
  <w:style w:type="paragraph" w:styleId="24">
    <w:name w:val="List 2"/>
    <w:basedOn w:val="1"/>
    <w:autoRedefine/>
    <w:unhideWhenUsed/>
    <w:qFormat/>
    <w:uiPriority w:val="99"/>
    <w:pPr>
      <w:ind w:left="100" w:leftChars="200" w:hanging="200" w:hangingChars="200"/>
      <w:contextualSpacing/>
    </w:pPr>
  </w:style>
  <w:style w:type="paragraph" w:styleId="25">
    <w:name w:val="index 4"/>
    <w:basedOn w:val="1"/>
    <w:next w:val="1"/>
    <w:autoRedefine/>
    <w:semiHidden/>
    <w:qFormat/>
    <w:uiPriority w:val="99"/>
    <w:pPr>
      <w:ind w:left="600" w:leftChars="600"/>
    </w:pPr>
    <w:rPr>
      <w:szCs w:val="21"/>
    </w:rPr>
  </w:style>
  <w:style w:type="paragraph" w:styleId="26">
    <w:name w:val="toc 5"/>
    <w:basedOn w:val="1"/>
    <w:next w:val="1"/>
    <w:autoRedefine/>
    <w:qFormat/>
    <w:uiPriority w:val="39"/>
    <w:pPr>
      <w:ind w:left="1680" w:leftChars="800"/>
    </w:pPr>
    <w:rPr>
      <w:rFonts w:ascii="Calibri" w:hAnsi="Calibri" w:cs="Calibri"/>
      <w:szCs w:val="21"/>
    </w:rPr>
  </w:style>
  <w:style w:type="paragraph" w:styleId="27">
    <w:name w:val="toc 3"/>
    <w:basedOn w:val="1"/>
    <w:next w:val="1"/>
    <w:autoRedefine/>
    <w:qFormat/>
    <w:uiPriority w:val="39"/>
    <w:pPr>
      <w:ind w:left="840" w:leftChars="400"/>
    </w:pPr>
    <w:rPr>
      <w:szCs w:val="21"/>
    </w:rPr>
  </w:style>
  <w:style w:type="paragraph" w:styleId="28">
    <w:name w:val="Plain Text"/>
    <w:basedOn w:val="1"/>
    <w:link w:val="82"/>
    <w:autoRedefine/>
    <w:qFormat/>
    <w:uiPriority w:val="0"/>
    <w:rPr>
      <w:rFonts w:ascii="宋体" w:hAnsi="Courier New"/>
      <w:kern w:val="0"/>
      <w:sz w:val="20"/>
      <w:szCs w:val="21"/>
    </w:rPr>
  </w:style>
  <w:style w:type="paragraph" w:styleId="29">
    <w:name w:val="toc 8"/>
    <w:basedOn w:val="1"/>
    <w:next w:val="1"/>
    <w:autoRedefine/>
    <w:qFormat/>
    <w:uiPriority w:val="39"/>
    <w:pPr>
      <w:ind w:left="2940" w:leftChars="1400"/>
    </w:pPr>
    <w:rPr>
      <w:rFonts w:ascii="Calibri" w:hAnsi="Calibri" w:cs="Calibri"/>
      <w:szCs w:val="21"/>
    </w:rPr>
  </w:style>
  <w:style w:type="paragraph" w:styleId="30">
    <w:name w:val="Date"/>
    <w:basedOn w:val="1"/>
    <w:next w:val="1"/>
    <w:link w:val="83"/>
    <w:autoRedefine/>
    <w:unhideWhenUsed/>
    <w:qFormat/>
    <w:uiPriority w:val="99"/>
    <w:pPr>
      <w:ind w:left="100" w:leftChars="2500"/>
    </w:pPr>
  </w:style>
  <w:style w:type="paragraph" w:styleId="31">
    <w:name w:val="Body Text Indent 2"/>
    <w:basedOn w:val="1"/>
    <w:link w:val="84"/>
    <w:qFormat/>
    <w:uiPriority w:val="99"/>
    <w:pPr>
      <w:spacing w:after="120" w:line="480" w:lineRule="auto"/>
      <w:ind w:left="420" w:leftChars="200"/>
    </w:pPr>
    <w:rPr>
      <w:sz w:val="24"/>
    </w:rPr>
  </w:style>
  <w:style w:type="paragraph" w:styleId="32">
    <w:name w:val="Balloon Text"/>
    <w:basedOn w:val="1"/>
    <w:link w:val="85"/>
    <w:autoRedefine/>
    <w:qFormat/>
    <w:uiPriority w:val="99"/>
    <w:rPr>
      <w:sz w:val="18"/>
      <w:szCs w:val="18"/>
    </w:rPr>
  </w:style>
  <w:style w:type="paragraph" w:styleId="33">
    <w:name w:val="footer"/>
    <w:basedOn w:val="1"/>
    <w:link w:val="86"/>
    <w:autoRedefine/>
    <w:unhideWhenUsed/>
    <w:qFormat/>
    <w:uiPriority w:val="99"/>
    <w:pPr>
      <w:tabs>
        <w:tab w:val="center" w:pos="4153"/>
        <w:tab w:val="right" w:pos="8306"/>
      </w:tabs>
      <w:snapToGrid w:val="0"/>
      <w:jc w:val="left"/>
    </w:pPr>
    <w:rPr>
      <w:kern w:val="0"/>
      <w:sz w:val="18"/>
      <w:szCs w:val="18"/>
    </w:rPr>
  </w:style>
  <w:style w:type="paragraph" w:styleId="34">
    <w:name w:val="header"/>
    <w:basedOn w:val="1"/>
    <w:link w:val="87"/>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5">
    <w:name w:val="toc 1"/>
    <w:basedOn w:val="1"/>
    <w:next w:val="1"/>
    <w:autoRedefine/>
    <w:unhideWhenUsed/>
    <w:qFormat/>
    <w:uiPriority w:val="39"/>
  </w:style>
  <w:style w:type="paragraph" w:styleId="36">
    <w:name w:val="toc 4"/>
    <w:basedOn w:val="1"/>
    <w:next w:val="1"/>
    <w:autoRedefine/>
    <w:qFormat/>
    <w:uiPriority w:val="39"/>
    <w:pPr>
      <w:ind w:left="1260" w:leftChars="600"/>
    </w:pPr>
    <w:rPr>
      <w:rFonts w:ascii="Calibri" w:hAnsi="Calibri" w:cs="Calibri"/>
      <w:szCs w:val="21"/>
    </w:rPr>
  </w:style>
  <w:style w:type="paragraph" w:styleId="37">
    <w:name w:val="Subtitle"/>
    <w:basedOn w:val="1"/>
    <w:next w:val="1"/>
    <w:link w:val="88"/>
    <w:autoRedefine/>
    <w:qFormat/>
    <w:uiPriority w:val="11"/>
    <w:pPr>
      <w:spacing w:before="240" w:after="60" w:line="312" w:lineRule="auto"/>
      <w:jc w:val="center"/>
      <w:outlineLvl w:val="1"/>
    </w:pPr>
    <w:rPr>
      <w:rFonts w:ascii="Cambria" w:hAnsi="Cambria"/>
      <w:b/>
      <w:bCs/>
      <w:kern w:val="28"/>
      <w:sz w:val="32"/>
      <w:szCs w:val="32"/>
    </w:rPr>
  </w:style>
  <w:style w:type="paragraph" w:styleId="38">
    <w:name w:val="footnote text"/>
    <w:basedOn w:val="1"/>
    <w:link w:val="89"/>
    <w:autoRedefine/>
    <w:qFormat/>
    <w:uiPriority w:val="99"/>
    <w:pPr>
      <w:adjustRightInd w:val="0"/>
      <w:spacing w:line="312" w:lineRule="atLeast"/>
      <w:jc w:val="left"/>
      <w:textAlignment w:val="baseline"/>
    </w:pPr>
    <w:rPr>
      <w:kern w:val="0"/>
      <w:sz w:val="18"/>
      <w:szCs w:val="18"/>
    </w:rPr>
  </w:style>
  <w:style w:type="paragraph" w:styleId="39">
    <w:name w:val="toc 6"/>
    <w:basedOn w:val="1"/>
    <w:next w:val="1"/>
    <w:autoRedefine/>
    <w:qFormat/>
    <w:uiPriority w:val="39"/>
    <w:pPr>
      <w:ind w:left="2100" w:leftChars="1000"/>
    </w:pPr>
    <w:rPr>
      <w:rFonts w:ascii="Calibri" w:hAnsi="Calibri" w:cs="Calibri"/>
      <w:szCs w:val="21"/>
    </w:rPr>
  </w:style>
  <w:style w:type="paragraph" w:styleId="40">
    <w:name w:val="toc 2"/>
    <w:basedOn w:val="1"/>
    <w:next w:val="1"/>
    <w:autoRedefine/>
    <w:unhideWhenUsed/>
    <w:qFormat/>
    <w:uiPriority w:val="39"/>
    <w:pPr>
      <w:tabs>
        <w:tab w:val="right" w:leader="dot" w:pos="8296"/>
      </w:tabs>
      <w:ind w:left="420" w:leftChars="200"/>
    </w:pPr>
  </w:style>
  <w:style w:type="paragraph" w:styleId="41">
    <w:name w:val="toc 9"/>
    <w:basedOn w:val="1"/>
    <w:next w:val="1"/>
    <w:autoRedefine/>
    <w:qFormat/>
    <w:uiPriority w:val="39"/>
    <w:pPr>
      <w:ind w:left="3360" w:leftChars="1600"/>
    </w:pPr>
    <w:rPr>
      <w:rFonts w:ascii="Calibri" w:hAnsi="Calibri" w:cs="Calibri"/>
      <w:szCs w:val="21"/>
    </w:rPr>
  </w:style>
  <w:style w:type="paragraph" w:styleId="42">
    <w:name w:val="HTML Preformatted"/>
    <w:basedOn w:val="1"/>
    <w:link w:val="90"/>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autoRedefine/>
    <w:unhideWhenUsed/>
    <w:qFormat/>
    <w:uiPriority w:val="0"/>
    <w:rPr>
      <w:rFonts w:ascii="Calibri" w:hAnsi="Calibri"/>
      <w:kern w:val="0"/>
      <w:sz w:val="24"/>
    </w:rPr>
  </w:style>
  <w:style w:type="paragraph" w:styleId="44">
    <w:name w:val="Title"/>
    <w:basedOn w:val="1"/>
    <w:next w:val="1"/>
    <w:link w:val="91"/>
    <w:autoRedefine/>
    <w:qFormat/>
    <w:uiPriority w:val="99"/>
    <w:pPr>
      <w:spacing w:before="240" w:after="60"/>
      <w:jc w:val="center"/>
      <w:outlineLvl w:val="0"/>
    </w:pPr>
    <w:rPr>
      <w:rFonts w:ascii="Cambria" w:hAnsi="Cambria"/>
      <w:b/>
      <w:bCs/>
      <w:sz w:val="32"/>
      <w:szCs w:val="32"/>
    </w:rPr>
  </w:style>
  <w:style w:type="paragraph" w:styleId="45">
    <w:name w:val="annotation subject"/>
    <w:basedOn w:val="17"/>
    <w:next w:val="17"/>
    <w:link w:val="92"/>
    <w:autoRedefine/>
    <w:qFormat/>
    <w:uiPriority w:val="99"/>
    <w:rPr>
      <w:b/>
      <w:bCs/>
    </w:rPr>
  </w:style>
  <w:style w:type="paragraph" w:styleId="46">
    <w:name w:val="Body Text First Indent 2"/>
    <w:basedOn w:val="22"/>
    <w:next w:val="1"/>
    <w:unhideWhenUsed/>
    <w:qFormat/>
    <w:uiPriority w:val="0"/>
    <w:pPr>
      <w:autoSpaceDE w:val="0"/>
      <w:ind w:firstLine="420" w:firstLineChars="200"/>
    </w:pPr>
    <w:rPr>
      <w:rFonts w:ascii="Arial" w:hAnsi="Arial" w:cs="Arial"/>
    </w:rPr>
  </w:style>
  <w:style w:type="table" w:styleId="48">
    <w:name w:val="Table Grid"/>
    <w:basedOn w:val="4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0">
    <w:name w:val="Strong"/>
    <w:autoRedefine/>
    <w:qFormat/>
    <w:uiPriority w:val="22"/>
    <w:rPr>
      <w:b/>
      <w:bCs/>
    </w:rPr>
  </w:style>
  <w:style w:type="character" w:styleId="51">
    <w:name w:val="endnote reference"/>
    <w:autoRedefine/>
    <w:unhideWhenUsed/>
    <w:qFormat/>
    <w:uiPriority w:val="99"/>
    <w:rPr>
      <w:vertAlign w:val="superscript"/>
    </w:rPr>
  </w:style>
  <w:style w:type="character" w:styleId="52">
    <w:name w:val="page number"/>
    <w:autoRedefine/>
    <w:qFormat/>
    <w:uiPriority w:val="99"/>
  </w:style>
  <w:style w:type="character" w:styleId="53">
    <w:name w:val="Emphasis"/>
    <w:autoRedefine/>
    <w:qFormat/>
    <w:uiPriority w:val="99"/>
    <w:rPr>
      <w:i/>
      <w:iCs/>
    </w:rPr>
  </w:style>
  <w:style w:type="character" w:styleId="54">
    <w:name w:val="HTML Definition"/>
    <w:basedOn w:val="49"/>
    <w:autoRedefine/>
    <w:unhideWhenUsed/>
    <w:qFormat/>
    <w:uiPriority w:val="99"/>
  </w:style>
  <w:style w:type="character" w:styleId="55">
    <w:name w:val="HTML Typewriter"/>
    <w:basedOn w:val="49"/>
    <w:autoRedefine/>
    <w:unhideWhenUsed/>
    <w:qFormat/>
    <w:uiPriority w:val="99"/>
    <w:rPr>
      <w:rFonts w:hint="default" w:ascii="monospace" w:hAnsi="monospace" w:eastAsia="monospace" w:cs="monospace"/>
      <w:sz w:val="20"/>
    </w:rPr>
  </w:style>
  <w:style w:type="character" w:styleId="56">
    <w:name w:val="HTML Acronym"/>
    <w:basedOn w:val="49"/>
    <w:autoRedefine/>
    <w:unhideWhenUsed/>
    <w:qFormat/>
    <w:uiPriority w:val="99"/>
  </w:style>
  <w:style w:type="character" w:styleId="57">
    <w:name w:val="HTML Variable"/>
    <w:basedOn w:val="49"/>
    <w:autoRedefine/>
    <w:unhideWhenUsed/>
    <w:qFormat/>
    <w:uiPriority w:val="99"/>
  </w:style>
  <w:style w:type="character" w:styleId="58">
    <w:name w:val="Hyperlink"/>
    <w:autoRedefine/>
    <w:unhideWhenUsed/>
    <w:qFormat/>
    <w:uiPriority w:val="99"/>
    <w:rPr>
      <w:color w:val="0000FF"/>
      <w:u w:val="single"/>
    </w:rPr>
  </w:style>
  <w:style w:type="character" w:styleId="59">
    <w:name w:val="HTML Code"/>
    <w:basedOn w:val="49"/>
    <w:autoRedefine/>
    <w:unhideWhenUsed/>
    <w:qFormat/>
    <w:uiPriority w:val="99"/>
    <w:rPr>
      <w:rFonts w:hint="default" w:ascii="monospace" w:hAnsi="monospace" w:eastAsia="monospace" w:cs="monospace"/>
      <w:sz w:val="20"/>
    </w:rPr>
  </w:style>
  <w:style w:type="character" w:styleId="60">
    <w:name w:val="annotation reference"/>
    <w:autoRedefine/>
    <w:qFormat/>
    <w:uiPriority w:val="0"/>
    <w:rPr>
      <w:sz w:val="21"/>
      <w:szCs w:val="21"/>
    </w:rPr>
  </w:style>
  <w:style w:type="character" w:styleId="61">
    <w:name w:val="HTML Cite"/>
    <w:basedOn w:val="49"/>
    <w:autoRedefine/>
    <w:unhideWhenUsed/>
    <w:qFormat/>
    <w:uiPriority w:val="99"/>
  </w:style>
  <w:style w:type="character" w:styleId="62">
    <w:name w:val="footnote reference"/>
    <w:autoRedefine/>
    <w:unhideWhenUsed/>
    <w:qFormat/>
    <w:uiPriority w:val="0"/>
    <w:rPr>
      <w:vertAlign w:val="superscript"/>
    </w:rPr>
  </w:style>
  <w:style w:type="character" w:styleId="63">
    <w:name w:val="HTML Keyboard"/>
    <w:basedOn w:val="49"/>
    <w:autoRedefine/>
    <w:unhideWhenUsed/>
    <w:qFormat/>
    <w:uiPriority w:val="99"/>
    <w:rPr>
      <w:rFonts w:hint="default" w:ascii="monospace" w:hAnsi="monospace" w:eastAsia="monospace" w:cs="monospace"/>
      <w:sz w:val="20"/>
    </w:rPr>
  </w:style>
  <w:style w:type="character" w:styleId="64">
    <w:name w:val="HTML Sample"/>
    <w:basedOn w:val="49"/>
    <w:autoRedefine/>
    <w:unhideWhenUsed/>
    <w:qFormat/>
    <w:uiPriority w:val="99"/>
    <w:rPr>
      <w:rFonts w:ascii="monospace" w:hAnsi="monospace" w:eastAsia="monospace" w:cs="monospace"/>
    </w:rPr>
  </w:style>
  <w:style w:type="paragraph" w:customStyle="1" w:styleId="65">
    <w:name w:val="font5"/>
    <w:basedOn w:val="1"/>
    <w:next w:val="29"/>
    <w:qFormat/>
    <w:uiPriority w:val="0"/>
    <w:pPr>
      <w:spacing w:before="280" w:after="280"/>
    </w:pPr>
    <w:rPr>
      <w:rFonts w:ascii="宋体"/>
      <w:sz w:val="18"/>
    </w:rPr>
  </w:style>
  <w:style w:type="paragraph" w:customStyle="1" w:styleId="66">
    <w:name w:val="正文1"/>
    <w:basedOn w:val="1"/>
    <w:autoRedefine/>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 w:type="character" w:customStyle="1" w:styleId="67">
    <w:name w:val="标题 1 Char"/>
    <w:link w:val="2"/>
    <w:autoRedefine/>
    <w:qFormat/>
    <w:uiPriority w:val="99"/>
    <w:rPr>
      <w:b/>
      <w:bCs/>
      <w:kern w:val="44"/>
      <w:sz w:val="44"/>
      <w:szCs w:val="44"/>
    </w:rPr>
  </w:style>
  <w:style w:type="character" w:customStyle="1" w:styleId="68">
    <w:name w:val="标题 2 Char1"/>
    <w:link w:val="3"/>
    <w:autoRedefine/>
    <w:qFormat/>
    <w:uiPriority w:val="9"/>
    <w:rPr>
      <w:rFonts w:ascii="Cambria" w:hAnsi="Cambria" w:eastAsia="宋体" w:cs="Times New Roman"/>
      <w:b/>
      <w:bCs/>
      <w:kern w:val="2"/>
      <w:sz w:val="32"/>
      <w:szCs w:val="32"/>
    </w:rPr>
  </w:style>
  <w:style w:type="character" w:customStyle="1" w:styleId="69">
    <w:name w:val="标题 3 Char"/>
    <w:link w:val="4"/>
    <w:autoRedefine/>
    <w:qFormat/>
    <w:uiPriority w:val="99"/>
    <w:rPr>
      <w:b/>
      <w:bCs/>
      <w:kern w:val="2"/>
      <w:sz w:val="32"/>
      <w:szCs w:val="32"/>
    </w:rPr>
  </w:style>
  <w:style w:type="character" w:customStyle="1" w:styleId="70">
    <w:name w:val="标题 4 Char"/>
    <w:link w:val="5"/>
    <w:autoRedefine/>
    <w:qFormat/>
    <w:uiPriority w:val="99"/>
    <w:rPr>
      <w:rFonts w:ascii="Arial" w:hAnsi="Arial"/>
      <w:b/>
      <w:bCs/>
      <w:kern w:val="2"/>
      <w:sz w:val="28"/>
      <w:szCs w:val="28"/>
    </w:rPr>
  </w:style>
  <w:style w:type="character" w:customStyle="1" w:styleId="71">
    <w:name w:val="标题 5 Char"/>
    <w:link w:val="6"/>
    <w:autoRedefine/>
    <w:qFormat/>
    <w:uiPriority w:val="99"/>
    <w:rPr>
      <w:rFonts w:ascii="Times New Roman" w:hAnsi="Times New Roman"/>
      <w:b/>
      <w:bCs/>
      <w:kern w:val="2"/>
      <w:sz w:val="28"/>
      <w:szCs w:val="28"/>
    </w:rPr>
  </w:style>
  <w:style w:type="character" w:customStyle="1" w:styleId="72">
    <w:name w:val="正文缩进 Char"/>
    <w:link w:val="7"/>
    <w:autoRedefine/>
    <w:qFormat/>
    <w:uiPriority w:val="99"/>
    <w:rPr>
      <w:kern w:val="2"/>
      <w:sz w:val="21"/>
    </w:rPr>
  </w:style>
  <w:style w:type="character" w:customStyle="1" w:styleId="73">
    <w:name w:val="标题 6 Char"/>
    <w:link w:val="8"/>
    <w:autoRedefine/>
    <w:qFormat/>
    <w:uiPriority w:val="9"/>
    <w:rPr>
      <w:rFonts w:ascii="Cambria" w:hAnsi="Cambria"/>
      <w:b/>
      <w:bCs/>
      <w:sz w:val="24"/>
      <w:szCs w:val="24"/>
    </w:rPr>
  </w:style>
  <w:style w:type="character" w:customStyle="1" w:styleId="74">
    <w:name w:val="标题 7 Char"/>
    <w:link w:val="9"/>
    <w:autoRedefine/>
    <w:qFormat/>
    <w:uiPriority w:val="9"/>
    <w:rPr>
      <w:b/>
      <w:bCs/>
      <w:sz w:val="24"/>
      <w:szCs w:val="24"/>
    </w:rPr>
  </w:style>
  <w:style w:type="character" w:customStyle="1" w:styleId="75">
    <w:name w:val="标题 8 Char1"/>
    <w:link w:val="10"/>
    <w:autoRedefine/>
    <w:semiHidden/>
    <w:qFormat/>
    <w:uiPriority w:val="9"/>
    <w:rPr>
      <w:rFonts w:ascii="等线 Light" w:hAnsi="等线 Light" w:eastAsia="等线 Light" w:cs="Times New Roman"/>
      <w:kern w:val="2"/>
      <w:sz w:val="24"/>
      <w:szCs w:val="24"/>
    </w:rPr>
  </w:style>
  <w:style w:type="character" w:customStyle="1" w:styleId="76">
    <w:name w:val="标题 9 Char"/>
    <w:link w:val="11"/>
    <w:autoRedefine/>
    <w:qFormat/>
    <w:uiPriority w:val="9"/>
    <w:rPr>
      <w:rFonts w:ascii="Cambria" w:hAnsi="Cambria"/>
      <w:szCs w:val="21"/>
    </w:rPr>
  </w:style>
  <w:style w:type="character" w:customStyle="1" w:styleId="77">
    <w:name w:val="文档结构图 Char"/>
    <w:link w:val="16"/>
    <w:autoRedefine/>
    <w:qFormat/>
    <w:uiPriority w:val="99"/>
    <w:rPr>
      <w:kern w:val="2"/>
      <w:sz w:val="24"/>
      <w:szCs w:val="24"/>
      <w:shd w:val="clear" w:color="auto" w:fill="000080"/>
    </w:rPr>
  </w:style>
  <w:style w:type="character" w:customStyle="1" w:styleId="78">
    <w:name w:val="批注文字 Char3"/>
    <w:link w:val="17"/>
    <w:autoRedefine/>
    <w:qFormat/>
    <w:uiPriority w:val="99"/>
    <w:rPr>
      <w:rFonts w:ascii="Times New Roman" w:hAnsi="Times New Roman"/>
      <w:kern w:val="2"/>
      <w:sz w:val="21"/>
      <w:szCs w:val="24"/>
    </w:rPr>
  </w:style>
  <w:style w:type="character" w:customStyle="1" w:styleId="79">
    <w:name w:val="正文文本 3 Char"/>
    <w:link w:val="20"/>
    <w:autoRedefine/>
    <w:semiHidden/>
    <w:qFormat/>
    <w:uiPriority w:val="99"/>
    <w:rPr>
      <w:kern w:val="2"/>
      <w:sz w:val="16"/>
      <w:szCs w:val="16"/>
    </w:rPr>
  </w:style>
  <w:style w:type="character" w:customStyle="1" w:styleId="80">
    <w:name w:val="正文文本 Char1"/>
    <w:link w:val="21"/>
    <w:autoRedefine/>
    <w:qFormat/>
    <w:uiPriority w:val="99"/>
    <w:rPr>
      <w:rFonts w:ascii="Times New Roman" w:hAnsi="Times New Roman"/>
      <w:kern w:val="2"/>
      <w:sz w:val="21"/>
      <w:szCs w:val="24"/>
    </w:rPr>
  </w:style>
  <w:style w:type="character" w:customStyle="1" w:styleId="81">
    <w:name w:val="正文文本缩进 Char"/>
    <w:link w:val="22"/>
    <w:autoRedefine/>
    <w:qFormat/>
    <w:uiPriority w:val="0"/>
    <w:rPr>
      <w:rFonts w:ascii="仿宋_GB2312" w:hAnsi="Times New Roman" w:eastAsia="仿宋_GB2312" w:cs="Times New Roman"/>
      <w:sz w:val="32"/>
      <w:szCs w:val="20"/>
    </w:rPr>
  </w:style>
  <w:style w:type="character" w:customStyle="1" w:styleId="82">
    <w:name w:val="纯文本 Char3"/>
    <w:link w:val="28"/>
    <w:autoRedefine/>
    <w:qFormat/>
    <w:uiPriority w:val="99"/>
    <w:rPr>
      <w:rFonts w:ascii="宋体" w:hAnsi="Courier New" w:eastAsia="宋体" w:cs="Courier New"/>
      <w:szCs w:val="21"/>
    </w:rPr>
  </w:style>
  <w:style w:type="character" w:customStyle="1" w:styleId="83">
    <w:name w:val="日期 Char"/>
    <w:link w:val="30"/>
    <w:autoRedefine/>
    <w:qFormat/>
    <w:uiPriority w:val="99"/>
    <w:rPr>
      <w:rFonts w:ascii="Times New Roman" w:hAnsi="Times New Roman"/>
      <w:kern w:val="2"/>
      <w:sz w:val="21"/>
      <w:szCs w:val="24"/>
    </w:rPr>
  </w:style>
  <w:style w:type="character" w:customStyle="1" w:styleId="84">
    <w:name w:val="正文文本缩进 2 Char"/>
    <w:link w:val="31"/>
    <w:autoRedefine/>
    <w:qFormat/>
    <w:uiPriority w:val="99"/>
    <w:rPr>
      <w:kern w:val="2"/>
      <w:sz w:val="24"/>
      <w:szCs w:val="24"/>
    </w:rPr>
  </w:style>
  <w:style w:type="character" w:customStyle="1" w:styleId="85">
    <w:name w:val="批注框文本 Char"/>
    <w:link w:val="32"/>
    <w:autoRedefine/>
    <w:qFormat/>
    <w:locked/>
    <w:uiPriority w:val="99"/>
    <w:rPr>
      <w:kern w:val="2"/>
      <w:sz w:val="18"/>
      <w:szCs w:val="18"/>
    </w:rPr>
  </w:style>
  <w:style w:type="character" w:customStyle="1" w:styleId="86">
    <w:name w:val="页脚 Char"/>
    <w:link w:val="33"/>
    <w:autoRedefine/>
    <w:qFormat/>
    <w:uiPriority w:val="99"/>
    <w:rPr>
      <w:sz w:val="18"/>
      <w:szCs w:val="18"/>
    </w:rPr>
  </w:style>
  <w:style w:type="character" w:customStyle="1" w:styleId="87">
    <w:name w:val="页眉 Char"/>
    <w:link w:val="34"/>
    <w:autoRedefine/>
    <w:qFormat/>
    <w:uiPriority w:val="99"/>
    <w:rPr>
      <w:sz w:val="18"/>
      <w:szCs w:val="18"/>
    </w:rPr>
  </w:style>
  <w:style w:type="character" w:customStyle="1" w:styleId="88">
    <w:name w:val="副标题 Char"/>
    <w:link w:val="37"/>
    <w:autoRedefine/>
    <w:qFormat/>
    <w:uiPriority w:val="11"/>
    <w:rPr>
      <w:rFonts w:ascii="Cambria" w:hAnsi="Cambria"/>
      <w:b/>
      <w:bCs/>
      <w:kern w:val="28"/>
      <w:sz w:val="32"/>
      <w:szCs w:val="32"/>
    </w:rPr>
  </w:style>
  <w:style w:type="character" w:customStyle="1" w:styleId="89">
    <w:name w:val="脚注文本 Char"/>
    <w:link w:val="38"/>
    <w:autoRedefine/>
    <w:qFormat/>
    <w:uiPriority w:val="99"/>
    <w:rPr>
      <w:sz w:val="18"/>
      <w:szCs w:val="18"/>
    </w:rPr>
  </w:style>
  <w:style w:type="character" w:customStyle="1" w:styleId="90">
    <w:name w:val="HTML 预设格式 Char"/>
    <w:link w:val="42"/>
    <w:autoRedefine/>
    <w:qFormat/>
    <w:uiPriority w:val="99"/>
    <w:rPr>
      <w:rFonts w:ascii="宋体" w:hAnsi="宋体"/>
      <w:sz w:val="24"/>
      <w:szCs w:val="24"/>
    </w:rPr>
  </w:style>
  <w:style w:type="character" w:customStyle="1" w:styleId="91">
    <w:name w:val="标题 Char"/>
    <w:link w:val="44"/>
    <w:autoRedefine/>
    <w:qFormat/>
    <w:uiPriority w:val="99"/>
    <w:rPr>
      <w:rFonts w:ascii="Cambria" w:hAnsi="Cambria"/>
      <w:b/>
      <w:bCs/>
      <w:kern w:val="2"/>
      <w:sz w:val="32"/>
      <w:szCs w:val="32"/>
    </w:rPr>
  </w:style>
  <w:style w:type="character" w:customStyle="1" w:styleId="92">
    <w:name w:val="批注主题 Char"/>
    <w:link w:val="45"/>
    <w:autoRedefine/>
    <w:qFormat/>
    <w:uiPriority w:val="99"/>
    <w:rPr>
      <w:rFonts w:ascii="Times New Roman" w:hAnsi="Times New Roman"/>
      <w:b/>
      <w:bCs/>
      <w:kern w:val="2"/>
      <w:sz w:val="21"/>
      <w:szCs w:val="24"/>
    </w:rPr>
  </w:style>
  <w:style w:type="character" w:customStyle="1" w:styleId="93">
    <w:name w:val="访问过的超链接1"/>
    <w:autoRedefine/>
    <w:qFormat/>
    <w:uiPriority w:val="99"/>
    <w:rPr>
      <w:color w:val="800080"/>
      <w:u w:val="single"/>
    </w:rPr>
  </w:style>
  <w:style w:type="character" w:customStyle="1" w:styleId="94">
    <w:name w:val="书籍标题1"/>
    <w:autoRedefine/>
    <w:qFormat/>
    <w:uiPriority w:val="99"/>
    <w:rPr>
      <w:b/>
      <w:bCs/>
      <w:smallCaps/>
      <w:spacing w:val="5"/>
    </w:rPr>
  </w:style>
  <w:style w:type="character" w:customStyle="1" w:styleId="95">
    <w:name w:val="Body text|5_"/>
    <w:link w:val="96"/>
    <w:autoRedefine/>
    <w:qFormat/>
    <w:uiPriority w:val="0"/>
    <w:rPr>
      <w:rFonts w:ascii="宋体" w:hAnsi="宋体" w:cs="宋体"/>
      <w:sz w:val="52"/>
      <w:szCs w:val="52"/>
      <w:lang w:val="zh-CN" w:bidi="zh-CN"/>
    </w:rPr>
  </w:style>
  <w:style w:type="paragraph" w:customStyle="1" w:styleId="96">
    <w:name w:val="Body text|5"/>
    <w:basedOn w:val="1"/>
    <w:link w:val="95"/>
    <w:autoRedefine/>
    <w:qFormat/>
    <w:uiPriority w:val="0"/>
    <w:pPr>
      <w:jc w:val="center"/>
    </w:pPr>
    <w:rPr>
      <w:rFonts w:ascii="宋体" w:hAnsi="宋体" w:cs="宋体"/>
      <w:kern w:val="0"/>
      <w:sz w:val="52"/>
      <w:szCs w:val="52"/>
      <w:lang w:val="zh-CN" w:bidi="zh-CN"/>
    </w:rPr>
  </w:style>
  <w:style w:type="character" w:customStyle="1" w:styleId="97">
    <w:name w:val="Body text|1_"/>
    <w:link w:val="98"/>
    <w:autoRedefine/>
    <w:qFormat/>
    <w:uiPriority w:val="0"/>
    <w:rPr>
      <w:rFonts w:ascii="宋体" w:hAnsi="宋体" w:cs="宋体"/>
      <w:kern w:val="2"/>
      <w:sz w:val="21"/>
      <w:lang w:val="zh-CN" w:bidi="zh-CN"/>
    </w:rPr>
  </w:style>
  <w:style w:type="paragraph" w:customStyle="1" w:styleId="98">
    <w:name w:val="Body text|1"/>
    <w:basedOn w:val="1"/>
    <w:link w:val="97"/>
    <w:autoRedefine/>
    <w:qFormat/>
    <w:uiPriority w:val="0"/>
    <w:pPr>
      <w:spacing w:line="360" w:lineRule="auto"/>
      <w:ind w:firstLine="400"/>
    </w:pPr>
    <w:rPr>
      <w:rFonts w:ascii="宋体" w:hAnsi="宋体" w:cs="宋体"/>
      <w:szCs w:val="20"/>
      <w:lang w:val="zh-CN" w:bidi="zh-CN"/>
    </w:rPr>
  </w:style>
  <w:style w:type="character" w:customStyle="1" w:styleId="99">
    <w:name w:val="Table caption|1_"/>
    <w:link w:val="100"/>
    <w:autoRedefine/>
    <w:qFormat/>
    <w:uiPriority w:val="0"/>
    <w:rPr>
      <w:rFonts w:ascii="宋体" w:hAnsi="宋体" w:cs="宋体"/>
      <w:lang w:val="zh-CN" w:bidi="zh-CN"/>
    </w:rPr>
  </w:style>
  <w:style w:type="paragraph" w:customStyle="1" w:styleId="100">
    <w:name w:val="Table caption|1"/>
    <w:basedOn w:val="1"/>
    <w:link w:val="99"/>
    <w:autoRedefine/>
    <w:qFormat/>
    <w:uiPriority w:val="0"/>
    <w:pPr>
      <w:jc w:val="left"/>
    </w:pPr>
    <w:rPr>
      <w:rFonts w:ascii="宋体" w:hAnsi="宋体" w:cs="宋体"/>
      <w:kern w:val="0"/>
      <w:sz w:val="20"/>
      <w:szCs w:val="20"/>
      <w:lang w:val="zh-CN" w:bidi="zh-CN"/>
    </w:rPr>
  </w:style>
  <w:style w:type="character" w:customStyle="1" w:styleId="101">
    <w:name w:val="Heading #4|1_"/>
    <w:link w:val="102"/>
    <w:autoRedefine/>
    <w:qFormat/>
    <w:uiPriority w:val="0"/>
    <w:rPr>
      <w:rFonts w:ascii="宋体" w:hAnsi="宋体" w:cs="宋体"/>
      <w:lang w:val="zh-CN" w:bidi="zh-CN"/>
    </w:rPr>
  </w:style>
  <w:style w:type="paragraph" w:customStyle="1" w:styleId="102">
    <w:name w:val="Heading #4|1"/>
    <w:basedOn w:val="1"/>
    <w:link w:val="101"/>
    <w:autoRedefine/>
    <w:qFormat/>
    <w:uiPriority w:val="0"/>
    <w:pPr>
      <w:spacing w:after="120"/>
      <w:jc w:val="left"/>
      <w:outlineLvl w:val="3"/>
    </w:pPr>
    <w:rPr>
      <w:rFonts w:ascii="宋体" w:hAnsi="宋体" w:cs="宋体"/>
      <w:kern w:val="0"/>
      <w:sz w:val="20"/>
      <w:szCs w:val="20"/>
      <w:lang w:val="zh-CN" w:bidi="zh-CN"/>
    </w:rPr>
  </w:style>
  <w:style w:type="character" w:customStyle="1" w:styleId="103">
    <w:name w:val="Body text|2_"/>
    <w:link w:val="104"/>
    <w:autoRedefine/>
    <w:qFormat/>
    <w:uiPriority w:val="0"/>
    <w:rPr>
      <w:sz w:val="21"/>
    </w:rPr>
  </w:style>
  <w:style w:type="paragraph" w:customStyle="1" w:styleId="104">
    <w:name w:val="Body text|2"/>
    <w:basedOn w:val="1"/>
    <w:link w:val="103"/>
    <w:autoRedefine/>
    <w:qFormat/>
    <w:uiPriority w:val="0"/>
    <w:pPr>
      <w:spacing w:after="30"/>
      <w:ind w:firstLine="420"/>
      <w:jc w:val="left"/>
    </w:pPr>
    <w:rPr>
      <w:kern w:val="0"/>
      <w:szCs w:val="20"/>
    </w:rPr>
  </w:style>
  <w:style w:type="character" w:customStyle="1" w:styleId="105">
    <w:name w:val="Heading #1|1_"/>
    <w:link w:val="106"/>
    <w:autoRedefine/>
    <w:qFormat/>
    <w:uiPriority w:val="0"/>
    <w:rPr>
      <w:rFonts w:ascii="宋体" w:hAnsi="宋体" w:cs="宋体"/>
      <w:sz w:val="38"/>
      <w:szCs w:val="38"/>
      <w:lang w:val="zh-CN" w:bidi="zh-CN"/>
    </w:rPr>
  </w:style>
  <w:style w:type="paragraph" w:customStyle="1" w:styleId="106">
    <w:name w:val="Heading #1|1"/>
    <w:basedOn w:val="1"/>
    <w:link w:val="105"/>
    <w:autoRedefine/>
    <w:qFormat/>
    <w:uiPriority w:val="0"/>
    <w:pPr>
      <w:spacing w:after="440" w:line="564" w:lineRule="exact"/>
      <w:jc w:val="center"/>
      <w:outlineLvl w:val="0"/>
    </w:pPr>
    <w:rPr>
      <w:rFonts w:ascii="宋体" w:hAnsi="宋体" w:cs="宋体"/>
      <w:kern w:val="0"/>
      <w:sz w:val="38"/>
      <w:szCs w:val="38"/>
      <w:lang w:val="zh-CN" w:bidi="zh-CN"/>
    </w:rPr>
  </w:style>
  <w:style w:type="character" w:customStyle="1" w:styleId="107">
    <w:name w:val="Header or footer|2_"/>
    <w:link w:val="108"/>
    <w:autoRedefine/>
    <w:qFormat/>
    <w:uiPriority w:val="0"/>
    <w:rPr>
      <w:lang w:val="zh-CN" w:bidi="zh-CN"/>
    </w:rPr>
  </w:style>
  <w:style w:type="paragraph" w:customStyle="1" w:styleId="108">
    <w:name w:val="Header or footer|2"/>
    <w:basedOn w:val="1"/>
    <w:link w:val="107"/>
    <w:autoRedefine/>
    <w:qFormat/>
    <w:uiPriority w:val="0"/>
    <w:pPr>
      <w:jc w:val="left"/>
    </w:pPr>
    <w:rPr>
      <w:kern w:val="0"/>
      <w:sz w:val="20"/>
      <w:szCs w:val="20"/>
      <w:lang w:val="zh-CN" w:bidi="zh-CN"/>
    </w:rPr>
  </w:style>
  <w:style w:type="character" w:customStyle="1" w:styleId="109">
    <w:name w:val="Title Char"/>
    <w:autoRedefine/>
    <w:qFormat/>
    <w:uiPriority w:val="99"/>
    <w:rPr>
      <w:rFonts w:ascii="Cambria" w:hAnsi="Cambria" w:cs="Cambria"/>
      <w:b/>
      <w:bCs/>
      <w:sz w:val="32"/>
      <w:szCs w:val="32"/>
    </w:rPr>
  </w:style>
  <w:style w:type="character" w:customStyle="1" w:styleId="110">
    <w:name w:val="Body text|3_"/>
    <w:link w:val="111"/>
    <w:autoRedefine/>
    <w:qFormat/>
    <w:uiPriority w:val="0"/>
    <w:rPr>
      <w:rFonts w:ascii="宋体" w:hAnsi="宋体" w:cs="宋体"/>
      <w:lang w:val="zh-CN" w:bidi="zh-CN"/>
    </w:rPr>
  </w:style>
  <w:style w:type="paragraph" w:customStyle="1" w:styleId="111">
    <w:name w:val="Body text|3"/>
    <w:basedOn w:val="1"/>
    <w:link w:val="110"/>
    <w:autoRedefine/>
    <w:qFormat/>
    <w:uiPriority w:val="0"/>
    <w:pPr>
      <w:spacing w:after="340"/>
      <w:jc w:val="left"/>
    </w:pPr>
    <w:rPr>
      <w:rFonts w:ascii="宋体" w:hAnsi="宋体" w:cs="宋体"/>
      <w:kern w:val="0"/>
      <w:sz w:val="20"/>
      <w:szCs w:val="20"/>
      <w:lang w:val="zh-CN" w:bidi="zh-CN"/>
    </w:rPr>
  </w:style>
  <w:style w:type="character" w:customStyle="1" w:styleId="112">
    <w:name w:val="Table of contents|1_"/>
    <w:link w:val="113"/>
    <w:autoRedefine/>
    <w:qFormat/>
    <w:uiPriority w:val="0"/>
    <w:rPr>
      <w:rFonts w:ascii="宋体" w:hAnsi="宋体" w:cs="宋体"/>
      <w:lang w:val="zh-CN" w:bidi="zh-CN"/>
    </w:rPr>
  </w:style>
  <w:style w:type="paragraph" w:customStyle="1" w:styleId="113">
    <w:name w:val="Table of contents|1"/>
    <w:basedOn w:val="1"/>
    <w:link w:val="112"/>
    <w:autoRedefine/>
    <w:qFormat/>
    <w:uiPriority w:val="0"/>
    <w:pPr>
      <w:spacing w:after="100"/>
      <w:ind w:firstLine="600"/>
      <w:jc w:val="left"/>
    </w:pPr>
    <w:rPr>
      <w:rFonts w:ascii="宋体" w:hAnsi="宋体" w:cs="宋体"/>
      <w:kern w:val="0"/>
      <w:sz w:val="20"/>
      <w:szCs w:val="20"/>
      <w:lang w:val="zh-CN" w:bidi="zh-CN"/>
    </w:rPr>
  </w:style>
  <w:style w:type="character" w:customStyle="1" w:styleId="114">
    <w:name w:val="Date Char"/>
    <w:autoRedefine/>
    <w:qFormat/>
    <w:uiPriority w:val="99"/>
    <w:rPr>
      <w:rFonts w:eastAsia="宋体"/>
      <w:kern w:val="2"/>
      <w:sz w:val="24"/>
      <w:szCs w:val="24"/>
      <w:lang w:val="en-US" w:eastAsia="zh-CN"/>
    </w:rPr>
  </w:style>
  <w:style w:type="character" w:customStyle="1" w:styleId="115">
    <w:name w:val="Char Char9"/>
    <w:autoRedefine/>
    <w:qFormat/>
    <w:uiPriority w:val="99"/>
    <w:rPr>
      <w:rFonts w:eastAsia="宋体"/>
      <w:b/>
      <w:bCs/>
      <w:kern w:val="44"/>
      <w:sz w:val="44"/>
      <w:szCs w:val="44"/>
      <w:lang w:val="en-US" w:eastAsia="zh-CN"/>
    </w:rPr>
  </w:style>
  <w:style w:type="character" w:customStyle="1" w:styleId="116">
    <w:name w:val="Document Map Char"/>
    <w:autoRedefine/>
    <w:qFormat/>
    <w:uiPriority w:val="99"/>
    <w:rPr>
      <w:rFonts w:eastAsia="宋体"/>
      <w:kern w:val="2"/>
      <w:sz w:val="24"/>
      <w:szCs w:val="24"/>
      <w:lang w:val="en-US" w:eastAsia="zh-CN"/>
    </w:rPr>
  </w:style>
  <w:style w:type="character" w:customStyle="1" w:styleId="117">
    <w:name w:val="Header Char"/>
    <w:autoRedefine/>
    <w:qFormat/>
    <w:uiPriority w:val="99"/>
    <w:rPr>
      <w:rFonts w:eastAsia="宋体"/>
      <w:kern w:val="2"/>
      <w:sz w:val="18"/>
      <w:szCs w:val="18"/>
      <w:lang w:val="en-US" w:eastAsia="zh-CN"/>
    </w:rPr>
  </w:style>
  <w:style w:type="character" w:customStyle="1" w:styleId="118">
    <w:name w:val="明显参考1"/>
    <w:autoRedefine/>
    <w:qFormat/>
    <w:uiPriority w:val="99"/>
    <w:rPr>
      <w:b/>
      <w:bCs/>
      <w:smallCaps/>
      <w:color w:val="auto"/>
      <w:spacing w:val="5"/>
      <w:u w:val="single"/>
    </w:rPr>
  </w:style>
  <w:style w:type="character" w:customStyle="1" w:styleId="119">
    <w:name w:val="Heading 1 Char"/>
    <w:autoRedefine/>
    <w:qFormat/>
    <w:uiPriority w:val="99"/>
    <w:rPr>
      <w:rFonts w:eastAsia="宋体"/>
      <w:b/>
      <w:bCs/>
      <w:kern w:val="44"/>
      <w:sz w:val="44"/>
      <w:szCs w:val="44"/>
      <w:lang w:val="en-US" w:eastAsia="zh-CN"/>
    </w:rPr>
  </w:style>
  <w:style w:type="character" w:customStyle="1" w:styleId="120">
    <w:name w:val="Comment Text Char"/>
    <w:autoRedefine/>
    <w:qFormat/>
    <w:uiPriority w:val="99"/>
    <w:rPr>
      <w:sz w:val="24"/>
      <w:szCs w:val="24"/>
    </w:rPr>
  </w:style>
  <w:style w:type="character" w:customStyle="1" w:styleId="121">
    <w:name w:val="Char Char23"/>
    <w:autoRedefine/>
    <w:qFormat/>
    <w:uiPriority w:val="99"/>
    <w:rPr>
      <w:rFonts w:eastAsia="宋体"/>
      <w:b/>
      <w:bCs/>
      <w:kern w:val="44"/>
      <w:sz w:val="44"/>
      <w:szCs w:val="44"/>
      <w:lang w:val="en-US" w:eastAsia="zh-CN"/>
    </w:rPr>
  </w:style>
  <w:style w:type="character" w:customStyle="1" w:styleId="122">
    <w:name w:val="Char Char181"/>
    <w:autoRedefine/>
    <w:qFormat/>
    <w:uiPriority w:val="99"/>
    <w:rPr>
      <w:b/>
      <w:bCs/>
      <w:kern w:val="44"/>
      <w:sz w:val="44"/>
      <w:szCs w:val="44"/>
    </w:rPr>
  </w:style>
  <w:style w:type="character" w:customStyle="1" w:styleId="123">
    <w:name w:val="Char Char22"/>
    <w:autoRedefine/>
    <w:qFormat/>
    <w:uiPriority w:val="99"/>
    <w:rPr>
      <w:rFonts w:ascii="Times New Roman" w:hAnsi="Times New Roman" w:eastAsia="宋体" w:cs="Times New Roman"/>
      <w:b/>
      <w:bCs/>
      <w:kern w:val="44"/>
      <w:sz w:val="44"/>
      <w:szCs w:val="44"/>
    </w:rPr>
  </w:style>
  <w:style w:type="character" w:customStyle="1" w:styleId="124">
    <w:name w:val="引用 Char1"/>
    <w:autoRedefine/>
    <w:qFormat/>
    <w:uiPriority w:val="99"/>
    <w:rPr>
      <w:rFonts w:ascii="Times New Roman" w:hAnsi="Times New Roman" w:eastAsia="宋体" w:cs="Times New Roman"/>
      <w:i/>
      <w:iCs/>
      <w:color w:val="000000"/>
      <w:sz w:val="24"/>
      <w:szCs w:val="24"/>
    </w:rPr>
  </w:style>
  <w:style w:type="character" w:customStyle="1" w:styleId="125">
    <w:name w:val="Heading 3 Char1"/>
    <w:autoRedefine/>
    <w:qFormat/>
    <w:uiPriority w:val="99"/>
    <w:rPr>
      <w:rFonts w:eastAsia="宋体"/>
      <w:b/>
      <w:bCs/>
      <w:kern w:val="2"/>
      <w:sz w:val="32"/>
      <w:szCs w:val="32"/>
      <w:lang w:val="en-US" w:eastAsia="zh-CN"/>
    </w:rPr>
  </w:style>
  <w:style w:type="character" w:customStyle="1" w:styleId="126">
    <w:name w:val="明显强调1"/>
    <w:autoRedefine/>
    <w:qFormat/>
    <w:uiPriority w:val="99"/>
    <w:rPr>
      <w:b/>
      <w:bCs/>
      <w:i/>
      <w:iCs/>
      <w:color w:val="4F81BD"/>
    </w:rPr>
  </w:style>
  <w:style w:type="character" w:customStyle="1" w:styleId="127">
    <w:name w:val="明显引用 Char1"/>
    <w:autoRedefine/>
    <w:qFormat/>
    <w:uiPriority w:val="99"/>
    <w:rPr>
      <w:rFonts w:ascii="Times New Roman" w:hAnsi="Times New Roman" w:eastAsia="宋体" w:cs="Times New Roman"/>
      <w:b/>
      <w:bCs/>
      <w:i/>
      <w:iCs/>
      <w:color w:val="4F81BD"/>
      <w:sz w:val="24"/>
      <w:szCs w:val="24"/>
    </w:rPr>
  </w:style>
  <w:style w:type="character" w:customStyle="1" w:styleId="128">
    <w:name w:val="标题 Char2"/>
    <w:autoRedefine/>
    <w:qFormat/>
    <w:uiPriority w:val="99"/>
    <w:rPr>
      <w:rFonts w:ascii="Cambria" w:hAnsi="Cambria" w:eastAsia="宋体" w:cs="Cambria"/>
      <w:b/>
      <w:bCs/>
      <w:sz w:val="32"/>
      <w:szCs w:val="32"/>
    </w:rPr>
  </w:style>
  <w:style w:type="character" w:customStyle="1" w:styleId="129">
    <w:name w:val="标题 Char1"/>
    <w:autoRedefine/>
    <w:qFormat/>
    <w:uiPriority w:val="99"/>
    <w:rPr>
      <w:rFonts w:ascii="Cambria" w:hAnsi="Cambria" w:eastAsia="宋体" w:cs="Cambria"/>
      <w:b/>
      <w:bCs/>
      <w:sz w:val="32"/>
      <w:szCs w:val="32"/>
    </w:rPr>
  </w:style>
  <w:style w:type="character" w:customStyle="1" w:styleId="130">
    <w:name w:val="Heading 5 Char"/>
    <w:autoRedefine/>
    <w:qFormat/>
    <w:uiPriority w:val="99"/>
    <w:rPr>
      <w:rFonts w:eastAsia="宋体"/>
      <w:b/>
      <w:bCs/>
      <w:kern w:val="2"/>
      <w:sz w:val="28"/>
      <w:szCs w:val="28"/>
      <w:lang w:val="en-US" w:eastAsia="zh-CN"/>
    </w:rPr>
  </w:style>
  <w:style w:type="character" w:customStyle="1" w:styleId="131">
    <w:name w:val="标题 1 字符1"/>
    <w:autoRedefine/>
    <w:qFormat/>
    <w:uiPriority w:val="0"/>
    <w:rPr>
      <w:b/>
      <w:bCs/>
      <w:kern w:val="44"/>
      <w:sz w:val="44"/>
      <w:szCs w:val="44"/>
    </w:rPr>
  </w:style>
  <w:style w:type="character" w:customStyle="1" w:styleId="132">
    <w:name w:val="明显引用 Char"/>
    <w:link w:val="133"/>
    <w:autoRedefine/>
    <w:qFormat/>
    <w:locked/>
    <w:uiPriority w:val="99"/>
    <w:rPr>
      <w:b/>
      <w:bCs/>
      <w:i/>
      <w:iCs/>
      <w:color w:val="4F81BD"/>
    </w:rPr>
  </w:style>
  <w:style w:type="paragraph" w:customStyle="1" w:styleId="133">
    <w:name w:val="明显引用1"/>
    <w:basedOn w:val="1"/>
    <w:next w:val="1"/>
    <w:link w:val="132"/>
    <w:autoRedefine/>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34">
    <w:name w:val="textcontents"/>
    <w:autoRedefine/>
    <w:qFormat/>
    <w:uiPriority w:val="99"/>
  </w:style>
  <w:style w:type="character" w:customStyle="1" w:styleId="135">
    <w:name w:val="Char Char19"/>
    <w:autoRedefine/>
    <w:qFormat/>
    <w:uiPriority w:val="99"/>
    <w:rPr>
      <w:rFonts w:ascii="Arial" w:hAnsi="Arial" w:eastAsia="宋体" w:cs="Arial"/>
      <w:b/>
      <w:bCs/>
      <w:sz w:val="28"/>
      <w:szCs w:val="28"/>
    </w:rPr>
  </w:style>
  <w:style w:type="character" w:customStyle="1" w:styleId="136">
    <w:name w:val="批注文字 Char"/>
    <w:autoRedefine/>
    <w:qFormat/>
    <w:uiPriority w:val="99"/>
    <w:rPr>
      <w:rFonts w:ascii="Times New Roman" w:hAnsi="Times New Roman"/>
      <w:kern w:val="2"/>
      <w:sz w:val="21"/>
      <w:szCs w:val="24"/>
    </w:rPr>
  </w:style>
  <w:style w:type="character" w:customStyle="1" w:styleId="137">
    <w:name w:val="标题5 Char Char"/>
    <w:link w:val="138"/>
    <w:autoRedefine/>
    <w:qFormat/>
    <w:locked/>
    <w:uiPriority w:val="99"/>
    <w:rPr>
      <w:rFonts w:ascii="Arial" w:hAnsi="Arial" w:cs="Arial"/>
      <w:b/>
      <w:bCs/>
      <w:sz w:val="32"/>
      <w:szCs w:val="32"/>
    </w:rPr>
  </w:style>
  <w:style w:type="paragraph" w:customStyle="1" w:styleId="138">
    <w:name w:val="标题5"/>
    <w:basedOn w:val="4"/>
    <w:link w:val="137"/>
    <w:autoRedefine/>
    <w:qFormat/>
    <w:uiPriority w:val="99"/>
    <w:pPr>
      <w:spacing w:line="413" w:lineRule="auto"/>
    </w:pPr>
    <w:rPr>
      <w:rFonts w:ascii="Arial" w:hAnsi="Arial"/>
      <w:kern w:val="0"/>
    </w:rPr>
  </w:style>
  <w:style w:type="character" w:customStyle="1" w:styleId="139">
    <w:name w:val="纯文本 字符"/>
    <w:autoRedefine/>
    <w:qFormat/>
    <w:uiPriority w:val="0"/>
    <w:rPr>
      <w:rFonts w:ascii="宋体" w:hAnsi="Courier New" w:eastAsia="宋体" w:cs="Courier New"/>
      <w:szCs w:val="21"/>
    </w:rPr>
  </w:style>
  <w:style w:type="character" w:customStyle="1" w:styleId="140">
    <w:name w:val="引用 Char"/>
    <w:link w:val="141"/>
    <w:autoRedefine/>
    <w:qFormat/>
    <w:locked/>
    <w:uiPriority w:val="99"/>
    <w:rPr>
      <w:i/>
      <w:iCs/>
      <w:color w:val="000000"/>
    </w:rPr>
  </w:style>
  <w:style w:type="paragraph" w:customStyle="1" w:styleId="141">
    <w:name w:val="引用1"/>
    <w:basedOn w:val="1"/>
    <w:next w:val="1"/>
    <w:link w:val="140"/>
    <w:autoRedefine/>
    <w:qFormat/>
    <w:uiPriority w:val="99"/>
    <w:rPr>
      <w:i/>
      <w:iCs/>
      <w:color w:val="000000"/>
      <w:kern w:val="0"/>
      <w:sz w:val="20"/>
      <w:szCs w:val="20"/>
    </w:rPr>
  </w:style>
  <w:style w:type="character" w:customStyle="1" w:styleId="142">
    <w:name w:val="纯文本 Char"/>
    <w:autoRedefine/>
    <w:qFormat/>
    <w:uiPriority w:val="0"/>
    <w:rPr>
      <w:rFonts w:ascii="宋体" w:hAnsi="Courier New" w:eastAsia="宋体" w:cs="Courier New"/>
      <w:szCs w:val="21"/>
    </w:rPr>
  </w:style>
  <w:style w:type="character" w:customStyle="1" w:styleId="143">
    <w:name w:val="日期 Char1"/>
    <w:autoRedefine/>
    <w:qFormat/>
    <w:uiPriority w:val="99"/>
    <w:rPr>
      <w:rFonts w:ascii="Times New Roman" w:hAnsi="Times New Roman" w:eastAsia="宋体" w:cs="Times New Roman"/>
      <w:sz w:val="24"/>
      <w:szCs w:val="24"/>
    </w:rPr>
  </w:style>
  <w:style w:type="character" w:customStyle="1" w:styleId="144">
    <w:name w:val="纯文本 字符2"/>
    <w:autoRedefine/>
    <w:qFormat/>
    <w:uiPriority w:val="0"/>
    <w:rPr>
      <w:rFonts w:ascii="宋体" w:hAnsi="Courier New" w:eastAsia="宋体" w:cs="Courier New"/>
      <w:szCs w:val="21"/>
    </w:rPr>
  </w:style>
  <w:style w:type="character" w:customStyle="1" w:styleId="145">
    <w:name w:val="Char Char91"/>
    <w:autoRedefine/>
    <w:qFormat/>
    <w:uiPriority w:val="99"/>
    <w:rPr>
      <w:rFonts w:eastAsia="宋体"/>
      <w:b/>
      <w:bCs/>
      <w:kern w:val="44"/>
      <w:sz w:val="44"/>
      <w:szCs w:val="44"/>
      <w:lang w:val="en-US" w:eastAsia="zh-CN"/>
    </w:rPr>
  </w:style>
  <w:style w:type="character" w:customStyle="1" w:styleId="146">
    <w:name w:val="批注文字 字符1"/>
    <w:autoRedefine/>
    <w:qFormat/>
    <w:uiPriority w:val="0"/>
    <w:rPr>
      <w:rFonts w:ascii="Times New Roman" w:hAnsi="Times New Roman"/>
      <w:kern w:val="2"/>
      <w:sz w:val="21"/>
      <w:szCs w:val="24"/>
    </w:rPr>
  </w:style>
  <w:style w:type="character" w:customStyle="1" w:styleId="147">
    <w:name w:val="Char Char6"/>
    <w:autoRedefine/>
    <w:qFormat/>
    <w:uiPriority w:val="99"/>
    <w:rPr>
      <w:rFonts w:eastAsia="宋体"/>
      <w:b/>
      <w:bCs/>
      <w:kern w:val="44"/>
      <w:sz w:val="44"/>
      <w:szCs w:val="44"/>
      <w:lang w:val="en-US" w:eastAsia="zh-CN"/>
    </w:rPr>
  </w:style>
  <w:style w:type="character" w:customStyle="1" w:styleId="148">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49">
    <w:name w:val="Comment Text Char1"/>
    <w:autoRedefine/>
    <w:qFormat/>
    <w:uiPriority w:val="99"/>
    <w:rPr>
      <w:sz w:val="24"/>
      <w:szCs w:val="24"/>
    </w:rPr>
  </w:style>
  <w:style w:type="character" w:customStyle="1" w:styleId="150">
    <w:name w:val="纯文本 字符1"/>
    <w:autoRedefine/>
    <w:qFormat/>
    <w:uiPriority w:val="0"/>
    <w:rPr>
      <w:rFonts w:ascii="宋体" w:hAnsi="Courier New"/>
    </w:rPr>
  </w:style>
  <w:style w:type="character" w:customStyle="1" w:styleId="151">
    <w:name w:val="Footer Char"/>
    <w:autoRedefine/>
    <w:qFormat/>
    <w:uiPriority w:val="99"/>
    <w:rPr>
      <w:rFonts w:eastAsia="宋体"/>
      <w:kern w:val="2"/>
      <w:sz w:val="18"/>
      <w:szCs w:val="18"/>
      <w:lang w:val="en-US" w:eastAsia="zh-CN"/>
    </w:rPr>
  </w:style>
  <w:style w:type="character" w:customStyle="1" w:styleId="152">
    <w:name w:val="正文文本 Char"/>
    <w:autoRedefine/>
    <w:qFormat/>
    <w:uiPriority w:val="99"/>
    <w:rPr>
      <w:rFonts w:ascii="Times New Roman" w:hAnsi="Times New Roman"/>
      <w:kern w:val="2"/>
      <w:sz w:val="21"/>
      <w:szCs w:val="24"/>
    </w:rPr>
  </w:style>
  <w:style w:type="character" w:customStyle="1" w:styleId="153">
    <w:name w:val="Body Text Indent 2 Char"/>
    <w:autoRedefine/>
    <w:qFormat/>
    <w:uiPriority w:val="99"/>
    <w:rPr>
      <w:rFonts w:eastAsia="宋体"/>
      <w:kern w:val="2"/>
      <w:sz w:val="24"/>
      <w:szCs w:val="24"/>
      <w:lang w:val="en-US" w:eastAsia="zh-CN"/>
    </w:rPr>
  </w:style>
  <w:style w:type="character" w:customStyle="1" w:styleId="154">
    <w:name w:val="批注文字 字符"/>
    <w:autoRedefine/>
    <w:qFormat/>
    <w:uiPriority w:val="0"/>
    <w:rPr>
      <w:rFonts w:ascii="Times New Roman" w:hAnsi="Times New Roman"/>
      <w:kern w:val="2"/>
      <w:sz w:val="21"/>
      <w:szCs w:val="24"/>
    </w:rPr>
  </w:style>
  <w:style w:type="character" w:customStyle="1" w:styleId="155">
    <w:name w:val="标题 2 Char"/>
    <w:autoRedefine/>
    <w:qFormat/>
    <w:uiPriority w:val="99"/>
    <w:rPr>
      <w:rFonts w:ascii="Cambria" w:hAnsi="Cambria" w:eastAsia="宋体" w:cs="Times New Roman"/>
      <w:b/>
      <w:bCs/>
      <w:kern w:val="2"/>
      <w:sz w:val="32"/>
      <w:szCs w:val="32"/>
    </w:rPr>
  </w:style>
  <w:style w:type="character" w:customStyle="1" w:styleId="156">
    <w:name w:val="标题 8 Char"/>
    <w:autoRedefine/>
    <w:qFormat/>
    <w:uiPriority w:val="9"/>
    <w:rPr>
      <w:rFonts w:ascii="Arial" w:hAnsi="Arial" w:eastAsia="黑体"/>
      <w:kern w:val="2"/>
      <w:sz w:val="24"/>
      <w:szCs w:val="24"/>
    </w:rPr>
  </w:style>
  <w:style w:type="character" w:customStyle="1" w:styleId="157">
    <w:name w:val="apple-style-span"/>
    <w:autoRedefine/>
    <w:qFormat/>
    <w:uiPriority w:val="0"/>
  </w:style>
  <w:style w:type="character" w:customStyle="1" w:styleId="158">
    <w:name w:val="正文文本 字符"/>
    <w:autoRedefine/>
    <w:qFormat/>
    <w:uiPriority w:val="0"/>
    <w:rPr>
      <w:rFonts w:ascii="Times New Roman" w:hAnsi="Times New Roman"/>
      <w:kern w:val="2"/>
      <w:sz w:val="21"/>
      <w:szCs w:val="24"/>
    </w:rPr>
  </w:style>
  <w:style w:type="character" w:customStyle="1" w:styleId="159">
    <w:name w:val="批注文字 Char2"/>
    <w:autoRedefine/>
    <w:qFormat/>
    <w:uiPriority w:val="0"/>
    <w:rPr>
      <w:rFonts w:ascii="Times New Roman" w:hAnsi="Times New Roman"/>
      <w:kern w:val="2"/>
      <w:sz w:val="21"/>
      <w:szCs w:val="24"/>
    </w:rPr>
  </w:style>
  <w:style w:type="character" w:customStyle="1" w:styleId="160">
    <w:name w:val="正文2 Char Char"/>
    <w:link w:val="161"/>
    <w:autoRedefine/>
    <w:qFormat/>
    <w:uiPriority w:val="0"/>
    <w:rPr>
      <w:kern w:val="2"/>
      <w:sz w:val="24"/>
    </w:rPr>
  </w:style>
  <w:style w:type="paragraph" w:customStyle="1" w:styleId="161">
    <w:name w:val="正文2"/>
    <w:basedOn w:val="1"/>
    <w:link w:val="160"/>
    <w:autoRedefine/>
    <w:qFormat/>
    <w:uiPriority w:val="0"/>
    <w:pPr>
      <w:adjustRightInd w:val="0"/>
      <w:spacing w:before="156" w:line="360" w:lineRule="auto"/>
      <w:ind w:firstLine="510" w:firstLineChars="200"/>
    </w:pPr>
    <w:rPr>
      <w:sz w:val="24"/>
      <w:szCs w:val="20"/>
    </w:rPr>
  </w:style>
  <w:style w:type="character" w:customStyle="1" w:styleId="162">
    <w:name w:val="不明显强调1"/>
    <w:autoRedefine/>
    <w:qFormat/>
    <w:uiPriority w:val="99"/>
    <w:rPr>
      <w:i/>
      <w:iCs/>
      <w:color w:val="808080"/>
    </w:rPr>
  </w:style>
  <w:style w:type="character" w:customStyle="1" w:styleId="163">
    <w:name w:val="Body text|6_"/>
    <w:link w:val="164"/>
    <w:autoRedefine/>
    <w:qFormat/>
    <w:uiPriority w:val="0"/>
    <w:rPr>
      <w:rFonts w:ascii="Arial" w:hAnsi="Arial" w:eastAsia="Arial" w:cs="Arial"/>
      <w:lang w:val="zh-CN"/>
    </w:rPr>
  </w:style>
  <w:style w:type="paragraph" w:customStyle="1" w:styleId="164">
    <w:name w:val="Body text|6"/>
    <w:basedOn w:val="1"/>
    <w:link w:val="163"/>
    <w:autoRedefine/>
    <w:qFormat/>
    <w:uiPriority w:val="0"/>
    <w:pPr>
      <w:ind w:hanging="2220"/>
      <w:jc w:val="left"/>
    </w:pPr>
    <w:rPr>
      <w:rFonts w:ascii="Arial" w:hAnsi="Arial" w:eastAsia="Arial"/>
      <w:kern w:val="0"/>
      <w:sz w:val="20"/>
      <w:szCs w:val="20"/>
      <w:lang w:val="zh-CN"/>
    </w:rPr>
  </w:style>
  <w:style w:type="character" w:customStyle="1" w:styleId="165">
    <w:name w:val="批注文字 Char Char"/>
    <w:autoRedefine/>
    <w:qFormat/>
    <w:uiPriority w:val="99"/>
    <w:rPr>
      <w:rFonts w:ascii="宋体" w:hAnsi="Times New Roman" w:eastAsia="宋体" w:cs="宋体"/>
      <w:sz w:val="20"/>
      <w:szCs w:val="20"/>
    </w:rPr>
  </w:style>
  <w:style w:type="character" w:customStyle="1" w:styleId="166">
    <w:name w:val="Heading 3 Char"/>
    <w:autoRedefine/>
    <w:qFormat/>
    <w:uiPriority w:val="99"/>
    <w:rPr>
      <w:b/>
      <w:bCs/>
      <w:kern w:val="2"/>
      <w:sz w:val="32"/>
      <w:szCs w:val="32"/>
    </w:rPr>
  </w:style>
  <w:style w:type="character" w:customStyle="1" w:styleId="167">
    <w:name w:val="Heading 2 Char"/>
    <w:autoRedefine/>
    <w:qFormat/>
    <w:uiPriority w:val="99"/>
    <w:rPr>
      <w:rFonts w:ascii="Arial" w:hAnsi="Arial" w:eastAsia="黑体" w:cs="Arial"/>
      <w:b/>
      <w:bCs/>
      <w:kern w:val="2"/>
      <w:sz w:val="32"/>
      <w:szCs w:val="32"/>
      <w:lang w:val="en-US" w:eastAsia="zh-CN"/>
    </w:rPr>
  </w:style>
  <w:style w:type="character" w:customStyle="1" w:styleId="168">
    <w:name w:val="Balloon Text Char"/>
    <w:autoRedefine/>
    <w:qFormat/>
    <w:uiPriority w:val="99"/>
    <w:rPr>
      <w:sz w:val="18"/>
      <w:szCs w:val="18"/>
    </w:rPr>
  </w:style>
  <w:style w:type="character" w:customStyle="1" w:styleId="169">
    <w:name w:val="文档结构图 Char1"/>
    <w:autoRedefine/>
    <w:qFormat/>
    <w:uiPriority w:val="99"/>
    <w:rPr>
      <w:rFonts w:ascii="宋体" w:hAnsi="Times New Roman" w:eastAsia="宋体" w:cs="宋体"/>
      <w:sz w:val="18"/>
      <w:szCs w:val="18"/>
    </w:rPr>
  </w:style>
  <w:style w:type="character" w:customStyle="1" w:styleId="170">
    <w:name w:val="Footnote Text Char"/>
    <w:autoRedefine/>
    <w:qFormat/>
    <w:uiPriority w:val="99"/>
    <w:rPr>
      <w:rFonts w:eastAsia="宋体"/>
      <w:sz w:val="18"/>
      <w:szCs w:val="18"/>
      <w:lang w:val="en-US" w:eastAsia="zh-CN"/>
    </w:rPr>
  </w:style>
  <w:style w:type="character" w:customStyle="1" w:styleId="171">
    <w:name w:val="Char Char21"/>
    <w:autoRedefine/>
    <w:qFormat/>
    <w:uiPriority w:val="99"/>
    <w:rPr>
      <w:rFonts w:ascii="Arial" w:hAnsi="Arial" w:eastAsia="黑体" w:cs="Arial"/>
      <w:b/>
      <w:bCs/>
      <w:sz w:val="32"/>
      <w:szCs w:val="32"/>
    </w:rPr>
  </w:style>
  <w:style w:type="character" w:customStyle="1" w:styleId="172">
    <w:name w:val="Other|1_"/>
    <w:link w:val="173"/>
    <w:autoRedefine/>
    <w:qFormat/>
    <w:uiPriority w:val="0"/>
    <w:rPr>
      <w:rFonts w:ascii="宋体" w:hAnsi="宋体" w:cs="宋体"/>
      <w:lang w:val="zh-CN" w:bidi="zh-CN"/>
    </w:rPr>
  </w:style>
  <w:style w:type="paragraph" w:customStyle="1" w:styleId="173">
    <w:name w:val="Other|1"/>
    <w:basedOn w:val="1"/>
    <w:link w:val="172"/>
    <w:autoRedefine/>
    <w:qFormat/>
    <w:uiPriority w:val="0"/>
    <w:pPr>
      <w:spacing w:line="360" w:lineRule="auto"/>
      <w:ind w:firstLine="400"/>
      <w:jc w:val="left"/>
    </w:pPr>
    <w:rPr>
      <w:rFonts w:ascii="宋体" w:hAnsi="宋体" w:cs="宋体"/>
      <w:kern w:val="0"/>
      <w:sz w:val="20"/>
      <w:szCs w:val="20"/>
      <w:lang w:val="zh-CN" w:bidi="zh-CN"/>
    </w:rPr>
  </w:style>
  <w:style w:type="character" w:customStyle="1" w:styleId="174">
    <w:name w:val="Body Text Indent Char"/>
    <w:autoRedefine/>
    <w:qFormat/>
    <w:uiPriority w:val="99"/>
    <w:rPr>
      <w:rFonts w:ascii="宋体" w:hAnsi="宋体" w:eastAsia="宋体" w:cs="宋体"/>
      <w:kern w:val="2"/>
      <w:sz w:val="21"/>
      <w:szCs w:val="21"/>
      <w:lang w:val="en-US" w:eastAsia="zh-CN"/>
    </w:rPr>
  </w:style>
  <w:style w:type="character" w:customStyle="1" w:styleId="175">
    <w:name w:val="不明显参考1"/>
    <w:autoRedefine/>
    <w:qFormat/>
    <w:uiPriority w:val="99"/>
    <w:rPr>
      <w:smallCaps/>
      <w:color w:val="auto"/>
      <w:u w:val="single"/>
    </w:rPr>
  </w:style>
  <w:style w:type="character" w:customStyle="1" w:styleId="176">
    <w:name w:val="Heading 4 Char"/>
    <w:autoRedefine/>
    <w:qFormat/>
    <w:uiPriority w:val="99"/>
    <w:rPr>
      <w:rFonts w:ascii="Arial" w:hAnsi="Arial" w:eastAsia="宋体" w:cs="Arial"/>
      <w:b/>
      <w:bCs/>
      <w:kern w:val="2"/>
      <w:sz w:val="28"/>
      <w:szCs w:val="28"/>
      <w:lang w:val="en-US" w:eastAsia="zh-CN"/>
    </w:rPr>
  </w:style>
  <w:style w:type="character" w:customStyle="1" w:styleId="177">
    <w:name w:val="Body text|7_"/>
    <w:link w:val="178"/>
    <w:autoRedefine/>
    <w:qFormat/>
    <w:uiPriority w:val="0"/>
    <w:rPr>
      <w:rFonts w:ascii="Courier New" w:hAnsi="Courier New" w:eastAsia="Courier New" w:cs="Courier New"/>
      <w:b/>
      <w:bCs/>
      <w:sz w:val="8"/>
      <w:szCs w:val="8"/>
      <w:lang w:val="zh-CN"/>
    </w:rPr>
  </w:style>
  <w:style w:type="paragraph" w:customStyle="1" w:styleId="178">
    <w:name w:val="Body text|7"/>
    <w:basedOn w:val="1"/>
    <w:link w:val="177"/>
    <w:autoRedefine/>
    <w:qFormat/>
    <w:uiPriority w:val="0"/>
    <w:pPr>
      <w:ind w:hanging="1760"/>
      <w:jc w:val="left"/>
    </w:pPr>
    <w:rPr>
      <w:rFonts w:ascii="Courier New" w:hAnsi="Courier New" w:eastAsia="Courier New"/>
      <w:b/>
      <w:bCs/>
      <w:kern w:val="0"/>
      <w:sz w:val="8"/>
      <w:szCs w:val="8"/>
      <w:lang w:val="zh-CN"/>
    </w:rPr>
  </w:style>
  <w:style w:type="character" w:customStyle="1" w:styleId="179">
    <w:name w:val="Char Char20"/>
    <w:autoRedefine/>
    <w:qFormat/>
    <w:uiPriority w:val="99"/>
    <w:rPr>
      <w:rFonts w:ascii="Times New Roman" w:hAnsi="Times New Roman" w:eastAsia="宋体" w:cs="Times New Roman"/>
      <w:b/>
      <w:bCs/>
      <w:sz w:val="32"/>
      <w:szCs w:val="32"/>
    </w:rPr>
  </w:style>
  <w:style w:type="character" w:customStyle="1" w:styleId="180">
    <w:name w:val="Body text|4_"/>
    <w:link w:val="181"/>
    <w:autoRedefine/>
    <w:qFormat/>
    <w:uiPriority w:val="0"/>
    <w:rPr>
      <w:rFonts w:ascii="宋体" w:hAnsi="宋体" w:cs="宋体"/>
      <w:b/>
      <w:bCs/>
      <w:sz w:val="17"/>
      <w:szCs w:val="17"/>
      <w:lang w:val="zh-CN" w:bidi="zh-CN"/>
    </w:rPr>
  </w:style>
  <w:style w:type="paragraph" w:customStyle="1" w:styleId="181">
    <w:name w:val="Body text|4"/>
    <w:basedOn w:val="1"/>
    <w:link w:val="180"/>
    <w:autoRedefine/>
    <w:qFormat/>
    <w:uiPriority w:val="0"/>
    <w:pPr>
      <w:spacing w:line="281" w:lineRule="exact"/>
      <w:jc w:val="center"/>
    </w:pPr>
    <w:rPr>
      <w:rFonts w:ascii="宋体" w:hAnsi="宋体" w:cs="宋体"/>
      <w:b/>
      <w:bCs/>
      <w:kern w:val="0"/>
      <w:sz w:val="17"/>
      <w:szCs w:val="17"/>
      <w:lang w:val="zh-CN" w:bidi="zh-CN"/>
    </w:rPr>
  </w:style>
  <w:style w:type="character" w:customStyle="1" w:styleId="182">
    <w:name w:val="Comment Subject Char"/>
    <w:autoRedefine/>
    <w:qFormat/>
    <w:uiPriority w:val="99"/>
    <w:rPr>
      <w:b/>
      <w:bCs/>
      <w:sz w:val="24"/>
      <w:szCs w:val="24"/>
    </w:rPr>
  </w:style>
  <w:style w:type="character" w:customStyle="1" w:styleId="183">
    <w:name w:val="Heading #2|1_"/>
    <w:link w:val="184"/>
    <w:autoRedefine/>
    <w:qFormat/>
    <w:uiPriority w:val="0"/>
    <w:rPr>
      <w:rFonts w:ascii="宋体" w:hAnsi="宋体" w:cs="宋体"/>
      <w:sz w:val="34"/>
      <w:szCs w:val="34"/>
      <w:lang w:val="zh-CN" w:bidi="zh-CN"/>
    </w:rPr>
  </w:style>
  <w:style w:type="paragraph" w:customStyle="1" w:styleId="184">
    <w:name w:val="Heading #2|1"/>
    <w:basedOn w:val="1"/>
    <w:link w:val="183"/>
    <w:autoRedefine/>
    <w:qFormat/>
    <w:uiPriority w:val="0"/>
    <w:pPr>
      <w:spacing w:after="900"/>
      <w:jc w:val="center"/>
      <w:outlineLvl w:val="1"/>
    </w:pPr>
    <w:rPr>
      <w:rFonts w:ascii="宋体" w:hAnsi="宋体" w:cs="宋体"/>
      <w:kern w:val="0"/>
      <w:sz w:val="34"/>
      <w:szCs w:val="34"/>
      <w:lang w:val="zh-CN" w:bidi="zh-CN"/>
    </w:rPr>
  </w:style>
  <w:style w:type="character" w:customStyle="1" w:styleId="185">
    <w:name w:val="批注框文本 Char1"/>
    <w:autoRedefine/>
    <w:qFormat/>
    <w:uiPriority w:val="99"/>
    <w:rPr>
      <w:rFonts w:ascii="Times New Roman" w:hAnsi="Times New Roman" w:eastAsia="宋体" w:cs="Times New Roman"/>
      <w:sz w:val="18"/>
      <w:szCs w:val="18"/>
    </w:rPr>
  </w:style>
  <w:style w:type="character" w:customStyle="1" w:styleId="186">
    <w:name w:val="Char Char18"/>
    <w:autoRedefine/>
    <w:qFormat/>
    <w:uiPriority w:val="99"/>
    <w:rPr>
      <w:rFonts w:ascii="Times New Roman" w:hAnsi="Times New Roman" w:eastAsia="宋体" w:cs="Times New Roman"/>
      <w:b/>
      <w:bCs/>
      <w:sz w:val="28"/>
      <w:szCs w:val="28"/>
    </w:rPr>
  </w:style>
  <w:style w:type="character" w:customStyle="1" w:styleId="187">
    <w:name w:val="批注主题 Char1"/>
    <w:autoRedefine/>
    <w:qFormat/>
    <w:uiPriority w:val="99"/>
    <w:rPr>
      <w:rFonts w:ascii="Times New Roman" w:hAnsi="Times New Roman" w:eastAsia="宋体" w:cs="Times New Roman"/>
      <w:b/>
      <w:bCs/>
      <w:sz w:val="24"/>
      <w:szCs w:val="24"/>
    </w:rPr>
  </w:style>
  <w:style w:type="character" w:customStyle="1" w:styleId="188">
    <w:name w:val="Char Char24"/>
    <w:autoRedefine/>
    <w:qFormat/>
    <w:uiPriority w:val="99"/>
    <w:rPr>
      <w:rFonts w:eastAsia="宋体"/>
      <w:b/>
      <w:bCs/>
      <w:kern w:val="44"/>
      <w:sz w:val="44"/>
      <w:szCs w:val="44"/>
      <w:lang w:val="en-US" w:eastAsia="zh-CN"/>
    </w:rPr>
  </w:style>
  <w:style w:type="character" w:customStyle="1" w:styleId="189">
    <w:name w:val="标题4 Char Char"/>
    <w:link w:val="190"/>
    <w:autoRedefine/>
    <w:qFormat/>
    <w:locked/>
    <w:uiPriority w:val="99"/>
    <w:rPr>
      <w:rFonts w:ascii="Arial" w:hAnsi="Arial" w:cs="Arial"/>
      <w:b/>
      <w:bCs/>
      <w:sz w:val="32"/>
      <w:szCs w:val="32"/>
    </w:rPr>
  </w:style>
  <w:style w:type="paragraph" w:customStyle="1" w:styleId="190">
    <w:name w:val="标题4"/>
    <w:basedOn w:val="3"/>
    <w:next w:val="25"/>
    <w:link w:val="189"/>
    <w:autoRedefine/>
    <w:qFormat/>
    <w:uiPriority w:val="99"/>
    <w:pPr>
      <w:spacing w:before="60" w:after="60" w:line="413" w:lineRule="auto"/>
    </w:pPr>
    <w:rPr>
      <w:rFonts w:ascii="Arial" w:hAnsi="Arial"/>
      <w:kern w:val="0"/>
    </w:rPr>
  </w:style>
  <w:style w:type="character" w:customStyle="1" w:styleId="191">
    <w:name w:val="Plain Text Char"/>
    <w:autoRedefine/>
    <w:qFormat/>
    <w:uiPriority w:val="99"/>
    <w:rPr>
      <w:rFonts w:ascii="宋体" w:hAnsi="Courier New" w:eastAsia="宋体" w:cs="宋体"/>
      <w:sz w:val="24"/>
      <w:szCs w:val="24"/>
    </w:rPr>
  </w:style>
  <w:style w:type="character" w:customStyle="1" w:styleId="192">
    <w:name w:val="Header or footer|1_"/>
    <w:link w:val="193"/>
    <w:autoRedefine/>
    <w:qFormat/>
    <w:uiPriority w:val="0"/>
    <w:rPr>
      <w:sz w:val="17"/>
      <w:szCs w:val="17"/>
      <w:lang w:val="zh-CN" w:bidi="zh-CN"/>
    </w:rPr>
  </w:style>
  <w:style w:type="paragraph" w:customStyle="1" w:styleId="193">
    <w:name w:val="Header or footer|1"/>
    <w:basedOn w:val="1"/>
    <w:link w:val="192"/>
    <w:autoRedefine/>
    <w:qFormat/>
    <w:uiPriority w:val="0"/>
    <w:pPr>
      <w:jc w:val="center"/>
    </w:pPr>
    <w:rPr>
      <w:kern w:val="0"/>
      <w:sz w:val="17"/>
      <w:szCs w:val="17"/>
      <w:lang w:val="zh-CN" w:bidi="zh-CN"/>
    </w:rPr>
  </w:style>
  <w:style w:type="character" w:customStyle="1" w:styleId="194">
    <w:name w:val="Heading #3|1_"/>
    <w:link w:val="195"/>
    <w:autoRedefine/>
    <w:qFormat/>
    <w:uiPriority w:val="0"/>
    <w:rPr>
      <w:rFonts w:ascii="宋体" w:hAnsi="宋体" w:cs="宋体"/>
      <w:sz w:val="28"/>
      <w:szCs w:val="28"/>
      <w:lang w:val="zh-CN" w:bidi="zh-CN"/>
    </w:rPr>
  </w:style>
  <w:style w:type="paragraph" w:customStyle="1" w:styleId="195">
    <w:name w:val="Heading #3|1"/>
    <w:basedOn w:val="1"/>
    <w:link w:val="194"/>
    <w:autoRedefine/>
    <w:qFormat/>
    <w:uiPriority w:val="0"/>
    <w:pPr>
      <w:spacing w:after="570"/>
      <w:jc w:val="center"/>
      <w:outlineLvl w:val="2"/>
    </w:pPr>
    <w:rPr>
      <w:rFonts w:ascii="宋体" w:hAnsi="宋体" w:cs="宋体"/>
      <w:kern w:val="0"/>
      <w:sz w:val="28"/>
      <w:szCs w:val="28"/>
      <w:lang w:val="zh-CN" w:bidi="zh-CN"/>
    </w:rPr>
  </w:style>
  <w:style w:type="character" w:styleId="196">
    <w:name w:val="Placeholder Text"/>
    <w:autoRedefine/>
    <w:unhideWhenUsed/>
    <w:qFormat/>
    <w:uiPriority w:val="99"/>
    <w:rPr>
      <w:color w:val="808080"/>
    </w:rPr>
  </w:style>
  <w:style w:type="paragraph" w:customStyle="1" w:styleId="197">
    <w:name w:val="flNote"/>
    <w:basedOn w:val="1"/>
    <w:autoRedefine/>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styleId="198">
    <w:name w:val="List Paragraph"/>
    <w:basedOn w:val="1"/>
    <w:autoRedefine/>
    <w:qFormat/>
    <w:uiPriority w:val="34"/>
    <w:pPr>
      <w:ind w:firstLine="420" w:firstLineChars="200"/>
    </w:pPr>
  </w:style>
  <w:style w:type="paragraph" w:customStyle="1" w:styleId="199">
    <w:name w:val="样式 标题 2 + Times New Roman 四号 非加粗 段前: 5 磅 段后: 0 磅 行距: 固定值 20..."/>
    <w:basedOn w:val="3"/>
    <w:autoRedefine/>
    <w:qFormat/>
    <w:uiPriority w:val="99"/>
    <w:pPr>
      <w:spacing w:before="100" w:after="0" w:line="400" w:lineRule="exact"/>
    </w:pPr>
    <w:rPr>
      <w:rFonts w:ascii="Times New Roman" w:hAnsi="Times New Roman" w:eastAsia="黑体"/>
      <w:b w:val="0"/>
      <w:bCs w:val="0"/>
      <w:kern w:val="0"/>
      <w:sz w:val="28"/>
      <w:szCs w:val="28"/>
      <w:lang w:val="zh-CN"/>
    </w:rPr>
  </w:style>
  <w:style w:type="paragraph" w:customStyle="1" w:styleId="200">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1">
    <w:name w:val="Char Char Char Char Char Char Char"/>
    <w:basedOn w:val="1"/>
    <w:autoRedefine/>
    <w:qFormat/>
    <w:uiPriority w:val="99"/>
    <w:pPr>
      <w:widowControl/>
      <w:spacing w:after="160" w:line="240" w:lineRule="exact"/>
      <w:jc w:val="left"/>
    </w:pPr>
    <w:rPr>
      <w:szCs w:val="21"/>
    </w:rPr>
  </w:style>
  <w:style w:type="paragraph" w:customStyle="1" w:styleId="202">
    <w:name w:val="Char"/>
    <w:basedOn w:val="1"/>
    <w:autoRedefine/>
    <w:qFormat/>
    <w:uiPriority w:val="99"/>
    <w:pPr>
      <w:widowControl/>
      <w:spacing w:after="160" w:line="240" w:lineRule="exact"/>
      <w:jc w:val="left"/>
    </w:pPr>
    <w:rPr>
      <w:szCs w:val="21"/>
    </w:rPr>
  </w:style>
  <w:style w:type="paragraph" w:customStyle="1" w:styleId="203">
    <w:name w:val="默认段落字体 Para Char Char Char Char Char Char Char Char Char1 Char Char Char Char"/>
    <w:basedOn w:val="1"/>
    <w:autoRedefine/>
    <w:qFormat/>
    <w:uiPriority w:val="0"/>
    <w:rPr>
      <w:rFonts w:ascii="Tahoma" w:hAnsi="Tahoma"/>
      <w:sz w:val="24"/>
      <w:szCs w:val="20"/>
    </w:rPr>
  </w:style>
  <w:style w:type="paragraph" w:customStyle="1" w:styleId="204">
    <w:name w:val="Table Paragraph"/>
    <w:basedOn w:val="1"/>
    <w:autoRedefine/>
    <w:qFormat/>
    <w:uiPriority w:val="1"/>
    <w:pPr>
      <w:jc w:val="left"/>
    </w:pPr>
    <w:rPr>
      <w:rFonts w:ascii="Calibri" w:hAnsi="Calibri"/>
      <w:kern w:val="0"/>
      <w:sz w:val="22"/>
      <w:szCs w:val="22"/>
      <w:lang w:eastAsia="en-US"/>
    </w:rPr>
  </w:style>
  <w:style w:type="paragraph" w:customStyle="1" w:styleId="205">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206">
    <w:name w:val="样式1"/>
    <w:basedOn w:val="1"/>
    <w:next w:val="5"/>
    <w:autoRedefine/>
    <w:qFormat/>
    <w:uiPriority w:val="99"/>
    <w:pPr>
      <w:spacing w:line="360" w:lineRule="auto"/>
      <w:ind w:firstLine="420" w:firstLineChars="200"/>
    </w:pPr>
    <w:rPr>
      <w:rFonts w:ascii="宋体" w:hAnsi="宋体" w:cs="宋体"/>
      <w:szCs w:val="21"/>
    </w:rPr>
  </w:style>
  <w:style w:type="paragraph" w:customStyle="1" w:styleId="207">
    <w:name w:val="列出段落1"/>
    <w:basedOn w:val="1"/>
    <w:autoRedefine/>
    <w:qFormat/>
    <w:uiPriority w:val="99"/>
    <w:pPr>
      <w:ind w:firstLine="420" w:firstLineChars="200"/>
    </w:pPr>
    <w:rPr>
      <w:rFonts w:ascii="Calibri" w:hAnsi="Calibri" w:cs="Calibri"/>
      <w:szCs w:val="21"/>
    </w:rPr>
  </w:style>
  <w:style w:type="paragraph" w:customStyle="1" w:styleId="208">
    <w:name w:val="Default"/>
    <w:next w:val="19"/>
    <w:autoRedefine/>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209">
    <w:name w:val="正文_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TOC 标题1"/>
    <w:basedOn w:val="2"/>
    <w:next w:val="1"/>
    <w:autoRedefine/>
    <w:qFormat/>
    <w:uiPriority w:val="99"/>
    <w:pPr>
      <w:spacing w:line="576" w:lineRule="auto"/>
      <w:outlineLvl w:val="9"/>
    </w:pPr>
    <w:rPr>
      <w:rFonts w:ascii="Calibri" w:hAnsi="Calibri" w:eastAsia="黑体" w:cs="Calibri"/>
      <w:lang w:val="zh-CN"/>
    </w:rPr>
  </w:style>
  <w:style w:type="paragraph" w:customStyle="1" w:styleId="211">
    <w:name w:val="空半行"/>
    <w:basedOn w:val="1"/>
    <w:autoRedefine/>
    <w:qFormat/>
    <w:uiPriority w:val="99"/>
    <w:pPr>
      <w:adjustRightInd w:val="0"/>
      <w:spacing w:line="120" w:lineRule="exact"/>
      <w:textAlignment w:val="baseline"/>
    </w:pPr>
    <w:rPr>
      <w:rFonts w:eastAsia="仿宋_GB2312"/>
      <w:color w:val="FFFFFF"/>
      <w:kern w:val="0"/>
      <w:sz w:val="30"/>
      <w:szCs w:val="30"/>
    </w:rPr>
  </w:style>
  <w:style w:type="paragraph" w:customStyle="1" w:styleId="212">
    <w:name w:val="p0"/>
    <w:basedOn w:val="1"/>
    <w:autoRedefine/>
    <w:qFormat/>
    <w:uiPriority w:val="99"/>
    <w:pPr>
      <w:widowControl/>
    </w:pPr>
    <w:rPr>
      <w:rFonts w:ascii="Calibri" w:hAnsi="Calibri" w:cs="Calibri"/>
      <w:kern w:val="0"/>
      <w:szCs w:val="21"/>
    </w:rPr>
  </w:style>
  <w:style w:type="paragraph" w:customStyle="1" w:styleId="213">
    <w:name w:val="1"/>
    <w:basedOn w:val="1"/>
    <w:next w:val="28"/>
    <w:autoRedefine/>
    <w:qFormat/>
    <w:uiPriority w:val="99"/>
    <w:rPr>
      <w:szCs w:val="21"/>
    </w:rPr>
  </w:style>
  <w:style w:type="paragraph" w:customStyle="1" w:styleId="214">
    <w:name w:val="列出段落2"/>
    <w:basedOn w:val="1"/>
    <w:autoRedefine/>
    <w:qFormat/>
    <w:uiPriority w:val="99"/>
    <w:pPr>
      <w:ind w:firstLine="420" w:firstLineChars="200"/>
    </w:pPr>
    <w:rPr>
      <w:rFonts w:ascii="Calibri" w:hAnsi="Calibri" w:cs="Calibri"/>
      <w:szCs w:val="21"/>
    </w:rPr>
  </w:style>
  <w:style w:type="paragraph" w:customStyle="1" w:styleId="215">
    <w:name w:val="修订1"/>
    <w:autoRedefine/>
    <w:qFormat/>
    <w:uiPriority w:val="99"/>
    <w:rPr>
      <w:rFonts w:ascii="Times New Roman" w:hAnsi="Times New Roman" w:eastAsia="宋体" w:cs="Times New Roman"/>
      <w:kern w:val="2"/>
      <w:sz w:val="21"/>
      <w:szCs w:val="21"/>
      <w:lang w:val="en-US" w:eastAsia="zh-CN" w:bidi="ar-SA"/>
    </w:rPr>
  </w:style>
  <w:style w:type="paragraph" w:customStyle="1" w:styleId="216">
    <w:name w:val="无间隔1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7">
    <w:name w:val="修订11"/>
    <w:autoRedefine/>
    <w:qFormat/>
    <w:uiPriority w:val="99"/>
    <w:rPr>
      <w:rFonts w:ascii="Times New Roman" w:hAnsi="Times New Roman" w:eastAsia="宋体" w:cs="Times New Roman"/>
      <w:kern w:val="2"/>
      <w:sz w:val="21"/>
      <w:szCs w:val="21"/>
      <w:lang w:val="en-US" w:eastAsia="zh-CN" w:bidi="ar-SA"/>
    </w:rPr>
  </w:style>
  <w:style w:type="paragraph" w:customStyle="1" w:styleId="218">
    <w:name w:val="2-2ji"/>
    <w:basedOn w:val="3"/>
    <w:autoRedefine/>
    <w:qFormat/>
    <w:uiPriority w:val="99"/>
    <w:pPr>
      <w:spacing w:before="0" w:after="0" w:line="360" w:lineRule="auto"/>
      <w:jc w:val="center"/>
    </w:pPr>
    <w:rPr>
      <w:rFonts w:ascii="宋体" w:hAnsi="宋体" w:cs="宋体"/>
      <w:sz w:val="36"/>
      <w:szCs w:val="36"/>
      <w:lang w:val="zh-CN"/>
    </w:rPr>
  </w:style>
  <w:style w:type="paragraph" w:customStyle="1" w:styleId="219">
    <w:name w:val="reader-word-layer"/>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220">
    <w:name w:val="Char Char Char Char"/>
    <w:basedOn w:val="1"/>
    <w:autoRedefine/>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21">
    <w:name w:val="Char1"/>
    <w:basedOn w:val="1"/>
    <w:autoRedefine/>
    <w:qFormat/>
    <w:uiPriority w:val="99"/>
    <w:pPr>
      <w:widowControl/>
      <w:spacing w:after="160" w:line="240" w:lineRule="exact"/>
      <w:jc w:val="left"/>
    </w:pPr>
    <w:rPr>
      <w:szCs w:val="21"/>
    </w:rPr>
  </w:style>
  <w:style w:type="paragraph" w:customStyle="1" w:styleId="222">
    <w:name w:val="_Style 37"/>
    <w:basedOn w:val="1"/>
    <w:next w:val="1"/>
    <w:autoRedefine/>
    <w:qFormat/>
    <w:uiPriority w:val="99"/>
    <w:rPr>
      <w:szCs w:val="21"/>
    </w:rPr>
  </w:style>
  <w:style w:type="paragraph" w:customStyle="1" w:styleId="223">
    <w:name w:val="样式 标题 3 + (中文) 黑体 小四 非加粗 段前: 7.8 磅 段后: 0 磅 行距: 固定值 20 磅"/>
    <w:basedOn w:val="4"/>
    <w:autoRedefine/>
    <w:qFormat/>
    <w:uiPriority w:val="99"/>
    <w:pPr>
      <w:spacing w:before="0" w:after="0" w:line="400" w:lineRule="exact"/>
    </w:pPr>
    <w:rPr>
      <w:rFonts w:eastAsia="黑体"/>
      <w:b w:val="0"/>
      <w:bCs w:val="0"/>
      <w:lang w:val="zh-CN"/>
    </w:rPr>
  </w:style>
  <w:style w:type="paragraph" w:styleId="224">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正正正正"/>
    <w:basedOn w:val="21"/>
    <w:autoRedefine/>
    <w:qFormat/>
    <w:uiPriority w:val="1"/>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226">
    <w:name w:val="_Style 1"/>
    <w:basedOn w:val="1"/>
    <w:autoRedefine/>
    <w:qFormat/>
    <w:uiPriority w:val="99"/>
    <w:pPr>
      <w:ind w:firstLine="420" w:firstLineChars="200"/>
      <w:jc w:val="left"/>
    </w:pPr>
    <w:rPr>
      <w:rFonts w:ascii="Times New Roman)" w:hAnsi="Times New Roman)" w:eastAsia="宋体正文"/>
      <w:color w:val="000000"/>
      <w:kern w:val="0"/>
      <w:lang w:eastAsia="en-US" w:bidi="en-US"/>
    </w:rPr>
  </w:style>
  <w:style w:type="character" w:customStyle="1" w:styleId="227">
    <w:name w:val="bookmark-item"/>
    <w:autoRedefine/>
    <w:qFormat/>
    <w:uiPriority w:val="0"/>
  </w:style>
  <w:style w:type="character" w:customStyle="1" w:styleId="228">
    <w:name w:val="纯文本 Char2"/>
    <w:autoRedefine/>
    <w:qFormat/>
    <w:uiPriority w:val="0"/>
    <w:rPr>
      <w:rFonts w:ascii="宋体" w:hAnsi="Courier New" w:eastAsia="宋体" w:cs="Courier New"/>
      <w:szCs w:val="21"/>
    </w:rPr>
  </w:style>
  <w:style w:type="character" w:customStyle="1" w:styleId="229">
    <w:name w:val="页脚 Char1"/>
    <w:autoRedefine/>
    <w:qFormat/>
    <w:uiPriority w:val="99"/>
    <w:rPr>
      <w:rFonts w:ascii="Times New Roman" w:hAnsi="Times New Roman" w:eastAsia="宋体" w:cs="Times New Roman"/>
      <w:sz w:val="18"/>
      <w:szCs w:val="18"/>
    </w:rPr>
  </w:style>
  <w:style w:type="paragraph" w:customStyle="1" w:styleId="230">
    <w:name w:val="正文_3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正文_3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2">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3">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4">
    <w:name w:val="标题 2_3"/>
    <w:basedOn w:val="233"/>
    <w:next w:val="233"/>
    <w:autoRedefine/>
    <w:qFormat/>
    <w:uiPriority w:val="9"/>
    <w:pPr>
      <w:keepLines/>
      <w:spacing w:before="240" w:after="120" w:line="416" w:lineRule="auto"/>
      <w:jc w:val="center"/>
      <w:outlineLvl w:val="1"/>
    </w:pPr>
    <w:rPr>
      <w:rFonts w:ascii="宋体" w:hAnsi="宋体" w:eastAsia="黑体" w:cs="宋体"/>
      <w:b/>
      <w:bCs/>
      <w:sz w:val="36"/>
      <w:szCs w:val="21"/>
    </w:rPr>
  </w:style>
  <w:style w:type="paragraph" w:customStyle="1" w:styleId="235">
    <w:name w:val="标题 4_1"/>
    <w:basedOn w:val="233"/>
    <w:next w:val="233"/>
    <w:autoRedefine/>
    <w:qFormat/>
    <w:uiPriority w:val="0"/>
    <w:pPr>
      <w:keepNext/>
      <w:keepLines/>
      <w:spacing w:before="280" w:after="290" w:line="372" w:lineRule="auto"/>
      <w:outlineLvl w:val="3"/>
    </w:pPr>
    <w:rPr>
      <w:rFonts w:ascii="Cambria" w:hAnsi="Cambria"/>
      <w:b/>
      <w:bCs/>
      <w:sz w:val="28"/>
      <w:szCs w:val="28"/>
    </w:rPr>
  </w:style>
  <w:style w:type="paragraph" w:customStyle="1" w:styleId="236">
    <w:name w:val="正文_3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37">
    <w:name w:val="first-child"/>
    <w:basedOn w:val="49"/>
    <w:autoRedefine/>
    <w:qFormat/>
    <w:uiPriority w:val="0"/>
  </w:style>
  <w:style w:type="character" w:customStyle="1" w:styleId="238">
    <w:name w:val="NormalCharacter"/>
    <w:autoRedefine/>
    <w:qFormat/>
    <w:uiPriority w:val="0"/>
  </w:style>
  <w:style w:type="character" w:customStyle="1" w:styleId="239">
    <w:name w:val="layui-layer-tabnow"/>
    <w:basedOn w:val="49"/>
    <w:autoRedefine/>
    <w:qFormat/>
    <w:uiPriority w:val="0"/>
    <w:rPr>
      <w:bdr w:val="single" w:color="CCCCCC" w:sz="6" w:space="0"/>
      <w:shd w:val="clear" w:color="auto" w:fill="FFFFFF"/>
    </w:rPr>
  </w:style>
  <w:style w:type="paragraph" w:customStyle="1" w:styleId="240">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24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2">
    <w:name w:val="正文3"/>
    <w:autoRedefine/>
    <w:qFormat/>
    <w:uiPriority w:val="0"/>
    <w:rPr>
      <w:rFonts w:ascii="Times New Roman" w:hAnsi="Times New Roman" w:eastAsia="Times New Roman" w:cs="Times New Roman"/>
      <w:sz w:val="24"/>
      <w:szCs w:val="24"/>
      <w:lang w:val="en-US" w:eastAsia="zh-CN" w:bidi="ar-SA"/>
    </w:rPr>
  </w:style>
  <w:style w:type="paragraph" w:customStyle="1" w:styleId="243">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4">
    <w:name w:val="Normal_18"/>
    <w:autoRedefine/>
    <w:qFormat/>
    <w:uiPriority w:val="0"/>
    <w:rPr>
      <w:rFonts w:ascii="Times New Roman" w:hAnsi="Times New Roman" w:eastAsia="Times New Roman" w:cs="Times New Roman"/>
      <w:sz w:val="24"/>
      <w:szCs w:val="24"/>
      <w:lang w:val="en-US" w:eastAsia="zh-CN" w:bidi="ar-SA"/>
    </w:rPr>
  </w:style>
  <w:style w:type="character" w:customStyle="1" w:styleId="245">
    <w:name w:val="批注文字 Char1"/>
    <w:autoRedefine/>
    <w:qFormat/>
    <w:uiPriority w:val="99"/>
    <w:rPr>
      <w:rFonts w:ascii="Times New Roman" w:hAnsi="Times New Roman"/>
      <w:kern w:val="2"/>
      <w:sz w:val="21"/>
      <w:szCs w:val="24"/>
    </w:rPr>
  </w:style>
  <w:style w:type="character" w:customStyle="1" w:styleId="246">
    <w:name w:val="纯文本 Char1"/>
    <w:autoRedefine/>
    <w:qFormat/>
    <w:uiPriority w:val="99"/>
    <w:rPr>
      <w:rFonts w:ascii="宋体" w:hAnsi="Courier New" w:eastAsia="宋体" w:cs="Courier New"/>
      <w:szCs w:val="21"/>
    </w:rPr>
  </w:style>
  <w:style w:type="paragraph" w:customStyle="1" w:styleId="24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248">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49">
    <w:name w:val="标题 2_0_0"/>
    <w:basedOn w:val="250"/>
    <w:next w:val="250"/>
    <w:autoRedefine/>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250">
    <w:name w:val="正文_2_0"/>
    <w:basedOn w:val="233"/>
    <w:next w:val="251"/>
    <w:autoRedefine/>
    <w:qFormat/>
    <w:uiPriority w:val="0"/>
  </w:style>
  <w:style w:type="paragraph" w:customStyle="1" w:styleId="251">
    <w:name w:val="标题 2_2"/>
    <w:basedOn w:val="250"/>
    <w:next w:val="250"/>
    <w:autoRedefine/>
    <w:qFormat/>
    <w:uiPriority w:val="0"/>
    <w:pPr>
      <w:keepLines/>
      <w:spacing w:before="240" w:after="120" w:line="415" w:lineRule="auto"/>
      <w:jc w:val="center"/>
      <w:outlineLvl w:val="1"/>
    </w:pPr>
    <w:rPr>
      <w:rFonts w:ascii="宋体" w:hAnsi="宋体" w:eastAsia="黑体" w:cs="宋体"/>
      <w:b/>
      <w:bCs/>
      <w:sz w:val="36"/>
      <w:szCs w:val="36"/>
    </w:rPr>
  </w:style>
  <w:style w:type="paragraph" w:customStyle="1" w:styleId="252">
    <w:name w:val="标题 3_1"/>
    <w:basedOn w:val="250"/>
    <w:next w:val="250"/>
    <w:autoRedefine/>
    <w:qFormat/>
    <w:uiPriority w:val="0"/>
    <w:pPr>
      <w:keepNext/>
      <w:keepLines/>
      <w:outlineLvl w:val="2"/>
    </w:pPr>
    <w:rPr>
      <w:rFonts w:ascii="Times New Roman" w:hAnsi="Times New Roman"/>
      <w:b/>
      <w:sz w:val="32"/>
      <w:szCs w:val="20"/>
    </w:rPr>
  </w:style>
  <w:style w:type="paragraph" w:customStyle="1" w:styleId="253">
    <w:name w:val="Body text|1_1"/>
    <w:basedOn w:val="250"/>
    <w:autoRedefine/>
    <w:qFormat/>
    <w:uiPriority w:val="0"/>
    <w:pPr>
      <w:spacing w:line="360" w:lineRule="auto"/>
      <w:ind w:firstLine="400"/>
    </w:pPr>
    <w:rPr>
      <w:rFonts w:ascii="宋体" w:hAnsi="宋体" w:cs="宋体"/>
      <w:sz w:val="20"/>
      <w:szCs w:val="20"/>
    </w:rPr>
  </w:style>
  <w:style w:type="paragraph" w:customStyle="1" w:styleId="254">
    <w:name w:val="Body text|2_0"/>
    <w:basedOn w:val="250"/>
    <w:autoRedefine/>
    <w:qFormat/>
    <w:uiPriority w:val="0"/>
    <w:pPr>
      <w:spacing w:before="100" w:beforeAutospacing="1" w:after="30"/>
      <w:ind w:firstLine="420"/>
    </w:pPr>
    <w:rPr>
      <w:sz w:val="20"/>
      <w:szCs w:val="20"/>
    </w:rPr>
  </w:style>
  <w:style w:type="paragraph" w:customStyle="1" w:styleId="255">
    <w:name w:val="Other|1_0"/>
    <w:basedOn w:val="250"/>
    <w:autoRedefine/>
    <w:qFormat/>
    <w:uiPriority w:val="0"/>
    <w:pPr>
      <w:spacing w:line="360" w:lineRule="auto"/>
      <w:ind w:firstLine="400"/>
    </w:pPr>
    <w:rPr>
      <w:rFonts w:ascii="宋体" w:hAnsi="宋体" w:cs="宋体"/>
      <w:sz w:val="20"/>
      <w:szCs w:val="20"/>
      <w:lang w:val="zh-CN" w:bidi="zh-CN"/>
    </w:rPr>
  </w:style>
  <w:style w:type="paragraph" w:customStyle="1" w:styleId="256">
    <w:name w:val="Body text|1_1_0"/>
    <w:basedOn w:val="18"/>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257">
    <w:name w:val="正文文本_0"/>
    <w:basedOn w:val="232"/>
    <w:autoRedefine/>
    <w:qFormat/>
    <w:uiPriority w:val="0"/>
    <w:pPr>
      <w:spacing w:after="120"/>
    </w:pPr>
  </w:style>
  <w:style w:type="paragraph" w:customStyle="1" w:styleId="258">
    <w:name w:val="Body text|1_2"/>
    <w:basedOn w:val="259"/>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259">
    <w:name w:val="正文_5"/>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260">
    <w:name w:val="Other|1_1"/>
    <w:basedOn w:val="259"/>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261">
    <w:name w:val="标题 2_4"/>
    <w:basedOn w:val="259"/>
    <w:next w:val="259"/>
    <w:autoRedefine/>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262">
    <w:name w:val="标题 3_2"/>
    <w:basedOn w:val="259"/>
    <w:next w:val="259"/>
    <w:autoRedefine/>
    <w:qFormat/>
    <w:uiPriority w:val="0"/>
    <w:pPr>
      <w:keepNext/>
      <w:keepLines/>
      <w:outlineLvl w:val="2"/>
    </w:pPr>
    <w:rPr>
      <w:rFonts w:eastAsia="宋体"/>
      <w:b/>
      <w:color w:val="auto"/>
      <w:sz w:val="32"/>
      <w:szCs w:val="20"/>
      <w:lang w:bidi="ar-SA"/>
    </w:rPr>
  </w:style>
  <w:style w:type="paragraph" w:customStyle="1" w:styleId="263">
    <w:name w:val="正文文本_1"/>
    <w:basedOn w:val="259"/>
    <w:autoRedefine/>
    <w:qFormat/>
    <w:uiPriority w:val="0"/>
    <w:pPr>
      <w:spacing w:after="120"/>
      <w:jc w:val="both"/>
    </w:pPr>
    <w:rPr>
      <w:rFonts w:eastAsia="宋体"/>
      <w:color w:val="auto"/>
      <w:kern w:val="2"/>
      <w:sz w:val="21"/>
      <w:lang w:bidi="ar-SA"/>
    </w:rPr>
  </w:style>
  <w:style w:type="paragraph" w:customStyle="1" w:styleId="264">
    <w:name w:val="正文文本 (5)"/>
    <w:basedOn w:val="1"/>
    <w:autoRedefine/>
    <w:qFormat/>
    <w:uiPriority w:val="0"/>
    <w:pPr>
      <w:shd w:val="clear" w:color="auto" w:fill="FFFFFF"/>
      <w:spacing w:before="5100" w:line="0" w:lineRule="atLeast"/>
    </w:pPr>
    <w:rPr>
      <w:rFonts w:ascii="MingLiU" w:hAnsi="MingLiU" w:eastAsia="MingLiU"/>
      <w:sz w:val="20"/>
      <w:shd w:val="clear" w:color="auto" w:fill="FFFFFF"/>
    </w:rPr>
  </w:style>
  <w:style w:type="paragraph" w:customStyle="1" w:styleId="265">
    <w:name w:val="正文_4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6">
    <w:name w:val="0"/>
    <w:basedOn w:val="1"/>
    <w:autoRedefine/>
    <w:qFormat/>
    <w:uiPriority w:val="0"/>
    <w:pPr>
      <w:widowControl/>
      <w:jc w:val="left"/>
    </w:pPr>
    <w:rPr>
      <w:kern w:val="0"/>
      <w:sz w:val="20"/>
      <w:szCs w:val="20"/>
    </w:rPr>
  </w:style>
  <w:style w:type="paragraph" w:customStyle="1" w:styleId="267">
    <w:name w:val="正文_4_0_0"/>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68">
    <w:name w:val="正文_5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9">
    <w:name w:val="Normal_7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0">
    <w:name w:val="正文_1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1">
    <w:name w:val="Normal_29"/>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2">
    <w:name w:val="样式 宋体 小四 加粗 黑色"/>
    <w:qFormat/>
    <w:uiPriority w:val="0"/>
    <w:rPr>
      <w:rFonts w:ascii="宋体" w:hAnsi="宋体"/>
      <w:b/>
      <w:bCs/>
      <w:color w:val="000000"/>
      <w:sz w:val="24"/>
    </w:rPr>
  </w:style>
  <w:style w:type="paragraph" w:customStyle="1" w:styleId="273">
    <w:name w:val="正文文本 (19)"/>
    <w:basedOn w:val="1"/>
    <w:qFormat/>
    <w:uiPriority w:val="0"/>
    <w:pPr>
      <w:shd w:val="clear" w:color="auto" w:fill="FFFFFF"/>
      <w:spacing w:line="559" w:lineRule="exact"/>
    </w:pPr>
    <w:rPr>
      <w:rFonts w:ascii="MingLiU" w:hAnsi="MingLiU" w:eastAsia="MingLiU"/>
      <w:b/>
      <w:bCs/>
      <w:spacing w:val="10"/>
      <w:sz w:val="22"/>
      <w:szCs w:val="22"/>
      <w:shd w:val="clear" w:color="auto" w:fill="FFFFFF"/>
    </w:rPr>
  </w:style>
  <w:style w:type="character" w:customStyle="1" w:styleId="274">
    <w:name w:val="正文文本 (19) + 间距 0 pt"/>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275">
    <w:name w:val="正文文本 (2) + 间距 0 pt"/>
    <w:qFormat/>
    <w:uiPriority w:val="0"/>
    <w:rPr>
      <w:rFonts w:ascii="MingLiU" w:hAnsi="MingLiU" w:eastAsia="MingLiU" w:cs="MingLiU"/>
      <w:color w:val="000000"/>
      <w:spacing w:val="0"/>
      <w:w w:val="100"/>
      <w:position w:val="0"/>
      <w:sz w:val="22"/>
      <w:szCs w:val="22"/>
      <w:u w:val="none"/>
      <w:shd w:val="clear" w:color="auto" w:fill="FFFFFF"/>
      <w:lang w:val="zh-CN" w:eastAsia="zh-CN" w:bidi="ar-SA"/>
    </w:rPr>
  </w:style>
  <w:style w:type="paragraph" w:customStyle="1" w:styleId="276">
    <w:name w:val="标题 #7 (4)"/>
    <w:basedOn w:val="1"/>
    <w:qFormat/>
    <w:uiPriority w:val="0"/>
    <w:pPr>
      <w:shd w:val="clear" w:color="auto" w:fill="FFFFFF"/>
      <w:spacing w:after="1020" w:line="240" w:lineRule="atLeast"/>
      <w:outlineLvl w:val="6"/>
    </w:pPr>
    <w:rPr>
      <w:rFonts w:ascii="MingLiU" w:hAnsi="MingLiU" w:eastAsia="MingLiU"/>
      <w:sz w:val="26"/>
      <w:szCs w:val="26"/>
    </w:rPr>
  </w:style>
  <w:style w:type="character" w:customStyle="1" w:styleId="277">
    <w:name w:val="标题 #7 (4) + 间距 7 pt"/>
    <w:qFormat/>
    <w:uiPriority w:val="0"/>
    <w:rPr>
      <w:rFonts w:ascii="MingLiU" w:hAnsi="MingLiU" w:eastAsia="MingLiU"/>
      <w:color w:val="000000"/>
      <w:spacing w:val="140"/>
      <w:w w:val="100"/>
      <w:position w:val="0"/>
      <w:sz w:val="26"/>
      <w:szCs w:val="26"/>
      <w:lang w:val="zh-CN" w:eastAsia="zh-CN" w:bidi="ar-SA"/>
    </w:rPr>
  </w:style>
  <w:style w:type="paragraph" w:customStyle="1" w:styleId="278">
    <w:name w:val="正文文本 (2)4"/>
    <w:basedOn w:val="1"/>
    <w:qFormat/>
    <w:uiPriority w:val="0"/>
    <w:pPr>
      <w:shd w:val="clear" w:color="auto" w:fill="FFFFFF"/>
      <w:spacing w:before="300" w:line="439" w:lineRule="exact"/>
      <w:jc w:val="distribute"/>
    </w:pPr>
    <w:rPr>
      <w:rFonts w:ascii="MingLiU" w:hAnsi="MingLiU" w:eastAsia="MingLiU"/>
      <w:spacing w:val="20"/>
      <w:sz w:val="22"/>
      <w:szCs w:val="22"/>
      <w:shd w:val="clear" w:color="auto" w:fill="FFFFFF"/>
    </w:rPr>
  </w:style>
  <w:style w:type="character" w:customStyle="1" w:styleId="279">
    <w:name w:val="正文文本 (2) + 间距 0 pt2"/>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paragraph" w:customStyle="1" w:styleId="280">
    <w:name w:val="Table Text"/>
    <w:basedOn w:val="1"/>
    <w:semiHidden/>
    <w:qFormat/>
    <w:uiPriority w:val="0"/>
    <w:rPr>
      <w:rFonts w:ascii="宋体" w:hAnsi="宋体" w:cs="宋体"/>
      <w:sz w:val="20"/>
      <w:szCs w:val="20"/>
      <w:lang w:eastAsia="en-US"/>
    </w:rPr>
  </w:style>
  <w:style w:type="paragraph" w:customStyle="1" w:styleId="281">
    <w:name w:val="正文4"/>
    <w:qFormat/>
    <w:uiPriority w:val="0"/>
    <w:pPr>
      <w:jc w:val="both"/>
    </w:pPr>
    <w:rPr>
      <w:rFonts w:ascii="Times New Roman" w:hAnsi="Times New Roman" w:eastAsia="宋体" w:cs="Times New Roman"/>
      <w:kern w:val="2"/>
      <w:sz w:val="21"/>
      <w:szCs w:val="21"/>
      <w:lang w:val="en-US" w:eastAsia="zh-CN" w:bidi="ar-SA"/>
    </w:rPr>
  </w:style>
  <w:style w:type="table" w:customStyle="1" w:styleId="282">
    <w:name w:val="Table Normal"/>
    <w:unhideWhenUsed/>
    <w:qFormat/>
    <w:uiPriority w:val="0"/>
    <w:tblPr>
      <w:tblCellMar>
        <w:top w:w="0" w:type="dxa"/>
        <w:left w:w="0" w:type="dxa"/>
        <w:bottom w:w="0" w:type="dxa"/>
        <w:right w:w="0" w:type="dxa"/>
      </w:tblCellMar>
    </w:tblPr>
  </w:style>
  <w:style w:type="paragraph" w:customStyle="1" w:styleId="283">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4">
    <w:name w:val="正文_1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7.xml"/><Relationship Id="rId23" Type="http://schemas.openxmlformats.org/officeDocument/2006/relationships/header" Target="header5.xml"/><Relationship Id="rId22" Type="http://schemas.openxmlformats.org/officeDocument/2006/relationships/header" Target="header4.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3086"/>
    <customShpInfo spid="_x0000_s3088"/>
    <customShpInfo spid="_x0000_s3087"/>
    <customShpInfo spid="_x0000_s3085"/>
    <customShpInfo spid="_x0000_s3084"/>
    <customShpInfo spid="_x0000_s3083"/>
    <customShpInfo spid="_x0000_s3082"/>
    <customShpInfo spid="_x0000_s3081"/>
    <customShpInfo spid="_x0000_s3080"/>
    <customShpInfo spid="_x0000_s3079"/>
    <customShpInfo spid="_x0000_s3078"/>
    <customShpInfo spid="_x0000_s3077"/>
    <customShpInfo spid="_x0000_s3075"/>
    <customShpInfo spid="_x0000_s3076"/>
    <customShpInfo spid="_x0000_s3074"/>
    <customShpInfo spid="_x0000_s3073"/>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166</Pages>
  <Words>11477</Words>
  <Characters>12828</Characters>
  <Lines>152</Lines>
  <Paragraphs>240</Paragraphs>
  <TotalTime>37</TotalTime>
  <ScaleCrop>false</ScaleCrop>
  <LinksUpToDate>false</LinksUpToDate>
  <CharactersWithSpaces>12944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2024-05-21T07:07:00Z</dcterms:created>
  <dc:creator>唐冰</dc:creator>
  <cp:lastModifiedBy>雷小琴</cp:lastModifiedBy>
  <cp:lastPrinted>2026-06-15T08:30:00Z</cp:lastPrinted>
  <dcterms:modified xsi:type="dcterms:W3CDTF">2026-06-15T08:52:11Z</dcterms:modified>
  <dc:title>竞争性谈判文件规范</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74A6CAEC5346405086617230A092FFA2_13</vt:lpwstr>
  </property>
  <property fmtid="{D5CDD505-2E9C-101B-9397-08002B2CF9AE}" pid="4" name="KSOTemplateDocerSaveRecord">
    <vt:lpwstr>eyJoZGlkIjoiMDQ4ZmJjMTBjNDhjODQ2MjE1MTg4NTYwZjgzZTFkNDgiLCJ1c2VySWQiOiIzNDEzNjc2MDIifQ==</vt:lpwstr>
  </property>
</Properties>
</file>